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72" w:type="dxa"/>
        <w:jc w:val="center"/>
        <w:tblLook w:val="01E0" w:firstRow="1" w:lastRow="1" w:firstColumn="1" w:lastColumn="1" w:noHBand="0" w:noVBand="0"/>
      </w:tblPr>
      <w:tblGrid>
        <w:gridCol w:w="3780"/>
        <w:gridCol w:w="236"/>
        <w:gridCol w:w="5656"/>
      </w:tblGrid>
      <w:tr>
        <w:trPr>
          <w:trHeight w:val="850"/>
          <w:jc w:val="center"/>
        </w:trPr>
        <w:tc>
          <w:tcPr>
            <w:tcW w:w="3780" w:type="dxa"/>
          </w:tcPr>
          <w:p>
            <w:pPr>
              <w:spacing w:before="0" w:after="0" w:line="240" w:lineRule="auto"/>
              <w:ind w:firstLine="0"/>
              <w:jc w:val="center"/>
              <w:rPr>
                <w:b/>
                <w:bCs/>
                <w:sz w:val="26"/>
                <w:szCs w:val="26"/>
              </w:rPr>
            </w:pPr>
            <w:r>
              <w:rPr>
                <w:b/>
                <w:bCs/>
                <w:sz w:val="26"/>
                <w:szCs w:val="26"/>
              </w:rPr>
              <w:t>ỦY BAN NHÂN DÂN</w:t>
            </w:r>
          </w:p>
          <w:p>
            <w:pPr>
              <w:spacing w:before="0" w:after="0" w:line="240" w:lineRule="auto"/>
              <w:ind w:firstLine="0"/>
              <w:jc w:val="center"/>
              <w:rPr>
                <w:b/>
                <w:sz w:val="26"/>
                <w:szCs w:val="26"/>
              </w:rPr>
            </w:pPr>
            <w:r>
              <w:rPr>
                <w:b/>
                <w:bCs/>
                <w:sz w:val="26"/>
                <w:szCs w:val="26"/>
              </w:rPr>
              <w:t>TỈNH QUẢNG NINH</w:t>
            </w:r>
          </w:p>
          <w:p>
            <w:pPr>
              <w:spacing w:before="0" w:after="0" w:line="240" w:lineRule="auto"/>
              <w:ind w:firstLine="0"/>
              <w:jc w:val="center"/>
            </w:pPr>
            <w:r>
              <w:rPr>
                <w:noProof/>
              </w:rPr>
              <mc:AlternateContent>
                <mc:Choice Requires="wps">
                  <w:drawing>
                    <wp:anchor distT="0" distB="0" distL="114300" distR="114300" simplePos="0" relativeHeight="251662336" behindDoc="0" locked="0" layoutInCell="1" allowOverlap="1">
                      <wp:simplePos x="0" y="0"/>
                      <wp:positionH relativeFrom="column">
                        <wp:posOffset>673735</wp:posOffset>
                      </wp:positionH>
                      <wp:positionV relativeFrom="paragraph">
                        <wp:posOffset>65405</wp:posOffset>
                      </wp:positionV>
                      <wp:extent cx="900000" cy="0"/>
                      <wp:effectExtent l="0" t="0" r="33655" b="19050"/>
                      <wp:wrapNone/>
                      <wp:docPr id="23738818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1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5.15pt" to="123.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"/>
                  </w:pict>
                </mc:Fallback>
              </mc:AlternateContent>
            </w:r>
          </w:p>
        </w:tc>
        <w:tc>
          <w:tcPr>
            <w:tcW w:w="236" w:type="dxa"/>
          </w:tcPr>
          <w:p>
            <w:pPr>
              <w:spacing w:before="0" w:after="0" w:line="240" w:lineRule="auto"/>
              <w:ind w:firstLine="0"/>
            </w:pPr>
          </w:p>
        </w:tc>
        <w:tc>
          <w:tcPr>
            <w:tcW w:w="5656" w:type="dxa"/>
          </w:tcPr>
          <w:p>
            <w:pPr>
              <w:spacing w:before="0" w:after="0" w:line="240" w:lineRule="auto"/>
              <w:ind w:firstLine="0"/>
              <w:jc w:val="center"/>
              <w:rPr>
                <w:b/>
                <w:sz w:val="26"/>
                <w:szCs w:val="26"/>
              </w:rPr>
            </w:pPr>
            <w:r>
              <w:rPr>
                <w:b/>
                <w:sz w:val="26"/>
                <w:szCs w:val="26"/>
              </w:rPr>
              <w:t xml:space="preserve">CỘNG HÒA XÃ HỘI CHỦ NGHĨA VIỆT </w:t>
            </w:r>
            <w:smartTag w:uri="urn:schemas-microsoft-com:office:smarttags" w:element="country-region">
              <w:smartTag w:uri="urn:schemas-microsoft-com:office:smarttags" w:element="place">
                <w:r>
                  <w:rPr>
                    <w:b/>
                    <w:sz w:val="26"/>
                    <w:szCs w:val="26"/>
                  </w:rPr>
                  <w:t>NAM</w:t>
                </w:r>
              </w:smartTag>
            </w:smartTag>
          </w:p>
          <w:p>
            <w:pPr>
              <w:tabs>
                <w:tab w:val="left" w:pos="603"/>
                <w:tab w:val="center" w:pos="2947"/>
                <w:tab w:val="left" w:pos="3533"/>
              </w:tabs>
              <w:spacing w:before="0" w:after="0" w:line="240" w:lineRule="auto"/>
              <w:ind w:firstLine="0"/>
              <w:jc w:val="center"/>
              <w:rPr>
                <w:b/>
              </w:rPr>
            </w:pPr>
            <w:r>
              <w:rPr>
                <w:b/>
              </w:rPr>
              <w:t>Độc lập - Tự do - Hạnh phúc</w:t>
            </w:r>
          </w:p>
          <w:p>
            <w:pPr>
              <w:spacing w:before="0" w:after="0" w:line="240" w:lineRule="auto"/>
              <w:ind w:firstLine="0"/>
              <w:jc w:val="center"/>
              <w:rPr>
                <w:i/>
                <w:lang w:val="vi-VN"/>
              </w:rPr>
            </w:pPr>
            <w:r>
              <w:rPr>
                <w:b/>
                <w:noProof/>
              </w:rPr>
              <mc:AlternateContent>
                <mc:Choice Requires="wps">
                  <w:drawing>
                    <wp:anchor distT="0" distB="0" distL="114300" distR="114300" simplePos="0" relativeHeight="251663360" behindDoc="0" locked="0" layoutInCell="1" allowOverlap="1">
                      <wp:simplePos x="0" y="0"/>
                      <wp:positionH relativeFrom="column">
                        <wp:posOffset>667067</wp:posOffset>
                      </wp:positionH>
                      <wp:positionV relativeFrom="paragraph">
                        <wp:posOffset>66675</wp:posOffset>
                      </wp:positionV>
                      <wp:extent cx="2124000" cy="0"/>
                      <wp:effectExtent l="0" t="0" r="0" b="0"/>
                      <wp:wrapNone/>
                      <wp:docPr id="64928391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407E70D" id="Line 1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5.25pt" to="219.7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"/>
                  </w:pict>
                </mc:Fallback>
              </mc:AlternateContent>
            </w:r>
          </w:p>
        </w:tc>
      </w:tr>
      <w:tr>
        <w:trPr>
          <w:trHeight w:val="340"/>
          <w:jc w:val="center"/>
        </w:trPr>
        <w:tc>
          <w:tcPr>
            <w:tcW w:w="3780" w:type="dxa"/>
          </w:tcPr>
          <w:p>
            <w:pPr>
              <w:spacing w:before="0" w:after="0" w:line="240" w:lineRule="auto"/>
              <w:ind w:firstLine="0"/>
              <w:jc w:val="center"/>
              <w:rPr>
                <w:sz w:val="24"/>
              </w:rPr>
            </w:pPr>
            <w:r>
              <w:t>Số:       /2026/QĐ-UBND</w:t>
            </w:r>
          </w:p>
        </w:tc>
        <w:tc>
          <w:tcPr>
            <w:tcW w:w="236" w:type="dxa"/>
          </w:tcPr>
          <w:p>
            <w:pPr>
              <w:spacing w:before="0" w:after="0" w:line="240" w:lineRule="auto"/>
              <w:ind w:firstLine="0"/>
            </w:pPr>
          </w:p>
        </w:tc>
        <w:tc>
          <w:tcPr>
            <w:tcW w:w="5656" w:type="dxa"/>
          </w:tcPr>
          <w:p>
            <w:pPr>
              <w:spacing w:before="0" w:after="0" w:line="240" w:lineRule="auto"/>
              <w:ind w:firstLine="0"/>
              <w:jc w:val="center"/>
              <w:rPr>
                <w:b/>
                <w:sz w:val="26"/>
                <w:szCs w:val="26"/>
              </w:rPr>
            </w:pPr>
            <w:r>
              <w:rPr>
                <w:i/>
              </w:rPr>
              <w:t>Quảng Ninh, ngày       tháng 4 năm 2026</w:t>
            </w:r>
          </w:p>
        </w:tc>
      </w:tr>
    </w:tbl>
    <w:p>
      <w:pPr>
        <w:spacing w:before="0" w:after="0"/>
        <w:rPr>
          <w:szCs w:val="28"/>
        </w:rPr>
      </w:pPr>
    </w:p>
    <w:p>
      <w:pPr>
        <w:spacing w:before="0" w:after="0" w:line="240" w:lineRule="auto"/>
        <w:ind w:firstLine="0"/>
        <w:jc w:val="center"/>
        <w:rPr>
          <w:b/>
        </w:rPr>
      </w:pPr>
      <w:r>
        <w:rPr>
          <w:b/>
        </w:rPr>
        <w:t>QUYẾT ĐỊNH</w:t>
      </w:r>
    </w:p>
    <w:p>
      <w:pPr>
        <w:tabs>
          <w:tab w:val="center" w:pos="4535"/>
          <w:tab w:val="left" w:pos="5775"/>
        </w:tabs>
        <w:spacing w:before="0" w:after="0" w:line="240" w:lineRule="auto"/>
        <w:ind w:firstLine="0"/>
        <w:jc w:val="center"/>
        <w:rPr>
          <w:b/>
        </w:rPr>
      </w:pPr>
      <w:r>
        <w:rPr>
          <w:b/>
        </w:rPr>
        <w:t>Quy định danh mục các khoản thu, mức thu và cơ chế quản lý thu, chi</w:t>
      </w:r>
    </w:p>
    <w:p>
      <w:pPr>
        <w:tabs>
          <w:tab w:val="center" w:pos="4535"/>
          <w:tab w:val="left" w:pos="5775"/>
        </w:tabs>
        <w:spacing w:before="0" w:after="0" w:line="240" w:lineRule="auto"/>
        <w:ind w:firstLine="0"/>
        <w:jc w:val="center"/>
        <w:rPr>
          <w:b/>
        </w:rPr>
      </w:pPr>
      <w:r>
        <w:rPr>
          <w:b/>
        </w:rPr>
        <w:t>đối với các dịch vụ phục vụ và hỗ trợ hoạt động giáo dục, đào tạo</w:t>
      </w:r>
    </w:p>
    <w:p>
      <w:pPr>
        <w:tabs>
          <w:tab w:val="center" w:pos="4535"/>
          <w:tab w:val="left" w:pos="5775"/>
        </w:tabs>
        <w:spacing w:before="0" w:after="0" w:line="240" w:lineRule="auto"/>
        <w:ind w:firstLine="0"/>
        <w:jc w:val="center"/>
        <w:rPr>
          <w:b/>
        </w:rPr>
      </w:pPr>
      <w:r>
        <w:rPr>
          <w:b/>
        </w:rPr>
        <w:t xml:space="preserve">trong cơ sở giáo dục công lập trên địa bàn tỉnh Quảng Ninh </w:t>
      </w:r>
    </w:p>
    <w:p>
      <w:pPr>
        <w:spacing w:before="0" w:after="0" w:line="240" w:lineRule="auto"/>
        <w:ind w:firstLine="0"/>
        <w:jc w:val="center"/>
        <w:rPr>
          <w:b/>
        </w:rPr>
      </w:pPr>
      <w:r>
        <w:rPr>
          <w:b/>
          <w:noProof/>
        </w:rPr>
        <mc:AlternateContent>
          <mc:Choice Requires="wps">
            <w:drawing>
              <wp:anchor distT="0" distB="0" distL="114300" distR="114300" simplePos="0" relativeHeight="251667456" behindDoc="0" locked="0" layoutInCell="1" allowOverlap="1">
                <wp:simplePos x="0" y="0"/>
                <wp:positionH relativeFrom="margin">
                  <wp:posOffset>2094865</wp:posOffset>
                </wp:positionH>
                <wp:positionV relativeFrom="paragraph">
                  <wp:posOffset>93345</wp:posOffset>
                </wp:positionV>
                <wp:extent cx="1512000" cy="0"/>
                <wp:effectExtent l="0" t="0" r="31115" b="19050"/>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Line 19"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4.95pt,7.35pt" to="28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OeZ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">
                <w10:wrap anchorx="margin"/>
              </v:line>
            </w:pict>
          </mc:Fallback>
        </mc:AlternateContent>
      </w:r>
    </w:p>
    <w:p>
      <w:pPr>
        <w:spacing w:before="0" w:after="0" w:line="240" w:lineRule="auto"/>
        <w:ind w:firstLine="0"/>
        <w:jc w:val="center"/>
        <w:rPr>
          <w:b/>
          <w:sz w:val="16"/>
        </w:rPr>
      </w:pPr>
    </w:p>
    <w:p>
      <w:pPr>
        <w:tabs>
          <w:tab w:val="right" w:pos="9071"/>
        </w:tabs>
        <w:spacing w:before="0" w:after="0" w:line="240" w:lineRule="auto"/>
        <w:rPr>
          <w:i/>
          <w:szCs w:val="28"/>
        </w:rPr>
      </w:pPr>
      <w:r>
        <w:rPr>
          <w:i/>
          <w:szCs w:val="28"/>
        </w:rPr>
        <w:t>Căn cứ Luật Tổ chức chính quyền địa phương số 72/2025/QH15;</w:t>
      </w:r>
    </w:p>
    <w:p>
      <w:pPr>
        <w:tabs>
          <w:tab w:val="right" w:pos="9071"/>
        </w:tabs>
        <w:spacing w:before="100" w:after="0" w:line="240" w:lineRule="auto"/>
        <w:rPr>
          <w:i/>
          <w:szCs w:val="28"/>
        </w:rPr>
      </w:pPr>
      <w:r>
        <w:rPr>
          <w:i/>
          <w:szCs w:val="28"/>
        </w:rPr>
        <w:t>Căn cứ Luật Giáo dục số 43/2019/QH14 được sửa đổi, bổ sung bởi Luật số 123/2025/QH15;</w:t>
      </w:r>
    </w:p>
    <w:p>
      <w:pPr>
        <w:tabs>
          <w:tab w:val="right" w:pos="9071"/>
        </w:tabs>
        <w:spacing w:before="100" w:after="0" w:line="240" w:lineRule="auto"/>
        <w:rPr>
          <w:i/>
          <w:szCs w:val="28"/>
        </w:rPr>
      </w:pPr>
      <w:r>
        <w:rPr>
          <w:i/>
          <w:szCs w:val="28"/>
        </w:rPr>
        <w:t>Căn cứ Luật Giá số 16/2023/QH15 được sửa đổi, bổ sung bởi Luật số 140/2025/QH15;</w:t>
      </w:r>
    </w:p>
    <w:p>
      <w:pPr>
        <w:spacing w:before="100" w:after="0" w:line="240" w:lineRule="auto"/>
        <w:rPr>
          <w:i/>
          <w:szCs w:val="28"/>
        </w:rPr>
      </w:pPr>
      <w:r>
        <w:rPr>
          <w:i/>
          <w:szCs w:val="28"/>
        </w:rPr>
        <w:t>Căn cứ Luật Ban hành văn bản quy phạm pháp luật số 64/2025/QH15 được sửa đổi, bổ sung bởi Luật số 87/2025/QH15;</w:t>
      </w:r>
    </w:p>
    <w:p>
      <w:pPr>
        <w:spacing w:before="100" w:after="0" w:line="240" w:lineRule="auto"/>
        <w:rPr>
          <w:i/>
          <w:szCs w:val="28"/>
        </w:rPr>
      </w:pPr>
      <w:r>
        <w:rPr>
          <w:i/>
          <w:szCs w:val="28"/>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pPr>
        <w:spacing w:before="100" w:after="0" w:line="240" w:lineRule="auto"/>
        <w:rPr>
          <w:i/>
          <w:szCs w:val="28"/>
        </w:rPr>
      </w:pPr>
      <w:r>
        <w:rPr>
          <w:i/>
          <w:szCs w:val="28"/>
        </w:rPr>
        <w:t xml:space="preserve">Căn cứ Nghị định số 142/2025/NĐ-CP của Chính phủ quy định về phân định thẩm quyền của chính </w:t>
      </w:r>
      <w:bookmarkStart w:id="0" w:name="_GoBack"/>
      <w:bookmarkEnd w:id="0"/>
      <w:r>
        <w:rPr>
          <w:i/>
          <w:szCs w:val="28"/>
        </w:rPr>
        <w:t>quyền địa phương hai cấp trong lĩnh vực quản lý nhà nước của Bộ Giáo dục và Đào tạo;</w:t>
      </w:r>
    </w:p>
    <w:p>
      <w:pPr>
        <w:spacing w:before="100" w:after="0" w:line="240" w:lineRule="auto"/>
        <w:rPr>
          <w:i/>
          <w:szCs w:val="28"/>
        </w:rPr>
      </w:pPr>
      <w:r>
        <w:rPr>
          <w:i/>
          <w:szCs w:val="28"/>
        </w:rPr>
        <w:t>Căn cứ Nghị định số 238/2025/NĐ-CP của Chính phủ quy định về chính sách học phí, miễn, giảm, hỗ trợ học phí, hỗ trợ chi phí học tập và giá dịch vụ trong lĩnh vực giáo dục, đào tạo;</w:t>
      </w:r>
    </w:p>
    <w:p>
      <w:pPr>
        <w:spacing w:before="100" w:after="0" w:line="240" w:lineRule="auto"/>
        <w:rPr>
          <w:i/>
          <w:szCs w:val="28"/>
        </w:rPr>
      </w:pPr>
      <w:r>
        <w:rPr>
          <w:i/>
          <w:szCs w:val="28"/>
        </w:rPr>
        <w:t>Căn cứ Nghị định số 66/2026/NĐ-CP của Chính phủ quy định chi tiết một số điều của Luật Giáo dục;</w:t>
      </w:r>
    </w:p>
    <w:p>
      <w:pPr>
        <w:spacing w:before="100" w:after="0" w:line="240" w:lineRule="auto"/>
        <w:rPr>
          <w:i/>
          <w:szCs w:val="28"/>
        </w:rPr>
      </w:pPr>
      <w:r>
        <w:rPr>
          <w:i/>
          <w:szCs w:val="28"/>
        </w:rPr>
        <w:t>Theo đề nghị của Giám đốc Sở Giáo dục và Đào tạo tại Tờ trình số 1325/TTr-SGDĐT ngày 24 tháng 4 năm 2026; Báo cáo thẩm định số 134/BC-STP ngày 21 tháng 4 năm 2026 của Sở Tư pháp; ý kiến thành viên của Ủy ban nhân dân tỉnh tại phiên họp Ủy ban nhân tỉnh thường kỳ tháng 4 năm 2026;</w:t>
      </w:r>
    </w:p>
    <w:p>
      <w:pPr>
        <w:spacing w:before="100" w:after="0" w:line="240" w:lineRule="auto"/>
        <w:rPr>
          <w:i/>
          <w:szCs w:val="28"/>
        </w:rPr>
      </w:pPr>
      <w:r>
        <w:rPr>
          <w:i/>
          <w:szCs w:val="28"/>
        </w:rPr>
        <w:t>Ủy ban nhân dân tỉnh Quảng Ninh ban hành Quyết định quy định danh mục các khoản thu, mức thu và cơ chế quản lý thu, chi đối với các dịch vụ phục vụ và hỗ trợ hoạt động giáo dục, đào tạo trong cơ sở giáo dục công lập trên địa bàn tỉnh Quảng Ninh.</w:t>
      </w:r>
    </w:p>
    <w:p>
      <w:pPr>
        <w:widowControl w:val="0"/>
        <w:spacing w:before="180" w:after="0" w:line="240" w:lineRule="auto"/>
        <w:rPr>
          <w:b/>
          <w:szCs w:val="28"/>
        </w:rPr>
      </w:pPr>
      <w:r>
        <w:rPr>
          <w:b/>
          <w:szCs w:val="28"/>
        </w:rPr>
        <w:t>Điều 1. Phạm vi điều chỉnh và đối tượng áp dụng</w:t>
      </w:r>
    </w:p>
    <w:p>
      <w:pPr>
        <w:widowControl w:val="0"/>
        <w:spacing w:before="100" w:after="0"/>
        <w:rPr>
          <w:bCs/>
          <w:szCs w:val="28"/>
        </w:rPr>
      </w:pPr>
      <w:r>
        <w:rPr>
          <w:bCs/>
          <w:szCs w:val="28"/>
        </w:rPr>
        <w:t>1. Phạm vi điều chỉnh</w:t>
      </w:r>
    </w:p>
    <w:p>
      <w:pPr>
        <w:widowControl w:val="0"/>
        <w:spacing w:after="0"/>
        <w:rPr>
          <w:bCs/>
          <w:szCs w:val="28"/>
        </w:rPr>
      </w:pPr>
      <w:r>
        <w:rPr>
          <w:bCs/>
          <w:szCs w:val="28"/>
        </w:rPr>
        <w:t xml:space="preserve">Quyết định này quy định danh mục các khoản thu, mức thu và cơ chế quản lý thu, chi đối với các dịch vụ phục vụ và hỗ trợ hoạt động giáo dục, đào tạo trong </w:t>
      </w:r>
      <w:r>
        <w:rPr>
          <w:bCs/>
          <w:szCs w:val="28"/>
        </w:rPr>
        <w:lastRenderedPageBreak/>
        <w:t>các cơ sở giáo dục mầm non, giáo dục phổ thông, giáo dục thường xuyên công lập trên địa bàn tỉnh Quảng Ninh theo quy định tại điểm c khoản 4 Điều 99 Luật Giáo dục số 43/2019/QH14 được sửa đổi, bổ sung bởi Luật số 123/2025/QH15 và quy định tại điểm b khoản 3 Điều 4 Nghị định số 238/2025/NĐ-CP được sửa đổi, bổ sung bởi khoản 4 Điều 13 Nghị định số 66/2026/NĐ-CP.</w:t>
      </w:r>
    </w:p>
    <w:p>
      <w:pPr>
        <w:widowControl w:val="0"/>
        <w:spacing w:after="0" w:line="240" w:lineRule="auto"/>
        <w:rPr>
          <w:bCs/>
          <w:szCs w:val="28"/>
        </w:rPr>
      </w:pPr>
      <w:r>
        <w:rPr>
          <w:bCs/>
          <w:szCs w:val="28"/>
        </w:rPr>
        <w:t>2. Đối tượng áp dụng</w:t>
      </w:r>
    </w:p>
    <w:p>
      <w:pPr>
        <w:widowControl w:val="0"/>
        <w:spacing w:after="0" w:line="240" w:lineRule="auto"/>
        <w:rPr>
          <w:bCs/>
          <w:szCs w:val="28"/>
        </w:rPr>
      </w:pPr>
      <w:r>
        <w:rPr>
          <w:bCs/>
          <w:szCs w:val="28"/>
        </w:rPr>
        <w:t>a) Trẻ em mầm non, học sinh phổ thông, học viên theo học chương trình giáo dục thường xuyên cấp trung học phổ thông (sau đây gọi chung là học sinh) đang học tại các cơ sở giáo dục công lập trên địa bàn tỉnh;</w:t>
      </w:r>
    </w:p>
    <w:p>
      <w:pPr>
        <w:widowControl w:val="0"/>
        <w:spacing w:after="0" w:line="240" w:lineRule="auto"/>
        <w:rPr>
          <w:bCs/>
          <w:szCs w:val="28"/>
        </w:rPr>
      </w:pPr>
      <w:r>
        <w:rPr>
          <w:bCs/>
          <w:szCs w:val="28"/>
        </w:rPr>
        <w:t>b) Các cơ sở giáo dục mầm non, giáo dục phổ thông, giáo dục thường xuyên công lập trên địa bàn tỉnh và các cơ quan, tổ chức, đơn vị, cá nhân có liên quan.</w:t>
      </w:r>
    </w:p>
    <w:p>
      <w:pPr>
        <w:spacing w:line="240" w:lineRule="auto"/>
        <w:rPr>
          <w:b/>
          <w:bCs/>
          <w:szCs w:val="28"/>
        </w:rPr>
      </w:pPr>
      <w:r>
        <w:rPr>
          <w:b/>
          <w:bCs/>
          <w:szCs w:val="28"/>
        </w:rPr>
        <w:t>Điều 2. Danh mục các khoản thu, mức thu</w:t>
      </w:r>
    </w:p>
    <w:tbl>
      <w:tblPr>
        <w:tblStyle w:val="TableGrid"/>
        <w:tblW w:w="9067" w:type="dxa"/>
        <w:tblLook w:val="04A0" w:firstRow="1" w:lastRow="0" w:firstColumn="1" w:lastColumn="0" w:noHBand="0" w:noVBand="1"/>
      </w:tblPr>
      <w:tblGrid>
        <w:gridCol w:w="4957"/>
        <w:gridCol w:w="2551"/>
        <w:gridCol w:w="1559"/>
      </w:tblGrid>
      <w:tr>
        <w:trPr>
          <w:trHeight w:val="680"/>
        </w:trPr>
        <w:tc>
          <w:tcPr>
            <w:tcW w:w="4957" w:type="dxa"/>
            <w:tcBorders>
              <w:bottom w:val="single" w:sz="4" w:space="0" w:color="auto"/>
            </w:tcBorders>
            <w:shd w:val="clear" w:color="auto" w:fill="FFFFFF"/>
            <w:vAlign w:val="center"/>
          </w:tcPr>
          <w:p>
            <w:pPr>
              <w:widowControl w:val="0"/>
              <w:spacing w:before="60" w:after="60"/>
              <w:jc w:val="center"/>
              <w:rPr>
                <w:rFonts w:eastAsia="Calibri"/>
                <w:b/>
                <w:bCs/>
                <w:sz w:val="28"/>
                <w:szCs w:val="28"/>
                <w:lang w:val="nl-NL"/>
              </w:rPr>
            </w:pPr>
            <w:bookmarkStart w:id="1" w:name="_Hlk227075279"/>
            <w:r>
              <w:rPr>
                <w:b/>
                <w:bCs/>
                <w:color w:val="000000"/>
                <w:sz w:val="28"/>
                <w:szCs w:val="28"/>
                <w:lang w:val="nl-NL"/>
              </w:rPr>
              <w:t>Khoản thu</w:t>
            </w:r>
          </w:p>
        </w:tc>
        <w:tc>
          <w:tcPr>
            <w:tcW w:w="2551" w:type="dxa"/>
            <w:tcBorders>
              <w:bottom w:val="single" w:sz="4" w:space="0" w:color="auto"/>
            </w:tcBorders>
            <w:shd w:val="clear" w:color="auto" w:fill="FFFFFF"/>
            <w:vAlign w:val="center"/>
          </w:tcPr>
          <w:p>
            <w:pPr>
              <w:widowControl w:val="0"/>
              <w:spacing w:before="60" w:after="60"/>
              <w:jc w:val="center"/>
              <w:rPr>
                <w:rFonts w:eastAsia="Calibri"/>
                <w:b/>
                <w:bCs/>
                <w:sz w:val="28"/>
                <w:szCs w:val="28"/>
              </w:rPr>
            </w:pPr>
            <w:r>
              <w:rPr>
                <w:b/>
                <w:bCs/>
                <w:color w:val="000000"/>
                <w:sz w:val="28"/>
                <w:szCs w:val="28"/>
              </w:rPr>
              <w:t>Đơn vị tính</w:t>
            </w:r>
          </w:p>
        </w:tc>
        <w:tc>
          <w:tcPr>
            <w:tcW w:w="1559" w:type="dxa"/>
            <w:tcBorders>
              <w:bottom w:val="single" w:sz="4" w:space="0" w:color="auto"/>
            </w:tcBorders>
            <w:shd w:val="clear" w:color="auto" w:fill="FFFFFF"/>
            <w:vAlign w:val="center"/>
          </w:tcPr>
          <w:p>
            <w:pPr>
              <w:widowControl w:val="0"/>
              <w:spacing w:before="60" w:after="60"/>
              <w:jc w:val="center"/>
              <w:rPr>
                <w:rFonts w:eastAsia="Calibri"/>
                <w:b/>
                <w:bCs/>
                <w:sz w:val="28"/>
                <w:szCs w:val="28"/>
              </w:rPr>
            </w:pPr>
            <w:r>
              <w:rPr>
                <w:b/>
                <w:bCs/>
                <w:color w:val="000000"/>
                <w:sz w:val="28"/>
                <w:szCs w:val="28"/>
              </w:rPr>
              <w:t>Mức thu tối đa</w:t>
            </w:r>
          </w:p>
        </w:tc>
      </w:tr>
      <w:tr>
        <w:trPr>
          <w:trHeight w:val="850"/>
        </w:trPr>
        <w:tc>
          <w:tcPr>
            <w:tcW w:w="4957" w:type="dxa"/>
            <w:tcBorders>
              <w:bottom w:val="dotted" w:sz="4" w:space="0" w:color="auto"/>
            </w:tcBorders>
            <w:shd w:val="clear" w:color="auto" w:fill="FFFFFF"/>
            <w:vAlign w:val="center"/>
          </w:tcPr>
          <w:p>
            <w:pPr>
              <w:widowControl w:val="0"/>
              <w:spacing w:before="60" w:after="60" w:line="334" w:lineRule="exact"/>
              <w:jc w:val="both"/>
              <w:rPr>
                <w:rFonts w:eastAsia="Calibri"/>
                <w:b/>
                <w:bCs/>
                <w:sz w:val="28"/>
                <w:szCs w:val="28"/>
              </w:rPr>
            </w:pPr>
            <w:r>
              <w:rPr>
                <w:color w:val="000000"/>
                <w:sz w:val="28"/>
                <w:szCs w:val="28"/>
              </w:rPr>
              <w:t>1. Các dịch vụ phục vụ hoạt động bán trú tại trường</w:t>
            </w:r>
          </w:p>
        </w:tc>
        <w:tc>
          <w:tcPr>
            <w:tcW w:w="2551" w:type="dxa"/>
            <w:tcBorders>
              <w:bottom w:val="dotted" w:sz="4" w:space="0" w:color="auto"/>
            </w:tcBorders>
            <w:shd w:val="clear" w:color="auto" w:fill="FFFFFF"/>
            <w:vAlign w:val="center"/>
          </w:tcPr>
          <w:p>
            <w:pPr>
              <w:widowControl w:val="0"/>
              <w:spacing w:before="60" w:after="60" w:line="334" w:lineRule="exact"/>
              <w:jc w:val="both"/>
              <w:rPr>
                <w:rFonts w:eastAsia="Calibri"/>
                <w:b/>
                <w:bCs/>
                <w:sz w:val="28"/>
                <w:szCs w:val="28"/>
              </w:rPr>
            </w:pPr>
            <w:r>
              <w:rPr>
                <w:color w:val="000000"/>
                <w:sz w:val="28"/>
                <w:szCs w:val="28"/>
              </w:rPr>
              <w:t> </w:t>
            </w:r>
          </w:p>
        </w:tc>
        <w:tc>
          <w:tcPr>
            <w:tcW w:w="1559" w:type="dxa"/>
            <w:tcBorders>
              <w:bottom w:val="dotted" w:sz="4" w:space="0" w:color="auto"/>
            </w:tcBorders>
            <w:shd w:val="clear" w:color="auto" w:fill="FFFFFF"/>
            <w:vAlign w:val="center"/>
          </w:tcPr>
          <w:p>
            <w:pPr>
              <w:widowControl w:val="0"/>
              <w:spacing w:before="60" w:after="60" w:line="334" w:lineRule="exact"/>
              <w:jc w:val="both"/>
              <w:rPr>
                <w:rFonts w:eastAsia="Calibri"/>
                <w:b/>
                <w:bCs/>
                <w:sz w:val="28"/>
                <w:szCs w:val="28"/>
              </w:rPr>
            </w:pPr>
            <w:r>
              <w:rPr>
                <w:color w:val="000000"/>
                <w:sz w:val="28"/>
                <w:szCs w:val="28"/>
              </w:rPr>
              <w:t> </w:t>
            </w:r>
          </w:p>
        </w:tc>
      </w:tr>
      <w:tr>
        <w:trPr>
          <w:trHeight w:val="510"/>
        </w:trPr>
        <w:tc>
          <w:tcPr>
            <w:tcW w:w="4957" w:type="dxa"/>
            <w:tcBorders>
              <w:top w:val="dotted" w:sz="4" w:space="0" w:color="auto"/>
              <w:bottom w:val="dotted" w:sz="4" w:space="0" w:color="auto"/>
            </w:tcBorders>
            <w:shd w:val="clear" w:color="auto" w:fill="FFFFFF"/>
            <w:vAlign w:val="center"/>
          </w:tcPr>
          <w:p>
            <w:pPr>
              <w:widowControl w:val="0"/>
              <w:spacing w:before="40" w:after="40" w:line="334" w:lineRule="exact"/>
              <w:jc w:val="both"/>
              <w:rPr>
                <w:rFonts w:eastAsia="Calibri"/>
                <w:b/>
                <w:bCs/>
                <w:sz w:val="28"/>
                <w:szCs w:val="28"/>
              </w:rPr>
            </w:pPr>
            <w:r>
              <w:rPr>
                <w:color w:val="000000"/>
                <w:sz w:val="28"/>
                <w:szCs w:val="28"/>
              </w:rPr>
              <w:t>a) Hợp đồng thuê người nấu ăn</w:t>
            </w:r>
          </w:p>
        </w:tc>
        <w:tc>
          <w:tcPr>
            <w:tcW w:w="2551" w:type="dxa"/>
            <w:tcBorders>
              <w:top w:val="dotted" w:sz="4" w:space="0" w:color="auto"/>
              <w:bottom w:val="dotted" w:sz="4" w:space="0" w:color="auto"/>
            </w:tcBorders>
            <w:shd w:val="clear" w:color="auto" w:fill="FFFFFF"/>
            <w:vAlign w:val="center"/>
          </w:tcPr>
          <w:p>
            <w:pPr>
              <w:widowControl w:val="0"/>
              <w:spacing w:before="40" w:after="40" w:line="334" w:lineRule="exact"/>
              <w:jc w:val="center"/>
              <w:rPr>
                <w:rFonts w:eastAsia="Calibri"/>
                <w:b/>
                <w:bCs/>
                <w:sz w:val="28"/>
                <w:szCs w:val="28"/>
              </w:rPr>
            </w:pPr>
            <w:r>
              <w:rPr>
                <w:color w:val="000000"/>
                <w:sz w:val="28"/>
                <w:szCs w:val="28"/>
              </w:rPr>
              <w:t>đồng/học sinh/tháng</w:t>
            </w:r>
          </w:p>
        </w:tc>
        <w:tc>
          <w:tcPr>
            <w:tcW w:w="1559" w:type="dxa"/>
            <w:tcBorders>
              <w:top w:val="dotted" w:sz="4" w:space="0" w:color="auto"/>
              <w:bottom w:val="dotted" w:sz="4" w:space="0" w:color="auto"/>
            </w:tcBorders>
            <w:shd w:val="clear" w:color="auto" w:fill="FFFFFF"/>
            <w:vAlign w:val="center"/>
          </w:tcPr>
          <w:p>
            <w:pPr>
              <w:widowControl w:val="0"/>
              <w:spacing w:before="40" w:after="40" w:line="334" w:lineRule="exact"/>
              <w:jc w:val="right"/>
              <w:rPr>
                <w:rFonts w:eastAsia="Calibri"/>
                <w:b/>
                <w:bCs/>
                <w:sz w:val="28"/>
                <w:szCs w:val="28"/>
              </w:rPr>
            </w:pPr>
            <w:r>
              <w:rPr>
                <w:color w:val="000000"/>
                <w:sz w:val="28"/>
                <w:szCs w:val="28"/>
              </w:rPr>
              <w:t>140.000</w:t>
            </w:r>
          </w:p>
        </w:tc>
      </w:tr>
      <w:tr>
        <w:trPr>
          <w:trHeight w:val="510"/>
        </w:trPr>
        <w:tc>
          <w:tcPr>
            <w:tcW w:w="4957" w:type="dxa"/>
            <w:tcBorders>
              <w:top w:val="dotted" w:sz="4" w:space="0" w:color="auto"/>
              <w:bottom w:val="dotted" w:sz="4" w:space="0" w:color="auto"/>
            </w:tcBorders>
            <w:shd w:val="clear" w:color="auto" w:fill="FFFFFF"/>
            <w:vAlign w:val="center"/>
          </w:tcPr>
          <w:p>
            <w:pPr>
              <w:widowControl w:val="0"/>
              <w:spacing w:before="40" w:after="40" w:line="334" w:lineRule="exact"/>
              <w:jc w:val="both"/>
              <w:rPr>
                <w:rFonts w:eastAsia="Calibri"/>
                <w:b/>
                <w:bCs/>
                <w:sz w:val="28"/>
                <w:szCs w:val="28"/>
              </w:rPr>
            </w:pPr>
            <w:r>
              <w:rPr>
                <w:color w:val="000000"/>
                <w:sz w:val="28"/>
                <w:szCs w:val="28"/>
              </w:rPr>
              <w:t>b) Quản lý học sinh trong giờ bán trú</w:t>
            </w:r>
          </w:p>
        </w:tc>
        <w:tc>
          <w:tcPr>
            <w:tcW w:w="2551" w:type="dxa"/>
            <w:tcBorders>
              <w:top w:val="dotted" w:sz="4" w:space="0" w:color="auto"/>
              <w:bottom w:val="dotted" w:sz="4" w:space="0" w:color="auto"/>
            </w:tcBorders>
            <w:shd w:val="clear" w:color="auto" w:fill="FFFFFF"/>
            <w:vAlign w:val="center"/>
          </w:tcPr>
          <w:p>
            <w:pPr>
              <w:widowControl w:val="0"/>
              <w:spacing w:before="40" w:after="40" w:line="334" w:lineRule="exact"/>
              <w:jc w:val="center"/>
              <w:rPr>
                <w:rFonts w:eastAsia="Calibri"/>
                <w:b/>
                <w:bCs/>
                <w:sz w:val="28"/>
                <w:szCs w:val="28"/>
              </w:rPr>
            </w:pPr>
            <w:r>
              <w:rPr>
                <w:color w:val="000000"/>
                <w:sz w:val="28"/>
                <w:szCs w:val="28"/>
              </w:rPr>
              <w:t>đồng/học sinh/tháng</w:t>
            </w:r>
          </w:p>
        </w:tc>
        <w:tc>
          <w:tcPr>
            <w:tcW w:w="1559" w:type="dxa"/>
            <w:tcBorders>
              <w:top w:val="dotted" w:sz="4" w:space="0" w:color="auto"/>
              <w:bottom w:val="dotted" w:sz="4" w:space="0" w:color="auto"/>
            </w:tcBorders>
            <w:shd w:val="clear" w:color="auto" w:fill="FFFFFF"/>
            <w:vAlign w:val="center"/>
          </w:tcPr>
          <w:p>
            <w:pPr>
              <w:widowControl w:val="0"/>
              <w:spacing w:before="40" w:after="40" w:line="334" w:lineRule="exact"/>
              <w:jc w:val="right"/>
              <w:rPr>
                <w:rFonts w:eastAsia="Calibri"/>
                <w:b/>
                <w:bCs/>
                <w:sz w:val="28"/>
                <w:szCs w:val="28"/>
              </w:rPr>
            </w:pPr>
            <w:r>
              <w:rPr>
                <w:color w:val="000000"/>
                <w:sz w:val="28"/>
                <w:szCs w:val="28"/>
              </w:rPr>
              <w:t>140.000</w:t>
            </w:r>
          </w:p>
        </w:tc>
      </w:tr>
      <w:tr>
        <w:trPr>
          <w:trHeight w:val="510"/>
        </w:trPr>
        <w:tc>
          <w:tcPr>
            <w:tcW w:w="4957" w:type="dxa"/>
            <w:tcBorders>
              <w:top w:val="dotted" w:sz="4" w:space="0" w:color="auto"/>
              <w:bottom w:val="dotted" w:sz="4" w:space="0" w:color="auto"/>
            </w:tcBorders>
            <w:shd w:val="clear" w:color="auto" w:fill="FFFFFF"/>
            <w:vAlign w:val="center"/>
          </w:tcPr>
          <w:p>
            <w:pPr>
              <w:widowControl w:val="0"/>
              <w:spacing w:before="40" w:after="40" w:line="334" w:lineRule="exact"/>
              <w:jc w:val="both"/>
              <w:rPr>
                <w:rFonts w:eastAsia="Calibri"/>
                <w:b/>
                <w:bCs/>
                <w:sz w:val="28"/>
                <w:szCs w:val="28"/>
              </w:rPr>
            </w:pPr>
            <w:r>
              <w:rPr>
                <w:color w:val="000000"/>
                <w:sz w:val="28"/>
                <w:szCs w:val="28"/>
              </w:rPr>
              <w:t>c) Phục vụ ăn bán trú</w:t>
            </w:r>
          </w:p>
        </w:tc>
        <w:tc>
          <w:tcPr>
            <w:tcW w:w="2551" w:type="dxa"/>
            <w:tcBorders>
              <w:top w:val="dotted" w:sz="4" w:space="0" w:color="auto"/>
              <w:bottom w:val="dotted" w:sz="4" w:space="0" w:color="auto"/>
            </w:tcBorders>
            <w:shd w:val="clear" w:color="auto" w:fill="FFFFFF"/>
            <w:vAlign w:val="center"/>
          </w:tcPr>
          <w:p>
            <w:pPr>
              <w:widowControl w:val="0"/>
              <w:spacing w:before="40" w:after="40" w:line="334" w:lineRule="exact"/>
              <w:jc w:val="center"/>
              <w:rPr>
                <w:rFonts w:eastAsia="Calibri"/>
                <w:b/>
                <w:bCs/>
                <w:sz w:val="28"/>
                <w:szCs w:val="28"/>
              </w:rPr>
            </w:pPr>
            <w:r>
              <w:rPr>
                <w:color w:val="000000"/>
                <w:sz w:val="28"/>
                <w:szCs w:val="28"/>
              </w:rPr>
              <w:t>đồng/học sinh/ngày</w:t>
            </w:r>
          </w:p>
        </w:tc>
        <w:tc>
          <w:tcPr>
            <w:tcW w:w="1559" w:type="dxa"/>
            <w:tcBorders>
              <w:top w:val="dotted" w:sz="4" w:space="0" w:color="auto"/>
              <w:bottom w:val="dotted" w:sz="4" w:space="0" w:color="auto"/>
            </w:tcBorders>
            <w:shd w:val="clear" w:color="auto" w:fill="FFFFFF"/>
            <w:vAlign w:val="center"/>
          </w:tcPr>
          <w:p>
            <w:pPr>
              <w:widowControl w:val="0"/>
              <w:spacing w:before="40" w:after="40" w:line="334" w:lineRule="exact"/>
              <w:jc w:val="right"/>
              <w:rPr>
                <w:rFonts w:eastAsia="Calibri"/>
                <w:b/>
                <w:bCs/>
                <w:sz w:val="28"/>
                <w:szCs w:val="28"/>
              </w:rPr>
            </w:pPr>
            <w:r>
              <w:rPr>
                <w:color w:val="000000"/>
                <w:sz w:val="28"/>
                <w:szCs w:val="28"/>
              </w:rPr>
              <w:t>30.000</w:t>
            </w:r>
          </w:p>
        </w:tc>
      </w:tr>
      <w:tr>
        <w:trPr>
          <w:trHeight w:val="850"/>
        </w:trPr>
        <w:tc>
          <w:tcPr>
            <w:tcW w:w="4957" w:type="dxa"/>
            <w:tcBorders>
              <w:top w:val="dotted" w:sz="4" w:space="0" w:color="auto"/>
              <w:bottom w:val="single" w:sz="4" w:space="0" w:color="auto"/>
            </w:tcBorders>
            <w:shd w:val="clear" w:color="auto" w:fill="FFFFFF"/>
            <w:vAlign w:val="center"/>
          </w:tcPr>
          <w:p>
            <w:pPr>
              <w:widowControl w:val="0"/>
              <w:spacing w:before="60" w:after="60" w:line="334" w:lineRule="exact"/>
              <w:jc w:val="both"/>
              <w:rPr>
                <w:rFonts w:eastAsia="Calibri"/>
                <w:b/>
                <w:bCs/>
                <w:sz w:val="28"/>
                <w:szCs w:val="28"/>
              </w:rPr>
            </w:pPr>
            <w:r>
              <w:rPr>
                <w:color w:val="000000"/>
                <w:sz w:val="28"/>
                <w:szCs w:val="28"/>
              </w:rPr>
              <w:t>d) Phục vụ hoạt động bán trú cho cá nhân học sinh</w:t>
            </w:r>
          </w:p>
        </w:tc>
        <w:tc>
          <w:tcPr>
            <w:tcW w:w="2551" w:type="dxa"/>
            <w:tcBorders>
              <w:top w:val="dotted" w:sz="4" w:space="0" w:color="auto"/>
              <w:bottom w:val="single" w:sz="4" w:space="0" w:color="auto"/>
            </w:tcBorders>
            <w:shd w:val="clear" w:color="auto" w:fill="FFFFFF"/>
            <w:vAlign w:val="center"/>
          </w:tcPr>
          <w:p>
            <w:pPr>
              <w:widowControl w:val="0"/>
              <w:spacing w:before="60" w:after="60" w:line="334" w:lineRule="exact"/>
              <w:jc w:val="center"/>
              <w:rPr>
                <w:rFonts w:eastAsia="Calibri"/>
                <w:b/>
                <w:bCs/>
                <w:sz w:val="28"/>
                <w:szCs w:val="28"/>
              </w:rPr>
            </w:pPr>
            <w:r>
              <w:rPr>
                <w:color w:val="000000"/>
                <w:sz w:val="28"/>
                <w:szCs w:val="28"/>
              </w:rPr>
              <w:t>đồng/học sinh/năm</w:t>
            </w:r>
          </w:p>
        </w:tc>
        <w:tc>
          <w:tcPr>
            <w:tcW w:w="1559" w:type="dxa"/>
            <w:tcBorders>
              <w:top w:val="dotted" w:sz="4" w:space="0" w:color="auto"/>
              <w:bottom w:val="single" w:sz="4" w:space="0" w:color="auto"/>
            </w:tcBorders>
            <w:shd w:val="clear" w:color="auto" w:fill="FFFFFF"/>
            <w:vAlign w:val="center"/>
          </w:tcPr>
          <w:p>
            <w:pPr>
              <w:widowControl w:val="0"/>
              <w:spacing w:before="60" w:after="60" w:line="334" w:lineRule="exact"/>
              <w:jc w:val="right"/>
              <w:rPr>
                <w:rFonts w:eastAsia="Calibri"/>
                <w:b/>
                <w:bCs/>
                <w:sz w:val="28"/>
                <w:szCs w:val="28"/>
              </w:rPr>
            </w:pPr>
            <w:r>
              <w:rPr>
                <w:color w:val="000000"/>
                <w:sz w:val="28"/>
                <w:szCs w:val="28"/>
              </w:rPr>
              <w:t>50.000</w:t>
            </w:r>
          </w:p>
        </w:tc>
      </w:tr>
      <w:tr>
        <w:trPr>
          <w:trHeight w:val="510"/>
        </w:trPr>
        <w:tc>
          <w:tcPr>
            <w:tcW w:w="4957" w:type="dxa"/>
            <w:tcBorders>
              <w:bottom w:val="dotted" w:sz="4" w:space="0" w:color="auto"/>
            </w:tcBorders>
            <w:shd w:val="clear" w:color="auto" w:fill="FFFFFF"/>
            <w:vAlign w:val="center"/>
          </w:tcPr>
          <w:p>
            <w:pPr>
              <w:widowControl w:val="0"/>
              <w:spacing w:before="60" w:after="60" w:line="334" w:lineRule="exact"/>
              <w:jc w:val="both"/>
              <w:rPr>
                <w:rFonts w:eastAsia="Calibri"/>
                <w:b/>
                <w:bCs/>
                <w:sz w:val="28"/>
                <w:szCs w:val="28"/>
              </w:rPr>
            </w:pPr>
            <w:r>
              <w:rPr>
                <w:color w:val="000000"/>
                <w:sz w:val="28"/>
                <w:szCs w:val="28"/>
              </w:rPr>
              <w:t>2. Dịch vụ phục vụ nước uống cho học sinh</w:t>
            </w:r>
          </w:p>
        </w:tc>
        <w:tc>
          <w:tcPr>
            <w:tcW w:w="2551" w:type="dxa"/>
            <w:tcBorders>
              <w:bottom w:val="dotted" w:sz="4" w:space="0" w:color="auto"/>
            </w:tcBorders>
            <w:shd w:val="clear" w:color="auto" w:fill="FFFFFF"/>
            <w:vAlign w:val="center"/>
          </w:tcPr>
          <w:p>
            <w:pPr>
              <w:widowControl w:val="0"/>
              <w:spacing w:before="80" w:after="80" w:line="334" w:lineRule="exact"/>
              <w:jc w:val="center"/>
              <w:rPr>
                <w:rFonts w:eastAsia="Calibri"/>
                <w:b/>
                <w:bCs/>
                <w:sz w:val="28"/>
                <w:szCs w:val="28"/>
              </w:rPr>
            </w:pPr>
          </w:p>
        </w:tc>
        <w:tc>
          <w:tcPr>
            <w:tcW w:w="1559" w:type="dxa"/>
            <w:tcBorders>
              <w:bottom w:val="dotted" w:sz="4" w:space="0" w:color="auto"/>
            </w:tcBorders>
            <w:shd w:val="clear" w:color="auto" w:fill="FFFFFF"/>
            <w:vAlign w:val="center"/>
          </w:tcPr>
          <w:p>
            <w:pPr>
              <w:widowControl w:val="0"/>
              <w:spacing w:before="80" w:after="80" w:line="334" w:lineRule="exact"/>
              <w:jc w:val="right"/>
              <w:rPr>
                <w:rFonts w:eastAsia="Calibri"/>
                <w:b/>
                <w:bCs/>
                <w:sz w:val="28"/>
                <w:szCs w:val="28"/>
              </w:rPr>
            </w:pPr>
            <w:r>
              <w:rPr>
                <w:color w:val="000000"/>
                <w:sz w:val="28"/>
                <w:szCs w:val="28"/>
              </w:rPr>
              <w:t> </w:t>
            </w:r>
          </w:p>
        </w:tc>
      </w:tr>
      <w:tr>
        <w:trPr>
          <w:trHeight w:val="510"/>
        </w:trPr>
        <w:tc>
          <w:tcPr>
            <w:tcW w:w="4957" w:type="dxa"/>
            <w:tcBorders>
              <w:top w:val="dotted" w:sz="4" w:space="0" w:color="auto"/>
              <w:bottom w:val="dotted" w:sz="4" w:space="0" w:color="auto"/>
            </w:tcBorders>
            <w:shd w:val="clear" w:color="auto" w:fill="FFFFFF"/>
            <w:vAlign w:val="center"/>
          </w:tcPr>
          <w:p>
            <w:pPr>
              <w:widowControl w:val="0"/>
              <w:spacing w:before="40" w:after="40" w:line="334" w:lineRule="exact"/>
              <w:jc w:val="both"/>
              <w:rPr>
                <w:rFonts w:eastAsia="Calibri"/>
                <w:b/>
                <w:bCs/>
                <w:sz w:val="28"/>
                <w:szCs w:val="28"/>
              </w:rPr>
            </w:pPr>
            <w:r>
              <w:rPr>
                <w:color w:val="000000"/>
                <w:sz w:val="28"/>
                <w:szCs w:val="28"/>
              </w:rPr>
              <w:t>a) Học 01 buổi/ngày</w:t>
            </w:r>
          </w:p>
        </w:tc>
        <w:tc>
          <w:tcPr>
            <w:tcW w:w="2551" w:type="dxa"/>
            <w:tcBorders>
              <w:top w:val="dotted" w:sz="4" w:space="0" w:color="auto"/>
              <w:bottom w:val="dotted" w:sz="4" w:space="0" w:color="auto"/>
            </w:tcBorders>
            <w:shd w:val="clear" w:color="auto" w:fill="FFFFFF"/>
            <w:vAlign w:val="center"/>
          </w:tcPr>
          <w:p>
            <w:pPr>
              <w:widowControl w:val="0"/>
              <w:spacing w:before="40" w:after="40" w:line="334" w:lineRule="exact"/>
              <w:jc w:val="center"/>
              <w:rPr>
                <w:rFonts w:eastAsia="Calibri"/>
                <w:b/>
                <w:bCs/>
                <w:sz w:val="28"/>
                <w:szCs w:val="28"/>
              </w:rPr>
            </w:pPr>
            <w:r>
              <w:rPr>
                <w:color w:val="000000"/>
                <w:sz w:val="28"/>
                <w:szCs w:val="28"/>
              </w:rPr>
              <w:t>đồng/học sinh/tháng</w:t>
            </w:r>
          </w:p>
        </w:tc>
        <w:tc>
          <w:tcPr>
            <w:tcW w:w="1559" w:type="dxa"/>
            <w:tcBorders>
              <w:top w:val="dotted" w:sz="4" w:space="0" w:color="auto"/>
              <w:bottom w:val="dotted" w:sz="4" w:space="0" w:color="auto"/>
            </w:tcBorders>
            <w:shd w:val="clear" w:color="auto" w:fill="FFFFFF"/>
            <w:vAlign w:val="center"/>
          </w:tcPr>
          <w:p>
            <w:pPr>
              <w:widowControl w:val="0"/>
              <w:spacing w:before="40" w:after="40" w:line="334" w:lineRule="exact"/>
              <w:jc w:val="right"/>
              <w:rPr>
                <w:rFonts w:eastAsia="Calibri"/>
                <w:b/>
                <w:bCs/>
                <w:sz w:val="28"/>
                <w:szCs w:val="28"/>
              </w:rPr>
            </w:pPr>
            <w:r>
              <w:rPr>
                <w:color w:val="000000"/>
                <w:sz w:val="28"/>
                <w:szCs w:val="28"/>
              </w:rPr>
              <w:t>10.000</w:t>
            </w:r>
          </w:p>
        </w:tc>
      </w:tr>
      <w:tr>
        <w:trPr>
          <w:trHeight w:val="510"/>
        </w:trPr>
        <w:tc>
          <w:tcPr>
            <w:tcW w:w="4957" w:type="dxa"/>
            <w:tcBorders>
              <w:top w:val="dotted" w:sz="4" w:space="0" w:color="auto"/>
              <w:bottom w:val="single" w:sz="4" w:space="0" w:color="auto"/>
            </w:tcBorders>
            <w:shd w:val="clear" w:color="auto" w:fill="FFFFFF"/>
            <w:vAlign w:val="center"/>
          </w:tcPr>
          <w:p>
            <w:pPr>
              <w:widowControl w:val="0"/>
              <w:spacing w:before="40" w:after="40" w:line="334" w:lineRule="exact"/>
              <w:jc w:val="both"/>
              <w:rPr>
                <w:rFonts w:eastAsia="Calibri"/>
                <w:b/>
                <w:bCs/>
                <w:sz w:val="28"/>
                <w:szCs w:val="28"/>
              </w:rPr>
            </w:pPr>
            <w:r>
              <w:rPr>
                <w:color w:val="000000"/>
                <w:sz w:val="28"/>
                <w:szCs w:val="28"/>
              </w:rPr>
              <w:t>b) Học 02 buổi/ngày</w:t>
            </w:r>
          </w:p>
        </w:tc>
        <w:tc>
          <w:tcPr>
            <w:tcW w:w="2551" w:type="dxa"/>
            <w:tcBorders>
              <w:top w:val="dotted" w:sz="4" w:space="0" w:color="auto"/>
              <w:bottom w:val="single" w:sz="4" w:space="0" w:color="auto"/>
            </w:tcBorders>
            <w:shd w:val="clear" w:color="auto" w:fill="FFFFFF"/>
            <w:vAlign w:val="center"/>
          </w:tcPr>
          <w:p>
            <w:pPr>
              <w:widowControl w:val="0"/>
              <w:spacing w:before="40" w:after="40" w:line="334" w:lineRule="exact"/>
              <w:jc w:val="center"/>
              <w:rPr>
                <w:rFonts w:eastAsia="Calibri"/>
                <w:b/>
                <w:bCs/>
                <w:sz w:val="28"/>
                <w:szCs w:val="28"/>
              </w:rPr>
            </w:pPr>
            <w:r>
              <w:rPr>
                <w:color w:val="000000"/>
                <w:sz w:val="28"/>
                <w:szCs w:val="28"/>
              </w:rPr>
              <w:t>đồng/học sinh/tháng</w:t>
            </w:r>
          </w:p>
        </w:tc>
        <w:tc>
          <w:tcPr>
            <w:tcW w:w="1559" w:type="dxa"/>
            <w:tcBorders>
              <w:top w:val="dotted" w:sz="4" w:space="0" w:color="auto"/>
              <w:bottom w:val="single" w:sz="4" w:space="0" w:color="auto"/>
            </w:tcBorders>
            <w:shd w:val="clear" w:color="auto" w:fill="FFFFFF"/>
            <w:vAlign w:val="center"/>
          </w:tcPr>
          <w:p>
            <w:pPr>
              <w:widowControl w:val="0"/>
              <w:spacing w:before="40" w:after="40" w:line="334" w:lineRule="exact"/>
              <w:jc w:val="right"/>
              <w:rPr>
                <w:rFonts w:eastAsia="Calibri"/>
                <w:b/>
                <w:bCs/>
                <w:sz w:val="28"/>
                <w:szCs w:val="28"/>
              </w:rPr>
            </w:pPr>
            <w:r>
              <w:rPr>
                <w:color w:val="000000"/>
                <w:sz w:val="28"/>
                <w:szCs w:val="28"/>
              </w:rPr>
              <w:t>15.000</w:t>
            </w:r>
          </w:p>
        </w:tc>
      </w:tr>
      <w:tr>
        <w:tc>
          <w:tcPr>
            <w:tcW w:w="4957" w:type="dxa"/>
            <w:tcBorders>
              <w:bottom w:val="dotted" w:sz="4" w:space="0" w:color="auto"/>
            </w:tcBorders>
            <w:shd w:val="clear" w:color="auto" w:fill="FFFFFF"/>
            <w:vAlign w:val="center"/>
          </w:tcPr>
          <w:p>
            <w:pPr>
              <w:widowControl w:val="0"/>
              <w:spacing w:before="60" w:after="60" w:line="334" w:lineRule="exact"/>
              <w:jc w:val="both"/>
              <w:rPr>
                <w:rFonts w:eastAsia="Calibri"/>
                <w:b/>
                <w:bCs/>
                <w:sz w:val="28"/>
                <w:szCs w:val="28"/>
              </w:rPr>
            </w:pPr>
            <w:r>
              <w:rPr>
                <w:color w:val="000000"/>
                <w:sz w:val="28"/>
                <w:szCs w:val="28"/>
              </w:rPr>
              <w:t>3. Dịch vụ trông giữ phương tiện tham gia giao thông của học sinh</w:t>
            </w:r>
          </w:p>
        </w:tc>
        <w:tc>
          <w:tcPr>
            <w:tcW w:w="2551" w:type="dxa"/>
            <w:tcBorders>
              <w:bottom w:val="dotted" w:sz="4" w:space="0" w:color="auto"/>
            </w:tcBorders>
            <w:shd w:val="clear" w:color="auto" w:fill="FFFFFF"/>
            <w:vAlign w:val="center"/>
          </w:tcPr>
          <w:p>
            <w:pPr>
              <w:widowControl w:val="0"/>
              <w:spacing w:before="60" w:after="60" w:line="334" w:lineRule="exact"/>
              <w:jc w:val="center"/>
              <w:rPr>
                <w:rFonts w:eastAsia="Calibri"/>
                <w:b/>
                <w:bCs/>
                <w:sz w:val="28"/>
                <w:szCs w:val="28"/>
              </w:rPr>
            </w:pPr>
          </w:p>
        </w:tc>
        <w:tc>
          <w:tcPr>
            <w:tcW w:w="1559" w:type="dxa"/>
            <w:tcBorders>
              <w:bottom w:val="dotted" w:sz="4" w:space="0" w:color="auto"/>
            </w:tcBorders>
            <w:shd w:val="clear" w:color="auto" w:fill="FFFFFF"/>
            <w:vAlign w:val="center"/>
          </w:tcPr>
          <w:p>
            <w:pPr>
              <w:widowControl w:val="0"/>
              <w:spacing w:before="60" w:after="60" w:line="334" w:lineRule="exact"/>
              <w:jc w:val="right"/>
              <w:rPr>
                <w:rFonts w:eastAsia="Calibri"/>
                <w:b/>
                <w:bCs/>
                <w:sz w:val="28"/>
                <w:szCs w:val="28"/>
              </w:rPr>
            </w:pPr>
            <w:r>
              <w:rPr>
                <w:color w:val="000000"/>
                <w:sz w:val="28"/>
                <w:szCs w:val="28"/>
              </w:rPr>
              <w:t> </w:t>
            </w:r>
          </w:p>
        </w:tc>
      </w:tr>
      <w:tr>
        <w:trPr>
          <w:trHeight w:val="510"/>
        </w:trPr>
        <w:tc>
          <w:tcPr>
            <w:tcW w:w="4957" w:type="dxa"/>
            <w:tcBorders>
              <w:top w:val="dotted" w:sz="4" w:space="0" w:color="auto"/>
              <w:bottom w:val="dotted" w:sz="4" w:space="0" w:color="auto"/>
            </w:tcBorders>
            <w:shd w:val="clear" w:color="auto" w:fill="FFFFFF"/>
            <w:vAlign w:val="center"/>
          </w:tcPr>
          <w:p>
            <w:pPr>
              <w:widowControl w:val="0"/>
              <w:spacing w:before="40" w:after="40" w:line="334" w:lineRule="exact"/>
              <w:jc w:val="both"/>
              <w:rPr>
                <w:rFonts w:eastAsia="Calibri"/>
                <w:b/>
                <w:bCs/>
                <w:sz w:val="28"/>
                <w:szCs w:val="28"/>
              </w:rPr>
            </w:pPr>
            <w:r>
              <w:rPr>
                <w:color w:val="000000"/>
                <w:sz w:val="28"/>
                <w:szCs w:val="28"/>
              </w:rPr>
              <w:t>a) Xe đạp</w:t>
            </w:r>
          </w:p>
        </w:tc>
        <w:tc>
          <w:tcPr>
            <w:tcW w:w="2551" w:type="dxa"/>
            <w:tcBorders>
              <w:top w:val="dotted" w:sz="4" w:space="0" w:color="auto"/>
              <w:bottom w:val="dotted" w:sz="4" w:space="0" w:color="auto"/>
            </w:tcBorders>
            <w:shd w:val="clear" w:color="auto" w:fill="FFFFFF"/>
            <w:vAlign w:val="center"/>
          </w:tcPr>
          <w:p>
            <w:pPr>
              <w:widowControl w:val="0"/>
              <w:spacing w:before="40" w:after="40" w:line="334" w:lineRule="exact"/>
              <w:jc w:val="center"/>
              <w:rPr>
                <w:rFonts w:eastAsia="Calibri"/>
                <w:b/>
                <w:bCs/>
                <w:sz w:val="28"/>
                <w:szCs w:val="28"/>
              </w:rPr>
            </w:pPr>
            <w:r>
              <w:rPr>
                <w:color w:val="000000"/>
                <w:sz w:val="28"/>
                <w:szCs w:val="28"/>
              </w:rPr>
              <w:t>đồng/xe/tháng</w:t>
            </w:r>
          </w:p>
        </w:tc>
        <w:tc>
          <w:tcPr>
            <w:tcW w:w="1559" w:type="dxa"/>
            <w:tcBorders>
              <w:top w:val="dotted" w:sz="4" w:space="0" w:color="auto"/>
              <w:bottom w:val="dotted" w:sz="4" w:space="0" w:color="auto"/>
            </w:tcBorders>
            <w:shd w:val="clear" w:color="auto" w:fill="FFFFFF"/>
            <w:vAlign w:val="center"/>
          </w:tcPr>
          <w:p>
            <w:pPr>
              <w:widowControl w:val="0"/>
              <w:spacing w:before="40" w:after="40" w:line="334" w:lineRule="exact"/>
              <w:jc w:val="right"/>
              <w:rPr>
                <w:rFonts w:eastAsia="Calibri"/>
                <w:b/>
                <w:bCs/>
                <w:sz w:val="28"/>
                <w:szCs w:val="28"/>
              </w:rPr>
            </w:pPr>
            <w:r>
              <w:rPr>
                <w:color w:val="000000"/>
                <w:sz w:val="28"/>
                <w:szCs w:val="28"/>
              </w:rPr>
              <w:t>30.000</w:t>
            </w:r>
          </w:p>
        </w:tc>
      </w:tr>
      <w:tr>
        <w:trPr>
          <w:trHeight w:val="510"/>
        </w:trPr>
        <w:tc>
          <w:tcPr>
            <w:tcW w:w="4957" w:type="dxa"/>
            <w:tcBorders>
              <w:top w:val="dotted" w:sz="4" w:space="0" w:color="auto"/>
            </w:tcBorders>
            <w:shd w:val="clear" w:color="auto" w:fill="FFFFFF"/>
            <w:vAlign w:val="center"/>
          </w:tcPr>
          <w:p>
            <w:pPr>
              <w:widowControl w:val="0"/>
              <w:spacing w:before="40" w:after="40" w:line="334" w:lineRule="exact"/>
              <w:jc w:val="both"/>
              <w:rPr>
                <w:rFonts w:eastAsia="Calibri"/>
                <w:b/>
                <w:bCs/>
                <w:sz w:val="28"/>
                <w:szCs w:val="28"/>
              </w:rPr>
            </w:pPr>
            <w:r>
              <w:rPr>
                <w:color w:val="000000"/>
                <w:sz w:val="28"/>
                <w:szCs w:val="28"/>
              </w:rPr>
              <w:t>b) Xe đạp điện, xe máy điện</w:t>
            </w:r>
          </w:p>
        </w:tc>
        <w:tc>
          <w:tcPr>
            <w:tcW w:w="2551" w:type="dxa"/>
            <w:tcBorders>
              <w:top w:val="dotted" w:sz="4" w:space="0" w:color="auto"/>
            </w:tcBorders>
            <w:shd w:val="clear" w:color="auto" w:fill="FFFFFF"/>
            <w:vAlign w:val="center"/>
          </w:tcPr>
          <w:p>
            <w:pPr>
              <w:widowControl w:val="0"/>
              <w:spacing w:before="40" w:after="40" w:line="334" w:lineRule="exact"/>
              <w:jc w:val="center"/>
              <w:rPr>
                <w:rFonts w:eastAsia="Calibri"/>
                <w:b/>
                <w:bCs/>
                <w:sz w:val="28"/>
                <w:szCs w:val="28"/>
              </w:rPr>
            </w:pPr>
            <w:r>
              <w:rPr>
                <w:color w:val="000000"/>
                <w:sz w:val="28"/>
                <w:szCs w:val="28"/>
              </w:rPr>
              <w:t>đồng/xe/tháng</w:t>
            </w:r>
          </w:p>
        </w:tc>
        <w:tc>
          <w:tcPr>
            <w:tcW w:w="1559" w:type="dxa"/>
            <w:tcBorders>
              <w:top w:val="dotted" w:sz="4" w:space="0" w:color="auto"/>
            </w:tcBorders>
            <w:shd w:val="clear" w:color="auto" w:fill="FFFFFF"/>
            <w:vAlign w:val="center"/>
          </w:tcPr>
          <w:p>
            <w:pPr>
              <w:widowControl w:val="0"/>
              <w:spacing w:before="40" w:after="40" w:line="334" w:lineRule="exact"/>
              <w:jc w:val="right"/>
              <w:rPr>
                <w:rFonts w:eastAsia="Calibri"/>
                <w:b/>
                <w:bCs/>
                <w:sz w:val="28"/>
                <w:szCs w:val="28"/>
              </w:rPr>
            </w:pPr>
            <w:r>
              <w:rPr>
                <w:color w:val="000000"/>
                <w:sz w:val="28"/>
                <w:szCs w:val="28"/>
              </w:rPr>
              <w:t>50.000</w:t>
            </w:r>
          </w:p>
        </w:tc>
      </w:tr>
      <w:tr>
        <w:tc>
          <w:tcPr>
            <w:tcW w:w="4957" w:type="dxa"/>
            <w:shd w:val="clear" w:color="auto" w:fill="FFFFFF"/>
            <w:vAlign w:val="center"/>
          </w:tcPr>
          <w:p>
            <w:pPr>
              <w:widowControl w:val="0"/>
              <w:spacing w:before="40" w:after="40" w:line="334" w:lineRule="exact"/>
              <w:jc w:val="both"/>
              <w:rPr>
                <w:rFonts w:eastAsia="Calibri"/>
                <w:b/>
                <w:bCs/>
                <w:sz w:val="28"/>
                <w:szCs w:val="28"/>
              </w:rPr>
            </w:pPr>
            <w:r>
              <w:rPr>
                <w:color w:val="000000"/>
                <w:sz w:val="28"/>
                <w:szCs w:val="28"/>
              </w:rPr>
              <w:t>4. Dịch vụ chăm sóc trẻ mầm non ngoài giờ quy định: Đón sớm, trả muộn; ngày thứ Bảy; trong thời gian nghỉ hè</w:t>
            </w:r>
          </w:p>
        </w:tc>
        <w:tc>
          <w:tcPr>
            <w:tcW w:w="4110" w:type="dxa"/>
            <w:gridSpan w:val="2"/>
            <w:shd w:val="clear" w:color="auto" w:fill="FFFFFF"/>
            <w:vAlign w:val="center"/>
          </w:tcPr>
          <w:p>
            <w:pPr>
              <w:widowControl w:val="0"/>
              <w:spacing w:before="40" w:after="40" w:line="334" w:lineRule="exact"/>
              <w:jc w:val="center"/>
              <w:rPr>
                <w:rFonts w:eastAsia="Calibri"/>
                <w:b/>
                <w:bCs/>
                <w:sz w:val="28"/>
                <w:szCs w:val="28"/>
              </w:rPr>
            </w:pPr>
            <w:r>
              <w:rPr>
                <w:color w:val="000000"/>
                <w:sz w:val="28"/>
                <w:szCs w:val="28"/>
              </w:rPr>
              <w:t>Theo thỏa thuận</w:t>
            </w:r>
          </w:p>
        </w:tc>
      </w:tr>
      <w:tr>
        <w:trPr>
          <w:trHeight w:val="567"/>
        </w:trPr>
        <w:tc>
          <w:tcPr>
            <w:tcW w:w="4957" w:type="dxa"/>
            <w:shd w:val="clear" w:color="auto" w:fill="FFFFFF"/>
            <w:vAlign w:val="center"/>
          </w:tcPr>
          <w:p>
            <w:pPr>
              <w:widowControl w:val="0"/>
              <w:spacing w:before="60" w:after="60"/>
              <w:jc w:val="both"/>
              <w:rPr>
                <w:rFonts w:eastAsia="Calibri"/>
                <w:b/>
                <w:bCs/>
                <w:sz w:val="28"/>
                <w:szCs w:val="28"/>
              </w:rPr>
            </w:pPr>
            <w:r>
              <w:rPr>
                <w:color w:val="000000"/>
                <w:sz w:val="28"/>
                <w:szCs w:val="28"/>
              </w:rPr>
              <w:t>5. Dịch vụ sử dụng máy điều hòa lớp học</w:t>
            </w:r>
          </w:p>
        </w:tc>
        <w:tc>
          <w:tcPr>
            <w:tcW w:w="4110" w:type="dxa"/>
            <w:gridSpan w:val="2"/>
            <w:shd w:val="clear" w:color="auto" w:fill="FFFFFF"/>
            <w:vAlign w:val="center"/>
          </w:tcPr>
          <w:p>
            <w:pPr>
              <w:widowControl w:val="0"/>
              <w:spacing w:before="60" w:after="60" w:line="334" w:lineRule="exact"/>
              <w:jc w:val="center"/>
              <w:rPr>
                <w:rFonts w:eastAsia="Calibri"/>
                <w:b/>
                <w:bCs/>
                <w:sz w:val="28"/>
                <w:szCs w:val="28"/>
              </w:rPr>
            </w:pPr>
            <w:r>
              <w:rPr>
                <w:color w:val="000000"/>
                <w:sz w:val="28"/>
                <w:szCs w:val="28"/>
              </w:rPr>
              <w:t>Theo thực tế</w:t>
            </w:r>
          </w:p>
        </w:tc>
      </w:tr>
      <w:tr>
        <w:trPr>
          <w:trHeight w:val="567"/>
        </w:trPr>
        <w:tc>
          <w:tcPr>
            <w:tcW w:w="4957" w:type="dxa"/>
            <w:shd w:val="clear" w:color="auto" w:fill="FFFFFF"/>
            <w:vAlign w:val="center"/>
          </w:tcPr>
          <w:p>
            <w:pPr>
              <w:widowControl w:val="0"/>
              <w:spacing w:before="60" w:after="120"/>
              <w:jc w:val="both"/>
              <w:rPr>
                <w:rFonts w:eastAsia="Calibri"/>
                <w:b/>
                <w:bCs/>
                <w:sz w:val="28"/>
                <w:szCs w:val="28"/>
              </w:rPr>
            </w:pPr>
            <w:r>
              <w:rPr>
                <w:color w:val="000000"/>
                <w:sz w:val="28"/>
                <w:szCs w:val="28"/>
              </w:rPr>
              <w:t>6. Dịch vụ đưa đón người học</w:t>
            </w:r>
          </w:p>
        </w:tc>
        <w:tc>
          <w:tcPr>
            <w:tcW w:w="4110" w:type="dxa"/>
            <w:gridSpan w:val="2"/>
            <w:shd w:val="clear" w:color="auto" w:fill="FFFFFF"/>
            <w:vAlign w:val="center"/>
          </w:tcPr>
          <w:p>
            <w:pPr>
              <w:widowControl w:val="0"/>
              <w:spacing w:before="40" w:after="60" w:line="334" w:lineRule="exact"/>
              <w:jc w:val="center"/>
              <w:rPr>
                <w:rFonts w:eastAsia="Calibri"/>
                <w:b/>
                <w:bCs/>
                <w:sz w:val="28"/>
                <w:szCs w:val="28"/>
              </w:rPr>
            </w:pPr>
            <w:r>
              <w:rPr>
                <w:color w:val="000000"/>
                <w:sz w:val="28"/>
                <w:szCs w:val="28"/>
              </w:rPr>
              <w:t>Theo thỏa thuận</w:t>
            </w:r>
          </w:p>
        </w:tc>
      </w:tr>
    </w:tbl>
    <w:bookmarkEnd w:id="1"/>
    <w:p>
      <w:pPr>
        <w:widowControl w:val="0"/>
        <w:spacing w:after="0" w:line="240" w:lineRule="auto"/>
        <w:rPr>
          <w:rFonts w:ascii="Times New Roman Bold" w:hAnsi="Times New Roman Bold"/>
          <w:b/>
          <w:bCs/>
          <w:szCs w:val="28"/>
        </w:rPr>
      </w:pPr>
      <w:r>
        <w:rPr>
          <w:rFonts w:ascii="Times New Roman Bold" w:hAnsi="Times New Roman Bold"/>
          <w:b/>
          <w:bCs/>
          <w:szCs w:val="28"/>
        </w:rPr>
        <w:t>Điều 3. Cơ chế quản lý thu, chi</w:t>
      </w:r>
    </w:p>
    <w:p>
      <w:pPr>
        <w:widowControl w:val="0"/>
        <w:spacing w:after="0" w:line="240" w:lineRule="auto"/>
        <w:rPr>
          <w:bCs/>
          <w:szCs w:val="28"/>
        </w:rPr>
      </w:pPr>
      <w:r>
        <w:rPr>
          <w:bCs/>
          <w:szCs w:val="28"/>
        </w:rPr>
        <w:t>1. Các cơ sở giáo dục công lập phải xây dựng kế hoạch thu, chi cụ thể; thực hiện thu đúng, thu đủ chi, sử dụng đúng mục đích, tiết kiệm, hiệu quả. Có sự thỏa thuận thống nhất bằng văn bản với cha mẹ học sinh hoặc người giám hộ học sinh về mức thu cụ thể đối với các khoản thu dịch vụ phục vụ và hỗ trợ hoạt động giáo dục, đào tạo, bảo đảm phù hợp với điều kiện thực tế của từng cơ sở giáo dục, trên tinh thần tự nguyện, dân chủ, có sự thống nhất của tập thể lãnh đạo và giáo viên nhà trường, vì quyền lợi của học sinh.</w:t>
      </w:r>
    </w:p>
    <w:p>
      <w:pPr>
        <w:spacing w:after="0" w:line="240" w:lineRule="auto"/>
        <w:rPr>
          <w:bCs/>
          <w:szCs w:val="28"/>
        </w:rPr>
      </w:pPr>
      <w:r>
        <w:rPr>
          <w:bCs/>
          <w:szCs w:val="28"/>
        </w:rPr>
        <w:t>2. Trong quá trình thực hiện các khoản thu, chi phải đảm bảo tính công khai, dân chủ, minh bạch. Thực hiện niêm yết công khai hằng tháng các khoản thu, chi theo quy định để cha mẹ hoặc người giám hộ học sinh, các đoàn thể, tổ chức xã hội và Nhân dân theo dõi, giám sát.</w:t>
      </w:r>
    </w:p>
    <w:p>
      <w:pPr>
        <w:spacing w:after="0" w:line="240" w:lineRule="auto"/>
        <w:rPr>
          <w:bCs/>
          <w:szCs w:val="28"/>
        </w:rPr>
      </w:pPr>
      <w:r>
        <w:rPr>
          <w:bCs/>
          <w:szCs w:val="28"/>
        </w:rPr>
        <w:t>3. Các khoản thu, chi phải có chứng từ đầy đủ theo quy định, được hạch toán vào hệ thống sổ sách kế toán và báo cáo quyết toán thu, chi hằng năm theo quy định tài chính hiện hành.</w:t>
      </w:r>
    </w:p>
    <w:p>
      <w:pPr>
        <w:spacing w:after="0" w:line="240" w:lineRule="auto"/>
        <w:rPr>
          <w:b/>
          <w:bCs/>
          <w:szCs w:val="28"/>
        </w:rPr>
      </w:pPr>
      <w:r>
        <w:rPr>
          <w:b/>
          <w:bCs/>
          <w:szCs w:val="28"/>
        </w:rPr>
        <w:t>Điều 4. Điều khoản thi hành</w:t>
      </w:r>
    </w:p>
    <w:p>
      <w:pPr>
        <w:spacing w:after="0" w:line="240" w:lineRule="auto"/>
        <w:rPr>
          <w:szCs w:val="28"/>
        </w:rPr>
      </w:pPr>
      <w:r>
        <w:rPr>
          <w:szCs w:val="28"/>
        </w:rPr>
        <w:t xml:space="preserve">1. Quyết định này có hiệu lực thi hành từ ngày 28 tháng 4 năm 2026 đến hết ngày 31 tháng 7 năm 2026. </w:t>
      </w:r>
    </w:p>
    <w:p>
      <w:pPr>
        <w:spacing w:after="0" w:line="240" w:lineRule="auto"/>
        <w:rPr>
          <w:bCs/>
          <w:szCs w:val="28"/>
        </w:rPr>
      </w:pPr>
      <w:r>
        <w:rPr>
          <w:bCs/>
          <w:spacing w:val="-4"/>
          <w:szCs w:val="28"/>
        </w:rPr>
        <w:t>2. Giao Sở Giáo dục và Đào tạo chủ trì, phối hợp với Sở Tài chính, các cơ quan, đơn vị liên quan, Ủy ban nhân dân các xã, phường, đặc khu hướng dẫn, tổ chức</w:t>
      </w:r>
      <w:r>
        <w:rPr>
          <w:bCs/>
          <w:szCs w:val="28"/>
        </w:rPr>
        <w:t xml:space="preserve"> triển khai thực hiện Quyết định này; kiểm tra, giám sát việc thực hiện Quyết định đảm bảo đúng quy định pháp luật; tổ chức rà soát, đánh giá việc thực hiện, tham mưu Ủy ban nhân dân tỉnh điều chỉnh cho phù hợp với chủ trương của Đảng, chính sách, pháp luật của Nhà nước và điều kiện thực tế, bảo đảm hợp lý, tiết kiệm đối với các khoản thu của người học.</w:t>
      </w:r>
    </w:p>
    <w:p>
      <w:pPr>
        <w:spacing w:after="0" w:line="240" w:lineRule="auto"/>
        <w:rPr>
          <w:bCs/>
          <w:spacing w:val="-2"/>
          <w:szCs w:val="28"/>
        </w:rPr>
      </w:pPr>
      <w:r>
        <w:rPr>
          <w:bCs/>
          <w:spacing w:val="-2"/>
          <w:szCs w:val="28"/>
        </w:rPr>
        <w:t>Ủy ban nhân dân các xã, phường, đặc khu chịu trách nhiệm tổ chức kiểm tra việc thực hiện các quy định về thu, chi, công khai, minh bạch thu, chi theo Quyết định này và quy định pháp luật có liên quan trên địa bàn theo phân cấp quản lý.</w:t>
      </w:r>
    </w:p>
    <w:p>
      <w:pPr>
        <w:spacing w:after="240" w:line="240" w:lineRule="auto"/>
        <w:rPr>
          <w:szCs w:val="28"/>
        </w:rPr>
      </w:pPr>
      <w:r>
        <w:rPr>
          <w:szCs w:val="28"/>
        </w:rPr>
        <w:t xml:space="preserve">3. </w:t>
      </w:r>
      <w:r>
        <w:rPr>
          <w:spacing w:val="-2"/>
          <w:szCs w:val="28"/>
        </w:rPr>
        <w:t>Chánh Văn phòng Ủy ban nhân dân tỉnh, Giám đốc các Sở: Giáo dục và Đào tạo, Tài chính; Chủ tịch Ủy ban nhân dân các xã, phường, đặc khu; Thủ trưởng</w:t>
      </w:r>
      <w:r>
        <w:rPr>
          <w:szCs w:val="28"/>
        </w:rPr>
        <w:t xml:space="preserve"> các đơn vị và cá nhân liên quan chịu trách nhiệm thi hành Quyết định./.</w:t>
      </w:r>
    </w:p>
    <w:tbl>
      <w:tblPr>
        <w:tblW w:w="9072" w:type="dxa"/>
        <w:tblInd w:w="108" w:type="dxa"/>
        <w:tblLook w:val="01E0" w:firstRow="1" w:lastRow="1" w:firstColumn="1" w:lastColumn="1" w:noHBand="0" w:noVBand="0"/>
      </w:tblPr>
      <w:tblGrid>
        <w:gridCol w:w="4087"/>
        <w:gridCol w:w="4985"/>
      </w:tblGrid>
      <w:tr>
        <w:tc>
          <w:tcPr>
            <w:tcW w:w="4087" w:type="dxa"/>
          </w:tcPr>
          <w:p>
            <w:pPr>
              <w:spacing w:before="0" w:after="0" w:line="240" w:lineRule="auto"/>
              <w:ind w:firstLine="0"/>
              <w:rPr>
                <w:b/>
                <w:bCs/>
                <w:sz w:val="24"/>
              </w:rPr>
            </w:pPr>
            <w:r>
              <w:rPr>
                <w:b/>
                <w:bCs/>
                <w:i/>
                <w:sz w:val="24"/>
              </w:rPr>
              <w:t>Nơi nhận</w:t>
            </w:r>
            <w:r>
              <w:rPr>
                <w:b/>
                <w:bCs/>
                <w:sz w:val="24"/>
              </w:rPr>
              <w:t>:</w:t>
            </w:r>
          </w:p>
          <w:p>
            <w:pPr>
              <w:spacing w:before="0" w:after="0" w:line="240" w:lineRule="auto"/>
              <w:ind w:firstLine="0"/>
              <w:rPr>
                <w:sz w:val="22"/>
              </w:rPr>
            </w:pPr>
            <w:r>
              <w:rPr>
                <w:sz w:val="22"/>
              </w:rPr>
              <w:t>- Như Điều 4;</w:t>
            </w:r>
          </w:p>
          <w:p>
            <w:pPr>
              <w:spacing w:before="0" w:after="0" w:line="240" w:lineRule="auto"/>
              <w:ind w:firstLine="0"/>
              <w:rPr>
                <w:sz w:val="22"/>
              </w:rPr>
            </w:pPr>
            <w:r>
              <w:rPr>
                <w:sz w:val="22"/>
              </w:rPr>
              <w:t>- Bộ GDĐT (báo cáo);</w:t>
            </w:r>
          </w:p>
          <w:p>
            <w:pPr>
              <w:spacing w:before="0" w:after="0" w:line="240" w:lineRule="auto"/>
              <w:ind w:firstLine="0"/>
              <w:rPr>
                <w:sz w:val="22"/>
              </w:rPr>
            </w:pPr>
            <w:r>
              <w:rPr>
                <w:sz w:val="22"/>
              </w:rPr>
              <w:t>- Đảng ủy UBND tỉnh (báo cáo);</w:t>
            </w:r>
          </w:p>
          <w:p>
            <w:pPr>
              <w:spacing w:before="0" w:after="0" w:line="240" w:lineRule="auto"/>
              <w:ind w:firstLine="0"/>
              <w:rPr>
                <w:sz w:val="22"/>
              </w:rPr>
            </w:pPr>
            <w:r>
              <w:rPr>
                <w:sz w:val="22"/>
              </w:rPr>
              <w:t>- Cục KTVB&amp;QLXLVPHC - Bộ Tư pháp;</w:t>
            </w:r>
          </w:p>
          <w:p>
            <w:pPr>
              <w:spacing w:before="0" w:after="0" w:line="240" w:lineRule="auto"/>
              <w:ind w:firstLine="0"/>
              <w:rPr>
                <w:sz w:val="22"/>
              </w:rPr>
            </w:pPr>
            <w:r>
              <w:rPr>
                <w:sz w:val="22"/>
              </w:rPr>
              <w:t>- CT, các PCT UBND tỉnh;</w:t>
            </w:r>
          </w:p>
          <w:p>
            <w:pPr>
              <w:spacing w:before="0" w:after="0" w:line="240" w:lineRule="auto"/>
              <w:ind w:firstLine="0"/>
              <w:rPr>
                <w:sz w:val="22"/>
              </w:rPr>
            </w:pPr>
            <w:r>
              <w:rPr>
                <w:sz w:val="22"/>
              </w:rPr>
              <w:t>- Các sở, ban, ngành thuộc tỉnh;</w:t>
            </w:r>
          </w:p>
          <w:p>
            <w:pPr>
              <w:spacing w:before="0" w:after="0" w:line="240" w:lineRule="auto"/>
              <w:ind w:firstLine="0"/>
              <w:rPr>
                <w:sz w:val="22"/>
              </w:rPr>
            </w:pPr>
            <w:r>
              <w:rPr>
                <w:sz w:val="22"/>
              </w:rPr>
              <w:t>- UBND các xã, phường, đặc khu;</w:t>
            </w:r>
          </w:p>
          <w:p>
            <w:pPr>
              <w:spacing w:before="0" w:after="0" w:line="240" w:lineRule="auto"/>
              <w:ind w:firstLine="0"/>
              <w:rPr>
                <w:sz w:val="22"/>
              </w:rPr>
            </w:pPr>
            <w:r>
              <w:rPr>
                <w:sz w:val="22"/>
              </w:rPr>
              <w:t>- Báo và Phát thanh, Truyền hình tỉnh;</w:t>
            </w:r>
          </w:p>
          <w:p>
            <w:pPr>
              <w:spacing w:before="0" w:after="0" w:line="240" w:lineRule="auto"/>
              <w:ind w:firstLine="0"/>
              <w:rPr>
                <w:sz w:val="22"/>
              </w:rPr>
            </w:pPr>
            <w:r>
              <w:rPr>
                <w:sz w:val="22"/>
              </w:rPr>
              <w:t>- Công báo tỉnh;</w:t>
            </w:r>
          </w:p>
          <w:p>
            <w:pPr>
              <w:spacing w:before="0" w:after="0" w:line="240" w:lineRule="auto"/>
              <w:ind w:firstLine="0"/>
              <w:rPr>
                <w:sz w:val="22"/>
              </w:rPr>
            </w:pPr>
            <w:r>
              <w:rPr>
                <w:sz w:val="22"/>
              </w:rPr>
              <w:t>- Cổng thông tin điện tử tỉnh Quảng Ninh;</w:t>
            </w:r>
          </w:p>
          <w:p>
            <w:pPr>
              <w:spacing w:before="0" w:after="0" w:line="240" w:lineRule="auto"/>
              <w:ind w:firstLine="0"/>
              <w:rPr>
                <w:sz w:val="22"/>
              </w:rPr>
            </w:pPr>
            <w:r>
              <w:rPr>
                <w:sz w:val="22"/>
              </w:rPr>
              <w:t>- V0, V1-4; các CVNCTH;</w:t>
            </w:r>
          </w:p>
          <w:p>
            <w:pPr>
              <w:spacing w:before="0" w:after="0" w:line="240" w:lineRule="auto"/>
              <w:ind w:firstLine="0"/>
              <w:rPr>
                <w:sz w:val="18"/>
                <w:szCs w:val="18"/>
              </w:rPr>
            </w:pPr>
            <w:r>
              <w:rPr>
                <w:sz w:val="22"/>
              </w:rPr>
              <w:t xml:space="preserve">- Lưu VT, GD. </w:t>
            </w:r>
            <w:r>
              <w:rPr>
                <w:sz w:val="22"/>
                <w:vertAlign w:val="subscript"/>
              </w:rPr>
              <w:t>038.9</w:t>
            </w:r>
            <w:r>
              <w:rPr>
                <w:sz w:val="22"/>
              </w:rPr>
              <w:t xml:space="preserve"> </w:t>
            </w:r>
            <w:r>
              <w:rPr>
                <w:sz w:val="18"/>
                <w:szCs w:val="18"/>
              </w:rPr>
              <w:t xml:space="preserve"> </w:t>
            </w:r>
          </w:p>
        </w:tc>
        <w:tc>
          <w:tcPr>
            <w:tcW w:w="4985" w:type="dxa"/>
          </w:tcPr>
          <w:p>
            <w:pPr>
              <w:spacing w:before="0" w:after="0" w:line="240" w:lineRule="auto"/>
              <w:ind w:firstLine="0"/>
              <w:jc w:val="center"/>
              <w:rPr>
                <w:b/>
                <w:bCs/>
                <w:lang w:val="fr-FR"/>
              </w:rPr>
            </w:pPr>
            <w:r>
              <w:rPr>
                <w:b/>
                <w:bCs/>
                <w:lang w:val="fr-FR"/>
              </w:rPr>
              <w:t>TM. ỦY BAN NHÂN DÂN</w:t>
            </w:r>
          </w:p>
          <w:p>
            <w:pPr>
              <w:spacing w:before="0" w:after="0" w:line="240" w:lineRule="auto"/>
              <w:ind w:firstLine="0"/>
              <w:jc w:val="center"/>
              <w:rPr>
                <w:b/>
                <w:bCs/>
                <w:lang w:val="fr-FR"/>
              </w:rPr>
            </w:pPr>
            <w:r>
              <w:rPr>
                <w:b/>
                <w:bCs/>
                <w:lang w:val="fr-FR"/>
              </w:rPr>
              <w:t>KT. CHỦ TỊCH</w:t>
            </w:r>
          </w:p>
          <w:p>
            <w:pPr>
              <w:spacing w:before="0" w:after="0" w:line="240" w:lineRule="auto"/>
              <w:ind w:firstLine="0"/>
              <w:jc w:val="center"/>
              <w:rPr>
                <w:b/>
                <w:bCs/>
                <w:lang w:val="fr-FR"/>
              </w:rPr>
            </w:pPr>
            <w:r>
              <w:rPr>
                <w:b/>
                <w:bCs/>
                <w:lang w:val="fr-FR"/>
              </w:rPr>
              <w:t>PHÓ CHỦ TỊCH</w:t>
            </w:r>
          </w:p>
          <w:p>
            <w:pPr>
              <w:spacing w:before="0" w:after="0" w:line="240" w:lineRule="auto"/>
              <w:ind w:firstLine="0"/>
              <w:jc w:val="center"/>
              <w:rPr>
                <w:b/>
                <w:bCs/>
                <w:lang w:val="fr-FR"/>
              </w:rPr>
            </w:pPr>
          </w:p>
          <w:p>
            <w:pPr>
              <w:spacing w:before="0" w:after="0" w:line="240" w:lineRule="auto"/>
              <w:ind w:firstLine="0"/>
              <w:jc w:val="center"/>
              <w:rPr>
                <w:b/>
                <w:bCs/>
                <w:lang w:val="fr-FR"/>
              </w:rPr>
            </w:pPr>
          </w:p>
          <w:p>
            <w:pPr>
              <w:spacing w:before="0" w:after="0" w:line="240" w:lineRule="auto"/>
              <w:ind w:firstLine="0"/>
              <w:jc w:val="center"/>
              <w:rPr>
                <w:b/>
                <w:bCs/>
                <w:lang w:val="fr-FR"/>
              </w:rPr>
            </w:pPr>
          </w:p>
          <w:p>
            <w:pPr>
              <w:spacing w:before="0" w:after="0" w:line="240" w:lineRule="auto"/>
              <w:ind w:firstLine="0"/>
              <w:jc w:val="center"/>
              <w:rPr>
                <w:b/>
                <w:bCs/>
                <w:lang w:val="fr-FR"/>
              </w:rPr>
            </w:pPr>
          </w:p>
          <w:p>
            <w:pPr>
              <w:spacing w:before="0" w:after="0" w:line="240" w:lineRule="auto"/>
              <w:ind w:firstLine="0"/>
              <w:jc w:val="center"/>
              <w:rPr>
                <w:b/>
                <w:bCs/>
                <w:lang w:val="fr-FR"/>
              </w:rPr>
            </w:pPr>
          </w:p>
          <w:p>
            <w:pPr>
              <w:spacing w:before="0" w:after="0" w:line="240" w:lineRule="auto"/>
              <w:ind w:firstLine="0"/>
              <w:jc w:val="center"/>
              <w:rPr>
                <w:b/>
                <w:bCs/>
                <w:lang w:val="fr-FR"/>
              </w:rPr>
            </w:pPr>
          </w:p>
          <w:p>
            <w:pPr>
              <w:spacing w:before="0" w:after="0" w:line="240" w:lineRule="auto"/>
              <w:ind w:firstLine="0"/>
              <w:jc w:val="center"/>
              <w:rPr>
                <w:b/>
                <w:bCs/>
                <w:lang w:val="fr-FR"/>
              </w:rPr>
            </w:pPr>
            <w:r>
              <w:rPr>
                <w:b/>
                <w:bCs/>
                <w:lang w:val="fr-FR"/>
              </w:rPr>
              <w:t>Nguyễn Thị Hạnh</w:t>
            </w:r>
          </w:p>
        </w:tc>
      </w:tr>
    </w:tbl>
    <w:p>
      <w:pPr>
        <w:spacing w:after="0" w:line="247" w:lineRule="auto"/>
        <w:ind w:firstLine="0"/>
        <w:rPr>
          <w:lang w:val="fr-FR"/>
        </w:rPr>
      </w:pPr>
    </w:p>
    <w:sectPr>
      <w:headerReference w:type="default" r:id="rId7"/>
      <w:pgSz w:w="11906" w:h="16838"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tabs>
        <w:tab w:val="center" w:pos="4895"/>
        <w:tab w:val="left" w:pos="5445"/>
      </w:tabs>
      <w:spacing w:before="60" w:after="60"/>
      <w:ind w:firstLine="0"/>
      <w:jc w:val="left"/>
    </w:pPr>
    <w:r>
      <w:tab/>
    </w:r>
    <w:sdt>
      <w:sdtPr>
        <w:id w:val="-2027707214"/>
        <w:docPartObj>
          <w:docPartGallery w:val="Page Numbers (Top of Page)"/>
          <w:docPartUnique/>
        </w:docPartObj>
      </w:sdtPr>
      <w:sdtEndPr>
        <w:rPr>
          <w:noProof/>
        </w:rPr>
      </w:sdtEndPr>
      <w:sdtContent>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4</w:t>
        </w:r>
        <w:r>
          <w:rPr>
            <w:noProof/>
            <w:sz w:val="26"/>
            <w:szCs w:val="26"/>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5:chartTrackingRefBased/>
  <w15:docId w15:val="{724155E5-F561-443B-87BD-BE281984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8"/>
        <w:szCs w:val="24"/>
        <w:lang w:val="en-US" w:eastAsia="en-US" w:bidi="ar-SA"/>
        <w14:ligatures w14:val="standardContextual"/>
      </w:rPr>
    </w:rPrDefault>
    <w:pPrDefault>
      <w:pPr>
        <w:spacing w:before="120" w:after="120" w:line="252"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pPr>
      <w:spacing w:before="0" w:after="0" w:line="240" w:lineRule="auto"/>
      <w:ind w:firstLine="0"/>
      <w:jc w:val="left"/>
    </w:p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NormalWeb">
    <w:name w:val="Normal (Web)"/>
    <w:aliases w:val="Normal (Web) Char"/>
    <w:basedOn w:val="Normal"/>
    <w:link w:val="NormalWebChar1"/>
    <w:uiPriority w:val="99"/>
    <w:unhideWhenUsed/>
    <w:qFormat/>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ind w:firstLine="0"/>
      <w:jc w:val="left"/>
    </w:pPr>
    <w:rPr>
      <w:rFonts w:eastAsia="Times New Roman"/>
      <w:kern w:val="0"/>
      <w:sz w:val="24"/>
      <w14:ligatures w14:val="none"/>
    </w:rPr>
  </w:style>
  <w:style w:type="character" w:customStyle="1" w:styleId="NormalWebChar1">
    <w:name w:val="Normal (Web) Char1"/>
    <w:aliases w:val="Normal (Web) Char Char"/>
    <w:link w:val="NormalWeb"/>
    <w:uiPriority w:val="99"/>
    <w:rPr>
      <w:rFonts w:eastAsia="Times New Roman"/>
      <w:kern w:val="0"/>
      <w:sz w:val="24"/>
      <w14:ligatures w14:val="none"/>
    </w:rPr>
  </w:style>
  <w:style w:type="table" w:styleId="TableGrid">
    <w:name w:val="Table Grid"/>
    <w:basedOn w:val="TableNormal"/>
    <w:pPr>
      <w:spacing w:before="0" w:after="0" w:line="240" w:lineRule="auto"/>
      <w:ind w:firstLine="0"/>
      <w:jc w:val="left"/>
    </w:pPr>
    <w:rPr>
      <w:rFonts w:eastAsia="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DF0CA-D7A9-4FCD-B6A3-568FA5119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Thảo</dc:creator>
  <cp:keywords/>
  <dc:description/>
  <cp:lastModifiedBy>CV Giao Duc</cp:lastModifiedBy>
  <cp:revision>3</cp:revision>
  <cp:lastPrinted>2026-05-07T11:28:00Z</cp:lastPrinted>
  <dcterms:created xsi:type="dcterms:W3CDTF">2026-05-07T11:35:00Z</dcterms:created>
  <dcterms:modified xsi:type="dcterms:W3CDTF">2026-05-07T11:35:00Z</dcterms:modified>
</cp:coreProperties>
</file>