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108" w:type="dxa"/>
        <w:tblCellMar>
          <w:left w:w="0" w:type="dxa"/>
          <w:right w:w="0" w:type="dxa"/>
        </w:tblCellMar>
        <w:tblLook w:val="0000" w:firstRow="0" w:lastRow="0" w:firstColumn="0" w:lastColumn="0" w:noHBand="0" w:noVBand="0"/>
      </w:tblPr>
      <w:tblGrid>
        <w:gridCol w:w="3620"/>
        <w:gridCol w:w="5956"/>
      </w:tblGrid>
      <w:tr w:rsidR="00585479">
        <w:tc>
          <w:tcPr>
            <w:tcW w:w="1890" w:type="pct"/>
            <w:shd w:val="clear" w:color="auto" w:fill="auto"/>
            <w:tcMar>
              <w:top w:w="0" w:type="dxa"/>
              <w:left w:w="108" w:type="dxa"/>
              <w:bottom w:w="0" w:type="dxa"/>
              <w:right w:w="108" w:type="dxa"/>
            </w:tcMar>
          </w:tcPr>
          <w:p w:rsidR="00585479" w:rsidRDefault="002F729E">
            <w:pPr>
              <w:spacing w:before="120"/>
              <w:jc w:val="center"/>
            </w:pPr>
            <w:bookmarkStart w:id="0" w:name="_GoBack"/>
            <w:bookmarkEnd w:id="0"/>
            <w:r>
              <w:rPr>
                <w:b/>
                <w:bCs/>
              </w:rPr>
              <w:t xml:space="preserve">HỘI ĐỒNG NHÂN DÂN </w:t>
            </w:r>
            <w:r>
              <w:rPr>
                <w:b/>
                <w:bCs/>
              </w:rPr>
              <w:br/>
              <w:t>TỈNH QUẢNG TRỊ</w:t>
            </w:r>
            <w:r>
              <w:rPr>
                <w:b/>
                <w:bCs/>
              </w:rPr>
              <w:br/>
              <w:t>-------</w:t>
            </w:r>
          </w:p>
        </w:tc>
        <w:tc>
          <w:tcPr>
            <w:tcW w:w="3110" w:type="pct"/>
            <w:shd w:val="clear" w:color="auto" w:fill="auto"/>
            <w:tcMar>
              <w:top w:w="0" w:type="dxa"/>
              <w:left w:w="108" w:type="dxa"/>
              <w:bottom w:w="0" w:type="dxa"/>
              <w:right w:w="108" w:type="dxa"/>
            </w:tcMar>
          </w:tcPr>
          <w:p w:rsidR="00585479" w:rsidRDefault="002F729E">
            <w:pPr>
              <w:spacing w:before="120"/>
              <w:jc w:val="center"/>
            </w:pPr>
            <w:r>
              <w:rPr>
                <w:b/>
                <w:bCs/>
              </w:rPr>
              <w:t>CỘNG HÒA XÃ HỘI CHỦ NGHĨA VIỆT NAM</w:t>
            </w:r>
            <w:r>
              <w:rPr>
                <w:b/>
                <w:bCs/>
              </w:rPr>
              <w:br/>
              <w:t xml:space="preserve">Độc lập - Tự do - Hạnh phúc </w:t>
            </w:r>
            <w:r>
              <w:rPr>
                <w:b/>
                <w:bCs/>
              </w:rPr>
              <w:br/>
              <w:t>---------------</w:t>
            </w:r>
          </w:p>
        </w:tc>
      </w:tr>
      <w:tr w:rsidR="00585479">
        <w:tc>
          <w:tcPr>
            <w:tcW w:w="1890" w:type="pct"/>
            <w:shd w:val="clear" w:color="auto" w:fill="auto"/>
            <w:tcMar>
              <w:top w:w="0" w:type="dxa"/>
              <w:left w:w="108" w:type="dxa"/>
              <w:bottom w:w="0" w:type="dxa"/>
              <w:right w:w="108" w:type="dxa"/>
            </w:tcMar>
          </w:tcPr>
          <w:p w:rsidR="00585479" w:rsidRDefault="002F729E">
            <w:pPr>
              <w:spacing w:before="120"/>
              <w:jc w:val="center"/>
            </w:pPr>
            <w:r>
              <w:t>Số: 03/2026/NQ-HĐND</w:t>
            </w:r>
          </w:p>
        </w:tc>
        <w:tc>
          <w:tcPr>
            <w:tcW w:w="3110" w:type="pct"/>
            <w:shd w:val="clear" w:color="auto" w:fill="auto"/>
            <w:tcMar>
              <w:top w:w="0" w:type="dxa"/>
              <w:left w:w="108" w:type="dxa"/>
              <w:bottom w:w="0" w:type="dxa"/>
              <w:right w:w="108" w:type="dxa"/>
            </w:tcMar>
          </w:tcPr>
          <w:p w:rsidR="00585479" w:rsidRDefault="002F729E">
            <w:pPr>
              <w:spacing w:before="120"/>
              <w:jc w:val="right"/>
            </w:pPr>
            <w:r>
              <w:rPr>
                <w:i/>
                <w:iCs/>
              </w:rPr>
              <w:t>Quảng Trị, ngày 20 tháng 5 năm 2026</w:t>
            </w:r>
          </w:p>
        </w:tc>
      </w:tr>
    </w:tbl>
    <w:p w:rsidR="00585479" w:rsidRDefault="002F729E">
      <w:pPr>
        <w:spacing w:before="120" w:after="280" w:afterAutospacing="1"/>
        <w:jc w:val="center"/>
      </w:pPr>
      <w:r>
        <w:t> </w:t>
      </w:r>
    </w:p>
    <w:p w:rsidR="00585479" w:rsidRDefault="002F729E">
      <w:pPr>
        <w:spacing w:before="120" w:after="280" w:afterAutospacing="1"/>
        <w:jc w:val="center"/>
      </w:pPr>
      <w:bookmarkStart w:id="1" w:name="loai_1"/>
      <w:r>
        <w:rPr>
          <w:b/>
          <w:bCs/>
        </w:rPr>
        <w:t>NGHỊ QUYẾT</w:t>
      </w:r>
      <w:bookmarkEnd w:id="1"/>
    </w:p>
    <w:p w:rsidR="00585479" w:rsidRDefault="002F729E">
      <w:pPr>
        <w:spacing w:before="120" w:after="280" w:afterAutospacing="1"/>
        <w:jc w:val="center"/>
      </w:pPr>
      <w:bookmarkStart w:id="2" w:name="loai_1_name"/>
      <w:r>
        <w:t xml:space="preserve">QUY ĐỊNH NỘI DUNG, MỨC CHI HỖ TRỢ CÁN BỘ, CÔNG CHỨC LÀM CÔNG </w:t>
      </w:r>
      <w:r>
        <w:t>TÁC KIỂM TRA, ĐÁNH GIÁ CÁC VĂN BẢN, TÀI LIỆU TRONG HỒ SƠ XỬ PHẠT VI PHẠM HÀNH CHÍNH, HỒ SƠ ĐỀ NGHỊ ÁP DỤNG CÁC BIỆN PHÁP XỬ LÝ HÀNH CHÍNH TRÊN ĐỊA BÀN TỈNH QUẢNG TRỊ CÓ NỘI DUNG PHỨC TẠP, PHẠM VI RỘNG, ẢNH HƯỞNG ĐẾN QUYỀN VÀ LỢI ÍCH HỢP PHÁP CỦA NHIỀU CÁ N</w:t>
      </w:r>
      <w:r>
        <w:t>HÂN, TỔ CHỨC</w:t>
      </w:r>
      <w:bookmarkEnd w:id="2"/>
    </w:p>
    <w:p w:rsidR="00585479" w:rsidRDefault="002F729E">
      <w:pPr>
        <w:spacing w:before="120" w:after="280" w:afterAutospacing="1"/>
      </w:pPr>
      <w:r>
        <w:rPr>
          <w:i/>
          <w:iCs/>
        </w:rPr>
        <w:t>Căn cứ Luật Tổ chức chính quyền địa phương số 72/2025/QH15;</w:t>
      </w:r>
    </w:p>
    <w:p w:rsidR="00585479" w:rsidRDefault="002F729E">
      <w:pPr>
        <w:spacing w:before="120" w:after="280" w:afterAutospacing="1"/>
      </w:pPr>
      <w:r>
        <w:rPr>
          <w:i/>
          <w:iCs/>
        </w:rPr>
        <w:t>Căn cứ Luật Ban hành văn bản quy phạm pháp luật số 64/2025/QH15 được sửa đổi, bổ sung bởi Luật số 87/2025/QH15;</w:t>
      </w:r>
    </w:p>
    <w:p w:rsidR="00585479" w:rsidRDefault="002F729E">
      <w:pPr>
        <w:spacing w:before="120" w:after="280" w:afterAutospacing="1"/>
      </w:pPr>
      <w:r>
        <w:rPr>
          <w:i/>
          <w:iCs/>
        </w:rPr>
        <w:t>Căn cứ Thông tư số 19/2017/TT-BTC của Bộ trưởng Bộ Tài chính quy định v</w:t>
      </w:r>
      <w:r>
        <w:rPr>
          <w:i/>
          <w:iCs/>
        </w:rPr>
        <w:t>iệc lập dự toán, quản lý, sử dụng và quyết toán kinh phí ngân sách nhà nước cho công tác quản lý nhà nước về thi hành pháp luật xử lý vi phạm hành chính;</w:t>
      </w:r>
    </w:p>
    <w:p w:rsidR="00585479" w:rsidRDefault="002F729E">
      <w:pPr>
        <w:spacing w:before="120" w:after="280" w:afterAutospacing="1"/>
      </w:pPr>
      <w:r>
        <w:rPr>
          <w:i/>
          <w:iCs/>
        </w:rPr>
        <w:t>Xét Tờ trình số 1985/TTr-UBND ngày 21 tháng 4 năm 2026 của Ủy ban nhân dân tỉnh về đề nghị ban hành Ng</w:t>
      </w:r>
      <w:r>
        <w:rPr>
          <w:i/>
          <w:iCs/>
        </w:rPr>
        <w:t>hị quyết quy định nội dung, mức chi hỗ trợ cán bộ, công chức làm công tác kiểm tra, đánh giá các văn bản, tài liệu trong hồ sơ xử phạt vi phạm hành chính, hồ sơ đề nghị áp dụng các biện pháp xử lý hành chính trên địa bàn tỉnh Quảng Trị có nội dung phức tạp</w:t>
      </w:r>
      <w:r>
        <w:rPr>
          <w:i/>
          <w:iCs/>
        </w:rPr>
        <w:t>, phạm vi rộng, ảnh hưởng đến quyền và lợi ích hợp pháp của nhiều cá nhân, tổ chức; Báo cáo thẩm tra của Ban Pháp chế Hội đồng nhân dân tỉnh; ý kiến thảo luận của đại biểu Hội đồng nhân dân tỉnh tại kỳ họp;</w:t>
      </w:r>
    </w:p>
    <w:p w:rsidR="00585479" w:rsidRDefault="002F729E">
      <w:pPr>
        <w:spacing w:before="120" w:after="280" w:afterAutospacing="1"/>
      </w:pPr>
      <w:r>
        <w:rPr>
          <w:i/>
          <w:iCs/>
        </w:rPr>
        <w:t>Hội đồng nhân dân tỉnh ban hành Nghị quyết quy đị</w:t>
      </w:r>
      <w:r>
        <w:rPr>
          <w:i/>
          <w:iCs/>
        </w:rPr>
        <w:t>nh nội dung, mức chi hỗ trợ cán bộ, công chức làm công tác kiểm tra, đánh giá các văn bản, tài liệu trong hồ sơ xử phạt vi phạm hành chính, hồ sơ đề nghị áp dụng các biện pháp xử lý hành chính trên địa bàn tỉnh Quảng Trị có nội dung phức tạp, phạm vi rộng,</w:t>
      </w:r>
      <w:r>
        <w:rPr>
          <w:i/>
          <w:iCs/>
        </w:rPr>
        <w:t xml:space="preserve"> ảnh hưởng đến quyền và lợi ích hợp pháp của nhiều cá nhân, tổ chức.</w:t>
      </w:r>
    </w:p>
    <w:p w:rsidR="00585479" w:rsidRDefault="002F729E">
      <w:pPr>
        <w:spacing w:before="120" w:after="280" w:afterAutospacing="1"/>
      </w:pPr>
      <w:bookmarkStart w:id="3" w:name="dieu_1"/>
      <w:r>
        <w:rPr>
          <w:b/>
          <w:bCs/>
        </w:rPr>
        <w:t>Điều 1. Phạm vi điều chỉnh</w:t>
      </w:r>
      <w:bookmarkEnd w:id="3"/>
    </w:p>
    <w:p w:rsidR="00585479" w:rsidRDefault="002F729E">
      <w:pPr>
        <w:spacing w:before="120" w:after="280" w:afterAutospacing="1"/>
      </w:pPr>
      <w:r>
        <w:t>1. Nghị quyết này quy định nội dung, mức chi hỗ trợ cán bộ, công chức làm công tác kiểm tra, đánh giá các văn bản, tài liệu trong hồ sơ xử phạt vi phạm hành chí</w:t>
      </w:r>
      <w:r>
        <w:t>nh, hồ sơ đề nghị áp dụng các biện pháp xử lý hành chính trên địa bàn tỉnh Quảng Trị có nội dung phức tạp, phạm vi rộng, ảnh hưởng đến quyền và lợi ích hợp pháp của nhiều cá nhân, tổ chức.</w:t>
      </w:r>
    </w:p>
    <w:p w:rsidR="00585479" w:rsidRDefault="002F729E">
      <w:pPr>
        <w:spacing w:before="120" w:after="280" w:afterAutospacing="1"/>
      </w:pPr>
      <w:r>
        <w:lastRenderedPageBreak/>
        <w:t xml:space="preserve">2. Hồ sơ xử phạt vi phạm hành chính bao gồm: xử phạt vi phạm hành </w:t>
      </w:r>
      <w:r>
        <w:t>chính; tịch thu tang vật, phương tiện vi phạm hành chính và áp dụng biện pháp khắc phục hậu quả (trong trường hợp không ra quyết định xử phạt vi phạm hành chính).</w:t>
      </w:r>
    </w:p>
    <w:p w:rsidR="00585479" w:rsidRDefault="002F729E">
      <w:pPr>
        <w:spacing w:before="120" w:after="280" w:afterAutospacing="1"/>
      </w:pPr>
      <w:bookmarkStart w:id="4" w:name="dieu_2"/>
      <w:r>
        <w:rPr>
          <w:b/>
          <w:bCs/>
        </w:rPr>
        <w:t>Điều 2. Đối tượng áp dụng</w:t>
      </w:r>
      <w:bookmarkEnd w:id="4"/>
    </w:p>
    <w:p w:rsidR="00585479" w:rsidRDefault="002F729E">
      <w:pPr>
        <w:spacing w:before="120" w:after="280" w:afterAutospacing="1"/>
      </w:pPr>
      <w:r>
        <w:t>1. Cán bộ, công chức thuộc các cơ quan được giao thực hiện kiểm tra</w:t>
      </w:r>
      <w:r>
        <w:t>, đánh giá các văn bản, tài liệu trong hồ sơ xử phạt vi phạm hành chính, hồ sơ đề nghị áp dụng các biện pháp xử lý hành chính trên địa bàn tỉnh Quảng Trị có nội dung phức tạp, phạm vi rộng, ảnh hưởng đến quyền và lợi ích hợp pháp của nhiều cá nhân, tổ chức</w:t>
      </w:r>
      <w:r>
        <w:t>, bao gồm:</w:t>
      </w:r>
    </w:p>
    <w:p w:rsidR="00585479" w:rsidRDefault="002F729E">
      <w:pPr>
        <w:spacing w:before="120" w:after="280" w:afterAutospacing="1"/>
      </w:pPr>
      <w:r>
        <w:t>a) Công chức thuộc đoàn thanh tra được thành lập theo quy định của pháp luật về thanh tra; cán bộ, công chức thuộc đoàn kiểm tra do Chủ tịch Ủy ban nhân dân tỉnh thành lập theo quy định tại Nghị định số 19/2020/NĐ-CP ngày 12 tháng 02 năm 2020 củ</w:t>
      </w:r>
      <w:r>
        <w:t>a Chính phủ về kiểm tra, xử lý kỷ luật trong thi hành pháp luật về xử lý vi phạm hành chính được sửa đổi, bổ sung bởi Nghị định số 93/2025/NĐ-CP ngày 26 tháng 4 năm 2020 của Chính phủ;</w:t>
      </w:r>
    </w:p>
    <w:p w:rsidR="00585479" w:rsidRDefault="002F729E">
      <w:pPr>
        <w:spacing w:before="120" w:after="280" w:afterAutospacing="1"/>
      </w:pPr>
      <w:r>
        <w:t>b) Cán bộ, công chức tại các cơ quan được giao kiểm tra, đánh giá các v</w:t>
      </w:r>
      <w:r>
        <w:t>ăn bản, tài liệu trong hồ sơ xử phạt vi phạm hành chính thuộc thẩm quyền của Chủ tịch Ủy ban nhân dân tỉnh, Giám đốc Sở và các văn bản, tài liệu trong hồ sơ xử phạt vi phạm hành chính, hồ sơ đề nghị áp dụng các biện pháp xử lý hành chính thuộc thẩm quyền c</w:t>
      </w:r>
      <w:r>
        <w:t>ủa Chủ tịch Ủy ban nhân dân xã, phường, đặc khu.</w:t>
      </w:r>
    </w:p>
    <w:p w:rsidR="00585479" w:rsidRDefault="002F729E">
      <w:pPr>
        <w:spacing w:before="120" w:after="280" w:afterAutospacing="1"/>
      </w:pPr>
      <w:r>
        <w:t xml:space="preserve">2. Các cơ quan, tổ chức, cá nhân có liên quan đến việc lập dự toán, quản lý, sử dụng và quyết toán kinh phí ngân sách nhà nước cho công tác quản lý nhà nước về thi hành pháp luật xử lý vi phạm hành chính và </w:t>
      </w:r>
      <w:r>
        <w:t>các cơ quan, tổ chức, cá nhân khác có liên quan.</w:t>
      </w:r>
    </w:p>
    <w:p w:rsidR="00585479" w:rsidRDefault="002F729E">
      <w:pPr>
        <w:spacing w:before="120" w:after="280" w:afterAutospacing="1"/>
      </w:pPr>
      <w:bookmarkStart w:id="5" w:name="dieu_3"/>
      <w:r>
        <w:rPr>
          <w:b/>
          <w:bCs/>
        </w:rPr>
        <w:t>Điều 3. Nội dung, mức chi</w:t>
      </w:r>
      <w:bookmarkEnd w:id="5"/>
    </w:p>
    <w:p w:rsidR="00585479" w:rsidRDefault="002F729E">
      <w:pPr>
        <w:spacing w:before="120" w:after="280" w:afterAutospacing="1"/>
      </w:pPr>
      <w:r>
        <w:t>1. Hỗ trợ cán bộ, công chức làm công tác kiểm tra, đánh giá các văn bản, tài liệu trong hồ sơ xử phạt vi phạm hành chính</w:t>
      </w:r>
    </w:p>
    <w:p w:rsidR="00585479" w:rsidRDefault="002F729E">
      <w:pPr>
        <w:spacing w:before="120" w:after="280" w:afterAutospacing="1"/>
      </w:pPr>
      <w:r>
        <w:t>a) Đối với hồ sơ xử phạt vi phạm hành chính thuộc thẩm quyền</w:t>
      </w:r>
      <w:r>
        <w:t xml:space="preserve"> của Chủ tịch Ủy ban nhân dân tỉnh: mức chi 500.000 đồng/hồ sơ.</w:t>
      </w:r>
    </w:p>
    <w:p w:rsidR="00585479" w:rsidRDefault="002F729E">
      <w:pPr>
        <w:spacing w:before="120" w:after="280" w:afterAutospacing="1"/>
      </w:pPr>
      <w:r>
        <w:t>b) Đối với hồ sơ xử phạt vi phạm hành chính thuộc thẩm quyền của Giám đốc Sở và thuộc thẩm quyền của Chủ tịch Ủy ban nhân dân xã, phường, đặc khu: mức chi 400.000 đồng/hồ sơ.</w:t>
      </w:r>
    </w:p>
    <w:p w:rsidR="00585479" w:rsidRDefault="002F729E">
      <w:pPr>
        <w:spacing w:before="120" w:after="280" w:afterAutospacing="1"/>
      </w:pPr>
      <w:r>
        <w:t xml:space="preserve">c) Đối với hồ sơ </w:t>
      </w:r>
      <w:r>
        <w:t>xử phạt vi phạm hành chính thuộc thẩm quyền của các chức danh không thuộc điểm a, b khoản 1 Điều này, chỉ áp dụng trong trường hợp đoàn thanh tra, đoàn kiểm tra thực hiện kiểm tra hồ sơ: mức chi 300.000 đồng/hồ sơ.</w:t>
      </w:r>
    </w:p>
    <w:p w:rsidR="00585479" w:rsidRDefault="002F729E">
      <w:pPr>
        <w:spacing w:before="120" w:after="280" w:afterAutospacing="1"/>
      </w:pPr>
      <w:r>
        <w:t xml:space="preserve">2. Hỗ trợ cán bộ, công chức làm công tác </w:t>
      </w:r>
      <w:r>
        <w:t>kiểm tra, đánh giá các văn bản, tài liệu trong hồ sơ đề nghị áp dụng biện pháp xử lý hành chính thuộc thẩm quyền của Chủ tịch Ủy ban nhân dân xã, phường, đặc khu: mức chi 400.000 đồng/hồ sơ.</w:t>
      </w:r>
    </w:p>
    <w:p w:rsidR="00585479" w:rsidRDefault="002F729E">
      <w:pPr>
        <w:spacing w:before="120" w:after="280" w:afterAutospacing="1"/>
      </w:pPr>
      <w:bookmarkStart w:id="6" w:name="dieu_4"/>
      <w:r>
        <w:rPr>
          <w:b/>
          <w:bCs/>
        </w:rPr>
        <w:lastRenderedPageBreak/>
        <w:t>Điều 4. Nguồn kinh phí thực hiện</w:t>
      </w:r>
      <w:bookmarkEnd w:id="6"/>
    </w:p>
    <w:p w:rsidR="00585479" w:rsidRDefault="002F729E">
      <w:pPr>
        <w:spacing w:before="120" w:after="280" w:afterAutospacing="1"/>
      </w:pPr>
      <w:r>
        <w:t>Nguồn kinh phí thực hiện các nội</w:t>
      </w:r>
      <w:r>
        <w:t xml:space="preserve"> dung, mức chi quy định tại Nghị quyết này do ngân sách nhà nước bảo đảm, trong phạm vi dự toán chi ngân sách hằng năm được giao cho các cơ quan, đơn vị, địa phương theo phân cấp quản lý ngân sách hiện hành và các nguồn kinh phí hợp pháp khác.</w:t>
      </w:r>
    </w:p>
    <w:p w:rsidR="00585479" w:rsidRDefault="002F729E">
      <w:pPr>
        <w:spacing w:before="120" w:after="280" w:afterAutospacing="1"/>
      </w:pPr>
      <w:bookmarkStart w:id="7" w:name="dieu_5"/>
      <w:r>
        <w:rPr>
          <w:b/>
          <w:bCs/>
        </w:rPr>
        <w:t>Điều 5. Tổ c</w:t>
      </w:r>
      <w:r>
        <w:rPr>
          <w:b/>
          <w:bCs/>
        </w:rPr>
        <w:t>hức thực hiện</w:t>
      </w:r>
      <w:bookmarkEnd w:id="7"/>
    </w:p>
    <w:p w:rsidR="00585479" w:rsidRDefault="002F729E">
      <w:pPr>
        <w:spacing w:before="120" w:after="280" w:afterAutospacing="1"/>
      </w:pPr>
      <w:r>
        <w:t>1. Giao Ủy ban nhân dân tỉnh tổ chức thực hiện Nghị quyết.</w:t>
      </w:r>
    </w:p>
    <w:p w:rsidR="00585479" w:rsidRDefault="002F729E">
      <w:pPr>
        <w:spacing w:before="120" w:after="280" w:afterAutospacing="1"/>
      </w:pPr>
      <w:r>
        <w:t>2. Thường trực Hội đồng nhân dân, các Ban của Hội đồng nhân dân, Tổ đại biểu Hội đồng nhân dân và đại biểu Hội đồng nhân dân tỉnh phối hợp Ban Thường trực Ủy ban Mặt trận Tổ quốc Việt</w:t>
      </w:r>
      <w:r>
        <w:t xml:space="preserve"> Nam tỉnh giám sát việc thực hiện Nghị quyết.</w:t>
      </w:r>
    </w:p>
    <w:p w:rsidR="00585479" w:rsidRDefault="002F729E">
      <w:pPr>
        <w:spacing w:before="120" w:after="280" w:afterAutospacing="1"/>
      </w:pPr>
      <w:bookmarkStart w:id="8" w:name="dieu_6"/>
      <w:r>
        <w:rPr>
          <w:b/>
          <w:bCs/>
        </w:rPr>
        <w:t>Điều 6. Hiệu lực thi hành</w:t>
      </w:r>
      <w:bookmarkEnd w:id="8"/>
    </w:p>
    <w:p w:rsidR="00585479" w:rsidRDefault="002F729E">
      <w:pPr>
        <w:spacing w:before="120" w:after="280" w:afterAutospacing="1"/>
      </w:pPr>
      <w:r>
        <w:t>1. Nghị quyết này có hiệu lực từ ngày 30 tháng 5 năm 2026.</w:t>
      </w:r>
    </w:p>
    <w:p w:rsidR="00585479" w:rsidRDefault="002F729E">
      <w:pPr>
        <w:spacing w:before="120" w:after="280" w:afterAutospacing="1"/>
      </w:pPr>
      <w:r>
        <w:t>2. Nghị quyết số 51/2022/NQ-HĐND ngày 14 tháng 7 năm 2022 của Hội đồng nhân dân tỉnh Quảng Trị (cũ) quy định nội dung, mức ch</w:t>
      </w:r>
      <w:r>
        <w:t>i cho công tác quản lý nhà nước về thi hành pháp luật xử lý vi phạm hành chính trên địa bàn tỉnh Quảng Trị) hết hiệu lực thi hành kể từ ngày 30 tháng 5 năm 2026.</w:t>
      </w:r>
    </w:p>
    <w:p w:rsidR="00585479" w:rsidRDefault="002F729E">
      <w:pPr>
        <w:spacing w:before="120" w:after="280" w:afterAutospacing="1"/>
      </w:pPr>
      <w:r>
        <w:rPr>
          <w:i/>
          <w:iCs/>
        </w:rPr>
        <w:t>Nghị quyết này được Hội đồng nhân dân tỉnh Quảng Trị khoá IX, Kỳ họp thứ 2 thông qua ngày 20 t</w:t>
      </w:r>
      <w:r>
        <w:rPr>
          <w:i/>
          <w:iCs/>
        </w:rPr>
        <w:t>háng 5 năm 2026./.</w:t>
      </w:r>
    </w:p>
    <w:p w:rsidR="00585479" w:rsidRDefault="002F729E">
      <w:pPr>
        <w:spacing w:before="120" w:after="280" w:afterAutospacing="1"/>
        <w:jc w:val="center"/>
      </w:pPr>
      <w:r>
        <w:rPr>
          <w:b/>
          <w:bCs/>
        </w:rPr>
        <w:t> </w:t>
      </w:r>
    </w:p>
    <w:tbl>
      <w:tblPr>
        <w:tblW w:w="5000" w:type="pct"/>
        <w:tblInd w:w="108" w:type="dxa"/>
        <w:tblCellMar>
          <w:left w:w="0" w:type="dxa"/>
          <w:right w:w="0" w:type="dxa"/>
        </w:tblCellMar>
        <w:tblLook w:val="0000" w:firstRow="0" w:lastRow="0" w:firstColumn="0" w:lastColumn="0" w:noHBand="0" w:noVBand="0"/>
      </w:tblPr>
      <w:tblGrid>
        <w:gridCol w:w="4788"/>
        <w:gridCol w:w="4788"/>
      </w:tblGrid>
      <w:tr w:rsidR="00585479">
        <w:tc>
          <w:tcPr>
            <w:tcW w:w="2500" w:type="pct"/>
            <w:shd w:val="clear" w:color="auto" w:fill="auto"/>
            <w:tcMar>
              <w:top w:w="0" w:type="dxa"/>
              <w:left w:w="108" w:type="dxa"/>
              <w:bottom w:w="0" w:type="dxa"/>
              <w:right w:w="108" w:type="dxa"/>
            </w:tcMar>
          </w:tcPr>
          <w:p w:rsidR="00585479" w:rsidRDefault="002F729E">
            <w:pPr>
              <w:spacing w:before="120"/>
            </w:pPr>
            <w:r>
              <w:t> </w:t>
            </w:r>
          </w:p>
        </w:tc>
        <w:tc>
          <w:tcPr>
            <w:tcW w:w="2500" w:type="pct"/>
            <w:shd w:val="clear" w:color="auto" w:fill="auto"/>
            <w:tcMar>
              <w:top w:w="0" w:type="dxa"/>
              <w:left w:w="108" w:type="dxa"/>
              <w:bottom w:w="0" w:type="dxa"/>
              <w:right w:w="108" w:type="dxa"/>
            </w:tcMar>
          </w:tcPr>
          <w:p w:rsidR="00585479" w:rsidRDefault="002F729E">
            <w:pPr>
              <w:spacing w:before="120"/>
              <w:jc w:val="center"/>
            </w:pPr>
            <w:r>
              <w:rPr>
                <w:b/>
                <w:bCs/>
              </w:rPr>
              <w:t>CHỦ TỊCH</w:t>
            </w:r>
            <w:r>
              <w:rPr>
                <w:b/>
                <w:bCs/>
              </w:rPr>
              <w:br/>
            </w:r>
            <w:r>
              <w:rPr>
                <w:b/>
                <w:bCs/>
              </w:rPr>
              <w:br/>
            </w:r>
            <w:r>
              <w:rPr>
                <w:b/>
                <w:bCs/>
              </w:rPr>
              <w:br/>
            </w:r>
            <w:r>
              <w:rPr>
                <w:b/>
                <w:bCs/>
              </w:rPr>
              <w:br/>
            </w:r>
            <w:r>
              <w:rPr>
                <w:b/>
                <w:bCs/>
              </w:rPr>
              <w:br/>
              <w:t>Nguyễn Đăng Quang</w:t>
            </w:r>
          </w:p>
        </w:tc>
      </w:tr>
    </w:tbl>
    <w:p w:rsidR="00585479" w:rsidRDefault="002F729E">
      <w:pPr>
        <w:spacing w:before="120" w:after="280" w:afterAutospacing="1"/>
      </w:pPr>
      <w:r>
        <w:rPr>
          <w:b/>
          <w:bCs/>
        </w:rPr>
        <w:t> </w:t>
      </w:r>
    </w:p>
    <w:sectPr w:rsidR="0058547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5479"/>
    <w:rsid w:val="002F729E"/>
    <w:rsid w:val="00585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886</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LINH</dc:creator>
  <cp:lastModifiedBy>LINH</cp:lastModifiedBy>
  <cp:revision>2</cp:revision>
  <dcterms:created xsi:type="dcterms:W3CDTF">2026-07-06T03:44:00Z</dcterms:created>
  <dcterms:modified xsi:type="dcterms:W3CDTF">2026-07-06T03:44:00Z</dcterms:modified>
</cp:coreProperties>
</file>