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0360BE"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777B0A">
              <w:rPr>
                <w:rFonts w:eastAsia="Times New Roman" w:cs="Times New Roman"/>
                <w:color w:val="000000"/>
              </w:rPr>
              <w:t>51</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0360BE"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777B0A">
              <w:rPr>
                <w:rFonts w:eastAsia="Times New Roman" w:cs="Times New Roman"/>
                <w:i/>
                <w:iCs/>
                <w:color w:val="000000"/>
              </w:rPr>
              <w:t>22</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703BBD">
              <w:rPr>
                <w:rFonts w:eastAsia="Times New Roman" w:cs="Times New Roman"/>
                <w:i/>
                <w:iCs/>
                <w:color w:val="000000"/>
              </w:rPr>
              <w:t>1</w:t>
            </w:r>
            <w:r w:rsidR="00271380">
              <w:rPr>
                <w:rFonts w:eastAsia="Times New Roman" w:cs="Times New Roman"/>
                <w:i/>
                <w:iCs/>
                <w:color w:val="000000"/>
              </w:rPr>
              <w:t>1</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QUYẾT ĐỊNH</w:t>
      </w:r>
    </w:p>
    <w:p w:rsidR="000935E9" w:rsidRDefault="000360BE" w:rsidP="00777B0A">
      <w:pPr>
        <w:jc w:val="center"/>
        <w:rPr>
          <w:rFonts w:eastAsia="Times New Roman" w:cs="Times New Roman"/>
          <w:b/>
          <w:bCs/>
          <w:color w:val="000000"/>
        </w:rPr>
      </w:pPr>
      <w:r>
        <w:rPr>
          <w:rFonts w:eastAsia="Times New Roman" w:cs="Times New Roman"/>
          <w:b/>
          <w:bCs/>
          <w:noProof/>
          <w:color w:val="000000"/>
        </w:rPr>
        <w:pict>
          <v:shape id="_x0000_s1035" type="#_x0000_t32" style="position:absolute;left:0;text-align:left;margin-left:176.7pt;margin-top:71pt;width:99.75pt;height:0;z-index:251667456" o:connectortype="straight"/>
        </w:pict>
      </w:r>
      <w:r w:rsidR="00777B0A">
        <w:rPr>
          <w:rStyle w:val="fontstyle01"/>
        </w:rPr>
        <w:t>Bổ sung Quy định ban hành kèm theo Quyết định số 28/2024/QĐ-UBND ngày 09 tháng 8 năm 2024 của UBND tỉnh Hải Dương “Quy định chi tiết một số điều và biện pháp thi hành về bồi thường, hỗ trợ, tái định cư khi Nhà nước thu hồi đất trên địa bàn tỉnh Hải Dương”</w:t>
      </w:r>
    </w:p>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DD3AA0" w:rsidRDefault="00DD3AA0" w:rsidP="000935E9">
      <w:pPr>
        <w:spacing w:before="120" w:after="120" w:line="240" w:lineRule="auto"/>
        <w:ind w:firstLine="567"/>
        <w:jc w:val="both"/>
        <w:rPr>
          <w:rFonts w:cs="Times New Roman"/>
          <w:i/>
          <w:iCs/>
          <w:color w:val="000000"/>
          <w:szCs w:val="28"/>
        </w:rPr>
      </w:pPr>
      <w:r w:rsidRPr="00DD3AA0">
        <w:rPr>
          <w:rFonts w:cs="Times New Roman"/>
          <w:i/>
          <w:iCs/>
          <w:color w:val="000000"/>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777B0A" w:rsidRPr="00777B0A" w:rsidRDefault="00777B0A" w:rsidP="00777B0A">
      <w:pPr>
        <w:ind w:firstLine="567"/>
        <w:jc w:val="both"/>
        <w:rPr>
          <w:rFonts w:cs="Times New Roman"/>
          <w:bCs/>
          <w:i/>
          <w:iCs/>
        </w:rPr>
      </w:pPr>
      <w:r w:rsidRPr="00777B0A">
        <w:rPr>
          <w:rFonts w:cs="Times New Roman"/>
          <w:bCs/>
          <w:i/>
          <w:iCs/>
        </w:rPr>
        <w:t>Căn cứ Luật Đất đai ngày 18 tháng 01 năm 2024;</w:t>
      </w:r>
    </w:p>
    <w:p w:rsidR="00777B0A" w:rsidRPr="00777B0A" w:rsidRDefault="00777B0A" w:rsidP="00777B0A">
      <w:pPr>
        <w:ind w:firstLine="567"/>
        <w:jc w:val="both"/>
        <w:rPr>
          <w:rFonts w:cs="Times New Roman"/>
          <w:bCs/>
          <w:i/>
          <w:iCs/>
        </w:rPr>
      </w:pPr>
      <w:r w:rsidRPr="00777B0A">
        <w:rPr>
          <w:rFonts w:cs="Times New Roman"/>
          <w:bCs/>
          <w:i/>
          <w:iCs/>
        </w:rPr>
        <w:t>Căn cứ Luật sửa đổi, bổ sung một số điều của Luật Đất đai, Luật Nhà ở, Luật Kinh doanh bất động sản và Luật các tổ chức tín dụng ngày 29 tháng 6 năm 2024;</w:t>
      </w:r>
    </w:p>
    <w:p w:rsidR="00777B0A" w:rsidRPr="00777B0A" w:rsidRDefault="00777B0A" w:rsidP="00777B0A">
      <w:pPr>
        <w:ind w:firstLine="567"/>
        <w:jc w:val="both"/>
        <w:rPr>
          <w:rFonts w:cs="Times New Roman"/>
          <w:bCs/>
          <w:i/>
          <w:iCs/>
        </w:rPr>
      </w:pPr>
      <w:r w:rsidRPr="00777B0A">
        <w:rPr>
          <w:rFonts w:cs="Times New Roman"/>
          <w:bCs/>
          <w:i/>
          <w:iCs/>
        </w:rPr>
        <w:t>Căn cứ Nghị định số 102/2024/NĐ-CP ngày 30 tháng 7 năm 2024 của Chính phủ quy định chi tiết thi hành một số điều của Luật Đất đai;</w:t>
      </w:r>
    </w:p>
    <w:p w:rsidR="00777B0A" w:rsidRPr="00777B0A" w:rsidRDefault="00777B0A" w:rsidP="00777B0A">
      <w:pPr>
        <w:ind w:firstLine="567"/>
        <w:jc w:val="both"/>
        <w:rPr>
          <w:rFonts w:cs="Times New Roman"/>
          <w:bCs/>
          <w:i/>
          <w:iCs/>
        </w:rPr>
      </w:pPr>
      <w:r w:rsidRPr="00777B0A">
        <w:rPr>
          <w:rFonts w:cs="Times New Roman"/>
          <w:bCs/>
          <w:i/>
          <w:iCs/>
        </w:rPr>
        <w:t>Căn cứ Nghị định số 71/2024/NĐ-CP ngày 27 tháng 6 năm 2024 của Chính phủ quy định về Giá đất;</w:t>
      </w:r>
    </w:p>
    <w:p w:rsidR="00777B0A" w:rsidRPr="00777B0A" w:rsidRDefault="00777B0A" w:rsidP="00777B0A">
      <w:pPr>
        <w:ind w:firstLine="567"/>
        <w:jc w:val="both"/>
        <w:rPr>
          <w:rFonts w:cs="Times New Roman"/>
          <w:bCs/>
          <w:i/>
          <w:iCs/>
        </w:rPr>
      </w:pPr>
      <w:r w:rsidRPr="00777B0A">
        <w:rPr>
          <w:rFonts w:cs="Times New Roman"/>
          <w:bCs/>
          <w:i/>
          <w:iCs/>
        </w:rPr>
        <w:t>Căn cứ Nghị định số 88/2024/NĐ-CP ngày 13 tháng 7 năm 2024 của Chính phủ quy định về bồi thường, hỗ trợ, tái định cư khi Nhà nước thu hồi đất;</w:t>
      </w:r>
    </w:p>
    <w:p w:rsidR="002F5BB5" w:rsidRPr="00777B0A" w:rsidRDefault="00777B0A" w:rsidP="00777B0A">
      <w:pPr>
        <w:spacing w:before="120" w:after="120" w:line="240" w:lineRule="auto"/>
        <w:ind w:firstLine="567"/>
        <w:jc w:val="both"/>
        <w:rPr>
          <w:rFonts w:cs="Times New Roman"/>
          <w:i/>
          <w:iCs/>
          <w:color w:val="000000"/>
          <w:szCs w:val="28"/>
        </w:rPr>
      </w:pPr>
      <w:r w:rsidRPr="00777B0A">
        <w:rPr>
          <w:rFonts w:cs="Times New Roman"/>
          <w:bCs/>
          <w:i/>
          <w:iCs/>
        </w:rPr>
        <w:t>Theo đề nghị của Giám đốc Sở Tài nguyên và Môi trường</w:t>
      </w:r>
      <w:r w:rsidR="00DF68F2" w:rsidRPr="00777B0A">
        <w:rPr>
          <w:rFonts w:cs="Times New Roman"/>
          <w:i/>
          <w:iCs/>
          <w:color w:val="000000"/>
          <w:szCs w:val="28"/>
        </w:rPr>
        <w:t>.</w:t>
      </w:r>
    </w:p>
    <w:p w:rsidR="00EE0D8E" w:rsidRPr="00A13B19" w:rsidRDefault="00EE0D8E" w:rsidP="00A13B19">
      <w:pPr>
        <w:spacing w:before="120" w:after="120" w:line="240" w:lineRule="auto"/>
        <w:ind w:firstLine="567"/>
        <w:jc w:val="both"/>
        <w:rPr>
          <w:rFonts w:eastAsia="Times New Roman" w:cs="Times New Roman"/>
          <w:b/>
          <w:bCs/>
          <w:color w:val="000000"/>
          <w:sz w:val="12"/>
        </w:rPr>
      </w:pPr>
    </w:p>
    <w:p w:rsidR="00637195" w:rsidRPr="00A13B19" w:rsidRDefault="00637195" w:rsidP="00A13B19">
      <w:pPr>
        <w:spacing w:before="120" w:after="120" w:line="240" w:lineRule="auto"/>
        <w:ind w:firstLine="567"/>
        <w:jc w:val="center"/>
        <w:rPr>
          <w:rFonts w:eastAsia="Times New Roman" w:cs="Times New Roman"/>
          <w:b/>
          <w:bCs/>
          <w:color w:val="000000"/>
        </w:rPr>
      </w:pPr>
      <w:r w:rsidRPr="00A13B19">
        <w:rPr>
          <w:rFonts w:eastAsia="Times New Roman" w:cs="Times New Roman"/>
          <w:b/>
          <w:bCs/>
          <w:color w:val="000000"/>
        </w:rPr>
        <w:t>QUYẾT ĐỊNH:</w:t>
      </w:r>
    </w:p>
    <w:p w:rsidR="0027429E" w:rsidRPr="00A13B19" w:rsidRDefault="0027429E" w:rsidP="00A13B19">
      <w:pPr>
        <w:spacing w:before="120" w:after="120" w:line="240" w:lineRule="auto"/>
        <w:ind w:firstLine="567"/>
        <w:jc w:val="both"/>
        <w:rPr>
          <w:rFonts w:eastAsia="Times New Roman" w:cs="Times New Roman"/>
          <w:b/>
          <w:bCs/>
          <w:color w:val="000000"/>
          <w:sz w:val="8"/>
          <w:szCs w:val="28"/>
        </w:rPr>
      </w:pPr>
    </w:p>
    <w:p w:rsidR="00777B0A" w:rsidRDefault="00777B0A" w:rsidP="00777B0A">
      <w:pPr>
        <w:ind w:firstLine="567"/>
        <w:jc w:val="both"/>
        <w:rPr>
          <w:rStyle w:val="fontstyle21"/>
        </w:rPr>
      </w:pPr>
      <w:r>
        <w:rPr>
          <w:rStyle w:val="fontstyle01"/>
        </w:rPr>
        <w:t xml:space="preserve">Điều 1. </w:t>
      </w:r>
      <w:r>
        <w:rPr>
          <w:rStyle w:val="fontstyle21"/>
        </w:rPr>
        <w:t>Bổ sung một số điều, khoản của “Quy định chi tiết một số điều và biện pháp thi hành về bồi thường, hỗ trợ, tái định cư khi Nhà nước thu hồi đất trên địa bàn tỉnh Hải Dương” ban hành kèm theo Quyết định số 28/2024/QĐ-UBND ngày 09 tháng 8 năm 2024 của Ủy ban nhân dân tỉnh Hải Dương:</w:t>
      </w:r>
    </w:p>
    <w:p w:rsidR="00777B0A" w:rsidRDefault="00777B0A" w:rsidP="00777B0A">
      <w:pPr>
        <w:ind w:firstLine="567"/>
        <w:jc w:val="both"/>
        <w:rPr>
          <w:rStyle w:val="fontstyle21"/>
        </w:rPr>
      </w:pPr>
      <w:r>
        <w:rPr>
          <w:rStyle w:val="fontstyle21"/>
        </w:rPr>
        <w:t>1. Bổ sung Điều 15a vào sau Điều 15 như sau:</w:t>
      </w:r>
    </w:p>
    <w:p w:rsidR="00777B0A" w:rsidRDefault="00777B0A" w:rsidP="00777B0A">
      <w:pPr>
        <w:ind w:firstLine="567"/>
        <w:jc w:val="both"/>
        <w:rPr>
          <w:rStyle w:val="fontstyle01"/>
        </w:rPr>
      </w:pPr>
      <w:r>
        <w:rPr>
          <w:rStyle w:val="fontstyle21"/>
        </w:rPr>
        <w:t>“</w:t>
      </w:r>
      <w:r>
        <w:rPr>
          <w:rStyle w:val="fontstyle01"/>
        </w:rPr>
        <w:t>Điều 15a. Hỗ trợ khác</w:t>
      </w:r>
    </w:p>
    <w:p w:rsidR="00777B0A" w:rsidRDefault="00777B0A" w:rsidP="00777B0A">
      <w:pPr>
        <w:ind w:firstLine="567"/>
        <w:jc w:val="both"/>
        <w:rPr>
          <w:rStyle w:val="fontstyle21"/>
        </w:rPr>
      </w:pPr>
      <w:r>
        <w:rPr>
          <w:rStyle w:val="fontstyle21"/>
        </w:rPr>
        <w:t>Phân cấp cho Ủy ban nhân dân cấp huyện căn cứ tình hình thực tế tại địa</w:t>
      </w:r>
      <w:r w:rsidR="000360BE">
        <w:rPr>
          <w:rStyle w:val="fontstyle21"/>
        </w:rPr>
        <w:t xml:space="preserve"> </w:t>
      </w:r>
      <w:bookmarkStart w:id="0" w:name="_GoBack"/>
      <w:bookmarkEnd w:id="0"/>
      <w:r>
        <w:rPr>
          <w:rStyle w:val="fontstyle21"/>
        </w:rPr>
        <w:t xml:space="preserve">phương quyết định biện pháp, mức hỗ trợ khác quy định tại khoản 2 Điều 108 Luật Đất đai ngày 18 tháng 01 năm 2024 để đảm bảo có chỗ ở, ổn định đời sống, </w:t>
      </w:r>
      <w:r>
        <w:rPr>
          <w:rStyle w:val="fontstyle21"/>
        </w:rPr>
        <w:lastRenderedPageBreak/>
        <w:t>sản xuất đối với người có đất thu hồi, chủ sở hữu tài sản và mức hỗ trợ khác quy định tại khoản 7 Điều 12, khoản 9 Điều 13 Nghị định số 88/2024/NĐ-CP ngày</w:t>
      </w:r>
      <w:r>
        <w:rPr>
          <w:rStyle w:val="fontstyle21"/>
        </w:rPr>
        <w:t xml:space="preserve"> </w:t>
      </w:r>
      <w:r>
        <w:rPr>
          <w:rStyle w:val="fontstyle21"/>
        </w:rPr>
        <w:t>15 tháng 7 năm 2024 của Chính phủ đối với từng dự án cụ thể”.</w:t>
      </w:r>
    </w:p>
    <w:p w:rsidR="00777B0A" w:rsidRDefault="00777B0A" w:rsidP="00777B0A">
      <w:pPr>
        <w:ind w:firstLine="567"/>
        <w:jc w:val="both"/>
        <w:rPr>
          <w:rStyle w:val="fontstyle21"/>
        </w:rPr>
      </w:pPr>
      <w:r>
        <w:rPr>
          <w:rStyle w:val="fontstyle21"/>
        </w:rPr>
        <w:t>2. Bổ sung điểm h vào sau điểm g khoản 1 Điều 20 như sau:</w:t>
      </w:r>
    </w:p>
    <w:p w:rsidR="00777B0A" w:rsidRDefault="00777B0A" w:rsidP="00777B0A">
      <w:pPr>
        <w:ind w:firstLine="567"/>
        <w:jc w:val="both"/>
        <w:rPr>
          <w:rStyle w:val="fontstyle21"/>
        </w:rPr>
      </w:pPr>
      <w:r>
        <w:rPr>
          <w:rStyle w:val="fontstyle21"/>
        </w:rPr>
        <w:t>“h. Chịu trách nhiệm thực hiện các nội dung được phân cấp đảm bảo đúng quy định của pháp luật; chịu trách nhiệm trước pháp luật và Ủy ban nhân dân tỉnh trong việc thực hiện nhiệm vụ được phân cấp”.</w:t>
      </w:r>
    </w:p>
    <w:p w:rsidR="00777B0A" w:rsidRDefault="00777B0A" w:rsidP="00777B0A">
      <w:pPr>
        <w:ind w:firstLine="567"/>
        <w:jc w:val="both"/>
        <w:rPr>
          <w:rStyle w:val="fontstyle21"/>
        </w:rPr>
      </w:pPr>
      <w:r>
        <w:rPr>
          <w:rStyle w:val="fontstyle01"/>
        </w:rPr>
        <w:t xml:space="preserve">Điều 2. </w:t>
      </w:r>
      <w:r>
        <w:rPr>
          <w:rStyle w:val="fontstyle21"/>
        </w:rPr>
        <w:t>Quyết định này có hiệu lực kể từ ngày 22 tháng 11 năm 2024.</w:t>
      </w:r>
    </w:p>
    <w:p w:rsidR="001F7950" w:rsidRPr="009C5E5D" w:rsidRDefault="00777B0A" w:rsidP="00777B0A">
      <w:pPr>
        <w:spacing w:before="120" w:after="120" w:line="240" w:lineRule="auto"/>
        <w:ind w:firstLine="567"/>
        <w:jc w:val="both"/>
        <w:rPr>
          <w:rStyle w:val="fontstyle01"/>
          <w:rFonts w:ascii="Times New Roman" w:hAnsi="Times New Roman" w:cs="Times New Roman"/>
          <w:b w:val="0"/>
        </w:rPr>
      </w:pPr>
      <w:r>
        <w:rPr>
          <w:rStyle w:val="fontstyle01"/>
        </w:rPr>
        <w:t xml:space="preserve">Điều 3. </w:t>
      </w:r>
      <w:r>
        <w:rPr>
          <w:rStyle w:val="fontstyle21"/>
        </w:rPr>
        <w:t>Chánh Văn phòng Ủy ban nhân dân tỉnh; Giám đốc Sở Tài nguyên và Môi trường; Thủ trưởng các sở, ban, ngành, đoàn thể; Chủ tịch Ủy ban nhân dân các huyện, thị xã, thành phố; các tổ chức, hộ gia đình, cá nhân có liên quan chịu trách nhiệm thi hành Quyết định này</w:t>
      </w:r>
      <w:r w:rsidR="00DF709A" w:rsidRPr="009C5E5D">
        <w:rPr>
          <w:rFonts w:eastAsia="Times New Roman" w:cs="Times New Roman"/>
          <w:color w:val="000000"/>
          <w:szCs w:val="28"/>
        </w:rPr>
        <w:t>.</w:t>
      </w:r>
      <w:r w:rsidR="00DF709A" w:rsidRPr="009C5E5D">
        <w:rPr>
          <w:rFonts w:eastAsia="Times New Roman" w:cs="Times New Roman"/>
          <w:color w:val="000000"/>
          <w:szCs w:val="28"/>
        </w:rPr>
        <w:t>/</w:t>
      </w:r>
      <w:r w:rsidR="00296546" w:rsidRPr="009C5E5D">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t>Nơi nhận:</w:t>
            </w:r>
          </w:p>
          <w:p w:rsidR="00777B0A" w:rsidRPr="00777B0A" w:rsidRDefault="006E1807" w:rsidP="00777B0A">
            <w:pPr>
              <w:rPr>
                <w:rFonts w:ascii="TimesNewRomanPSMT" w:eastAsia="Times New Roman" w:hAnsi="TimesNewRomanPSMT" w:cs="Times New Roman"/>
                <w:color w:val="000000"/>
                <w:sz w:val="22"/>
              </w:rPr>
            </w:pPr>
            <w:r w:rsidRPr="0022726C">
              <w:rPr>
                <w:rFonts w:eastAsia="Times New Roman" w:cs="Times New Roman"/>
                <w:color w:val="000000"/>
                <w:sz w:val="22"/>
              </w:rPr>
              <w:t xml:space="preserve">- </w:t>
            </w:r>
            <w:r w:rsidR="00777B0A" w:rsidRPr="00777B0A">
              <w:rPr>
                <w:rFonts w:ascii="TimesNewRomanPSMT" w:eastAsia="Times New Roman" w:hAnsi="TimesNewRomanPSMT" w:cs="Times New Roman"/>
                <w:color w:val="000000"/>
                <w:sz w:val="22"/>
              </w:rPr>
              <w:t>Như Điều 3;</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Văn phòng Chính phủ;</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Bộ Tài nguyên và Môi trường;</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Thường trực Tỉnh ủy;</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Thường trực HĐND tỉnh;</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Đoàn Đại biểu QH tỉnh;</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Lãnh đạo UBND tỉnh;</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Tòa án nhân dân tỉnh;</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Viện kiểm sát nhân dân tỉnh;</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Ủy ban MTTQ Việt Nam tỉnh;</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Cục kiểm tra văn bản- Bộ Tư pháp;</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Vụ pháp chế - Bộ Tài nguyên và Môi trường;</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Vụ pháp chế - Bộ Tài chính;</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Vụ pháp chế - Bộ Xây dựng;</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UBND huyện, thị xã, thành phố;</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Lãnh đạo Văn phòng UBND tỉnh;</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CV VP UBND tỉnh: Cao Cường, Thư, Hương;</w:t>
            </w:r>
          </w:p>
          <w:p w:rsidR="00777B0A" w:rsidRPr="00777B0A"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Trung tâm CNTT tỉnh (VP UBND tỉnh);</w:t>
            </w:r>
          </w:p>
          <w:p w:rsidR="00703BBD" w:rsidRPr="00703BBD" w:rsidRDefault="00777B0A" w:rsidP="00777B0A">
            <w:pPr>
              <w:rPr>
                <w:rFonts w:ascii="TimesNewRomanPSMT" w:eastAsia="Times New Roman" w:hAnsi="TimesNewRomanPSMT" w:cs="Times New Roman"/>
                <w:color w:val="000000"/>
                <w:sz w:val="22"/>
              </w:rPr>
            </w:pPr>
            <w:r w:rsidRPr="00777B0A">
              <w:rPr>
                <w:rFonts w:ascii="TimesNewRomanPSMT" w:eastAsia="Times New Roman" w:hAnsi="TimesNewRomanPSMT" w:cs="Times New Roman"/>
                <w:color w:val="000000"/>
                <w:sz w:val="22"/>
              </w:rPr>
              <w:t>- Lưu: VT. (KTN 12b)</w:t>
            </w:r>
            <w:r w:rsidR="00703BBD" w:rsidRPr="00703BBD">
              <w:rPr>
                <w:rFonts w:ascii="TimesNewRomanPSMT" w:eastAsia="Times New Roman" w:hAnsi="TimesNewRomanPSMT" w:cs="Times New Roman"/>
                <w:bCs/>
                <w:sz w:val="22"/>
              </w:rPr>
              <w:t>.</w:t>
            </w:r>
          </w:p>
          <w:p w:rsidR="00BC5F3F" w:rsidRPr="002F5BB5" w:rsidRDefault="00BC5F3F" w:rsidP="00245106">
            <w:pPr>
              <w:rPr>
                <w:rFonts w:eastAsia="Times New Roman" w:cs="Times New Roman"/>
                <w:b/>
                <w:bCs/>
                <w:i/>
                <w:iCs/>
                <w:color w:val="000000"/>
                <w:sz w:val="24"/>
              </w:rPr>
            </w:pP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777B0A" w:rsidP="00637195">
            <w:pPr>
              <w:jc w:val="center"/>
              <w:rPr>
                <w:rFonts w:eastAsia="Times New Roman" w:cs="Times New Roman"/>
                <w:b/>
                <w:bCs/>
                <w:color w:val="000000"/>
              </w:rPr>
            </w:pPr>
            <w:r>
              <w:rPr>
                <w:rFonts w:eastAsia="Times New Roman" w:cs="Times New Roman"/>
                <w:b/>
                <w:bCs/>
                <w:color w:val="000000"/>
              </w:rPr>
              <w:t xml:space="preserve">KT. </w:t>
            </w:r>
            <w:r w:rsidR="00637195" w:rsidRPr="002F5BB5">
              <w:rPr>
                <w:rFonts w:eastAsia="Times New Roman" w:cs="Times New Roman"/>
                <w:b/>
                <w:bCs/>
                <w:color w:val="000000"/>
              </w:rPr>
              <w:t>CHỦ TỊCH</w:t>
            </w:r>
          </w:p>
          <w:p w:rsidR="00777B0A" w:rsidRDefault="00777B0A" w:rsidP="00637195">
            <w:pPr>
              <w:jc w:val="center"/>
              <w:rPr>
                <w:rFonts w:eastAsia="Times New Roman" w:cs="Times New Roman"/>
                <w:b/>
                <w:bCs/>
                <w:color w:val="000000"/>
              </w:rPr>
            </w:pPr>
            <w:r>
              <w:rPr>
                <w:rFonts w:eastAsia="Times New Roman" w:cs="Times New Roman"/>
                <w:b/>
                <w:bCs/>
                <w:color w:val="000000"/>
              </w:rPr>
              <w:t>PHÓ 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777B0A" w:rsidP="00637195">
            <w:pPr>
              <w:jc w:val="center"/>
              <w:rPr>
                <w:rFonts w:eastAsia="Times New Roman" w:cs="Times New Roman"/>
                <w:b/>
                <w:bCs/>
                <w:color w:val="000000"/>
              </w:rPr>
            </w:pPr>
            <w:r>
              <w:rPr>
                <w:rFonts w:eastAsia="Times New Roman" w:cs="Times New Roman"/>
                <w:b/>
                <w:bCs/>
                <w:color w:val="000000"/>
              </w:rPr>
              <w:t>Lưu Văn Bản</w:t>
            </w:r>
          </w:p>
          <w:p w:rsidR="00637195" w:rsidRPr="002F5BB5" w:rsidRDefault="00637195" w:rsidP="00637195">
            <w:pPr>
              <w:rPr>
                <w:rFonts w:eastAsia="Times New Roman" w:cs="Times New Roman"/>
                <w:b/>
                <w:bCs/>
                <w:i/>
                <w:iCs/>
                <w:color w:val="000000"/>
                <w:sz w:val="24"/>
              </w:rPr>
            </w:pPr>
          </w:p>
        </w:tc>
      </w:tr>
    </w:tbl>
    <w:p w:rsidR="00637195" w:rsidRDefault="00637195"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E20253" w:rsidRPr="002F5BB5" w:rsidTr="008013E6">
        <w:tc>
          <w:tcPr>
            <w:tcW w:w="3227" w:type="dxa"/>
          </w:tcPr>
          <w:p w:rsidR="00E20253" w:rsidRPr="00CE1ACB" w:rsidRDefault="00E20253" w:rsidP="008013E6">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E20253" w:rsidRPr="00CE1ACB" w:rsidRDefault="00E20253" w:rsidP="008013E6">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E20253" w:rsidRPr="00E20253" w:rsidRDefault="000360BE" w:rsidP="00E20253">
            <w:pPr>
              <w:jc w:val="center"/>
              <w:rPr>
                <w:rFonts w:eastAsia="Times New Roman" w:cs="Times New Roman"/>
                <w:color w:val="000000"/>
              </w:rPr>
            </w:pPr>
            <w:r>
              <w:rPr>
                <w:rFonts w:eastAsia="Times New Roman" w:cs="Times New Roman"/>
                <w:noProof/>
                <w:color w:val="000000"/>
              </w:rPr>
              <w:pict>
                <v:shape id="_x0000_s1036" type="#_x0000_t32" style="position:absolute;left:0;text-align:left;margin-left:46.2pt;margin-top:4.85pt;width:51.75pt;height:0;z-index:251669504" o:connectortype="straight"/>
              </w:pict>
            </w:r>
          </w:p>
        </w:tc>
        <w:tc>
          <w:tcPr>
            <w:tcW w:w="6095" w:type="dxa"/>
          </w:tcPr>
          <w:p w:rsidR="00E20253" w:rsidRPr="002F5BB5" w:rsidRDefault="00E20253" w:rsidP="008013E6">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E20253" w:rsidRPr="002F5BB5" w:rsidRDefault="00E20253" w:rsidP="008013E6">
            <w:pPr>
              <w:jc w:val="center"/>
              <w:rPr>
                <w:rFonts w:eastAsia="Times New Roman" w:cs="Times New Roman"/>
                <w:b/>
                <w:bCs/>
                <w:color w:val="000000"/>
              </w:rPr>
            </w:pPr>
            <w:r w:rsidRPr="002F5BB5">
              <w:rPr>
                <w:rFonts w:eastAsia="Times New Roman" w:cs="Times New Roman"/>
                <w:b/>
                <w:bCs/>
                <w:color w:val="000000"/>
              </w:rPr>
              <w:t>Độc lập - Tự do - Hạnh phúc</w:t>
            </w:r>
          </w:p>
          <w:p w:rsidR="00E20253" w:rsidRPr="00E20253" w:rsidRDefault="000360BE" w:rsidP="00E20253">
            <w:pPr>
              <w:jc w:val="center"/>
              <w:rPr>
                <w:rFonts w:eastAsia="Times New Roman" w:cs="Times New Roman"/>
                <w:i/>
                <w:iCs/>
                <w:color w:val="000000"/>
              </w:rPr>
            </w:pPr>
            <w:r>
              <w:rPr>
                <w:rFonts w:eastAsia="Times New Roman" w:cs="Times New Roman"/>
                <w:i/>
                <w:iCs/>
                <w:noProof/>
                <w:color w:val="000000"/>
              </w:rPr>
              <w:pict>
                <v:shape id="_x0000_s1037" type="#_x0000_t32" style="position:absolute;left:0;text-align:left;margin-left:63.35pt;margin-top:2.6pt;width:167.25pt;height:0;z-index:251670528" o:connectortype="straight"/>
              </w:pict>
            </w:r>
          </w:p>
        </w:tc>
      </w:tr>
    </w:tbl>
    <w:p w:rsidR="00E20253" w:rsidRDefault="00E20253" w:rsidP="00E20253">
      <w:pPr>
        <w:spacing w:after="0" w:line="240" w:lineRule="auto"/>
        <w:rPr>
          <w:rFonts w:eastAsia="Times New Roman" w:cs="Times New Roman"/>
          <w:b/>
          <w:bCs/>
          <w:i/>
          <w:iCs/>
          <w:color w:val="000000"/>
          <w:sz w:val="24"/>
        </w:rPr>
      </w:pPr>
    </w:p>
    <w:p w:rsidR="00E20253" w:rsidRPr="00E20253" w:rsidRDefault="00E20253" w:rsidP="00E20253">
      <w:pPr>
        <w:spacing w:after="0" w:line="240" w:lineRule="auto"/>
        <w:jc w:val="center"/>
        <w:rPr>
          <w:rFonts w:eastAsia="Times New Roman" w:cs="Times New Roman"/>
          <w:b/>
          <w:bCs/>
          <w:color w:val="000000"/>
          <w:szCs w:val="28"/>
        </w:rPr>
      </w:pPr>
      <w:r w:rsidRPr="00E20253">
        <w:rPr>
          <w:rFonts w:eastAsia="Times New Roman" w:cs="Times New Roman"/>
          <w:b/>
          <w:bCs/>
          <w:color w:val="000000"/>
          <w:szCs w:val="28"/>
        </w:rPr>
        <w:t>QUY ĐỊNH</w:t>
      </w:r>
    </w:p>
    <w:p w:rsidR="00E20253" w:rsidRDefault="00E20253" w:rsidP="00E20253">
      <w:pPr>
        <w:spacing w:after="0" w:line="240" w:lineRule="auto"/>
        <w:jc w:val="center"/>
        <w:rPr>
          <w:rFonts w:eastAsia="Times New Roman" w:cs="Times New Roman"/>
          <w:b/>
          <w:bCs/>
          <w:color w:val="000000"/>
          <w:szCs w:val="28"/>
        </w:rPr>
      </w:pPr>
      <w:r w:rsidRPr="00E20253">
        <w:rPr>
          <w:rFonts w:eastAsia="Times New Roman" w:cs="Times New Roman"/>
          <w:b/>
          <w:bCs/>
          <w:color w:val="000000"/>
          <w:szCs w:val="28"/>
        </w:rPr>
        <w:t>Điều kiện, tiêu chí, quy mô, tỷ lệ để tách diện tích đất do cơ quan, tổ chức của Nhà n</w:t>
      </w:r>
      <w:r>
        <w:rPr>
          <w:rFonts w:eastAsia="Times New Roman" w:cs="Times New Roman"/>
          <w:b/>
          <w:bCs/>
          <w:color w:val="000000"/>
          <w:szCs w:val="28"/>
        </w:rPr>
        <w:t>ư</w:t>
      </w:r>
      <w:r w:rsidRPr="00E20253">
        <w:rPr>
          <w:rFonts w:eastAsia="Times New Roman" w:cs="Times New Roman"/>
          <w:b/>
          <w:bCs/>
          <w:color w:val="000000"/>
          <w:szCs w:val="28"/>
        </w:rPr>
        <w:t>ớc quản lý thành dự án độc lập trên địa bàn tỉnh Hải D</w:t>
      </w:r>
      <w:r>
        <w:rPr>
          <w:rFonts w:eastAsia="Times New Roman" w:cs="Times New Roman"/>
          <w:b/>
          <w:bCs/>
          <w:color w:val="000000"/>
          <w:szCs w:val="28"/>
        </w:rPr>
        <w:t>ư</w:t>
      </w:r>
      <w:r w:rsidRPr="00E20253">
        <w:rPr>
          <w:rFonts w:eastAsia="Times New Roman" w:cs="Times New Roman"/>
          <w:b/>
          <w:bCs/>
          <w:color w:val="000000"/>
          <w:szCs w:val="28"/>
        </w:rPr>
        <w:t>ơng</w:t>
      </w:r>
    </w:p>
    <w:p w:rsidR="00E20253" w:rsidRDefault="00E20253" w:rsidP="00E20253">
      <w:pPr>
        <w:spacing w:after="0" w:line="240" w:lineRule="auto"/>
        <w:jc w:val="center"/>
        <w:rPr>
          <w:rFonts w:eastAsia="Times New Roman" w:cs="Times New Roman"/>
          <w:i/>
          <w:iCs/>
          <w:color w:val="000000"/>
          <w:szCs w:val="28"/>
        </w:rPr>
      </w:pPr>
      <w:r w:rsidRPr="00E20253">
        <w:rPr>
          <w:rFonts w:eastAsia="Times New Roman" w:cs="Times New Roman"/>
          <w:i/>
          <w:iCs/>
          <w:color w:val="000000"/>
          <w:szCs w:val="28"/>
        </w:rPr>
        <w:t xml:space="preserve">(Ban hành kèm theo Quyết định số </w:t>
      </w:r>
      <w:r>
        <w:rPr>
          <w:rFonts w:eastAsia="Times New Roman" w:cs="Times New Roman"/>
          <w:i/>
          <w:iCs/>
          <w:color w:val="000000"/>
          <w:szCs w:val="28"/>
        </w:rPr>
        <w:t>49</w:t>
      </w:r>
      <w:r w:rsidRPr="00E20253">
        <w:rPr>
          <w:rFonts w:eastAsia="Times New Roman" w:cs="Times New Roman"/>
          <w:i/>
          <w:iCs/>
          <w:color w:val="000000"/>
          <w:szCs w:val="28"/>
        </w:rPr>
        <w:t>/2024/QĐ-UBND ngày</w:t>
      </w:r>
      <w:r>
        <w:rPr>
          <w:rFonts w:eastAsia="Times New Roman" w:cs="Times New Roman"/>
          <w:i/>
          <w:iCs/>
          <w:color w:val="000000"/>
          <w:szCs w:val="28"/>
        </w:rPr>
        <w:t xml:space="preserve"> 14</w:t>
      </w:r>
      <w:r w:rsidRPr="00E20253">
        <w:rPr>
          <w:rFonts w:eastAsia="Times New Roman" w:cs="Times New Roman"/>
          <w:i/>
          <w:iCs/>
          <w:color w:val="000000"/>
          <w:szCs w:val="28"/>
        </w:rPr>
        <w:t xml:space="preserve"> tháng 11 năm 2024 của Ủy ban nhân dân tỉnh Hải Dương</w:t>
      </w:r>
      <w:r>
        <w:rPr>
          <w:rFonts w:eastAsia="Times New Roman" w:cs="Times New Roman"/>
          <w:i/>
          <w:iCs/>
          <w:color w:val="000000"/>
          <w:szCs w:val="28"/>
        </w:rPr>
        <w:t>)</w:t>
      </w:r>
    </w:p>
    <w:p w:rsidR="00E20253" w:rsidRDefault="00E20253" w:rsidP="00E20253">
      <w:pPr>
        <w:spacing w:after="0" w:line="240" w:lineRule="auto"/>
        <w:jc w:val="center"/>
        <w:rPr>
          <w:rFonts w:eastAsia="Times New Roman" w:cs="Times New Roman"/>
          <w:i/>
          <w:iCs/>
          <w:color w:val="000000"/>
          <w:szCs w:val="28"/>
        </w:rPr>
      </w:pPr>
    </w:p>
    <w:p w:rsidR="00E20253" w:rsidRDefault="00E20253" w:rsidP="00E20253">
      <w:pPr>
        <w:jc w:val="center"/>
        <w:rPr>
          <w:rStyle w:val="fontstyle01"/>
        </w:rPr>
      </w:pPr>
      <w:r>
        <w:rPr>
          <w:rStyle w:val="fontstyle01"/>
        </w:rPr>
        <w:t>Chương I</w:t>
      </w:r>
    </w:p>
    <w:p w:rsidR="00E20253" w:rsidRDefault="00E20253" w:rsidP="00E20253">
      <w:pPr>
        <w:jc w:val="center"/>
        <w:rPr>
          <w:rStyle w:val="fontstyle01"/>
        </w:rPr>
      </w:pPr>
      <w:r>
        <w:rPr>
          <w:rStyle w:val="fontstyle01"/>
        </w:rPr>
        <w:t>QUY ĐỊNH CHUNG</w:t>
      </w:r>
    </w:p>
    <w:p w:rsidR="00E20253" w:rsidRP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Điều 1. Phạm vi điều chỉnh</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1. Quy định này quy định cụ thể khoản 3, Điều 59 Nghị định số 102/2024/NĐ-CP ngày 30 tháng 7 năm 2024 của Chính phủ quy định chi tiết thi hành một số điều của Luật Đất đai về điều kiện, tiêu chí, quy mô, tỷ lệ để tách diện tích đất do cơ quan, tổ chức của Nhà nước quản lý thành dự án độc lập trên địa bàn tỉnh Hải Dương.</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2. Quy định này chỉ áp dụng đối với các dự án đầu tư có sử dụng đất để thực hiện dự án phát triển kinh tế - xã hội thông qua thỏa thuận về nhận quyền sử dụng đất theo quy định tại Điều 127 Luật Đất đai.</w:t>
      </w:r>
    </w:p>
    <w:p w:rsidR="00E20253" w:rsidRP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Điều 2. Đối tượng áp dụng</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1. Các nhà đầu tư quy định tại khoản 18, Điều 3 Luật Đầu tư và các cơ quan, tổ chức, cá nhân liên quan hoạt động đầu tư.</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2. Các cơ quan, tổ chức, cá nhân liên quan đến việc quản lý, sử dụng đất.</w:t>
      </w:r>
    </w:p>
    <w:p w:rsidR="00E20253" w:rsidRP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Điều 3. Giải thích từ ngữ</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Các từ, cụm từ sau đây sử dụng trong quy định này được hiểu như sau:</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lastRenderedPageBreak/>
        <w:t xml:space="preserve">1. </w:t>
      </w:r>
      <w:r w:rsidRPr="00E20253">
        <w:rPr>
          <w:rStyle w:val="fontstyle31"/>
          <w:rFonts w:ascii="Times New Roman" w:hAnsi="Times New Roman" w:cs="Times New Roman"/>
        </w:rPr>
        <w:t xml:space="preserve">Dự án độc lập </w:t>
      </w:r>
      <w:r w:rsidRPr="00E20253">
        <w:rPr>
          <w:rStyle w:val="fontstyle21"/>
          <w:rFonts w:ascii="Times New Roman" w:hAnsi="Times New Roman" w:cs="Times New Roman"/>
        </w:rPr>
        <w:t>là dự án đầu tư mà khi thực hiện hoặc chấm dứt không ảnh hưởng đến pháp lý dự án khác.</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2. </w:t>
      </w:r>
      <w:r w:rsidRPr="00E20253">
        <w:rPr>
          <w:rStyle w:val="fontstyle31"/>
          <w:rFonts w:ascii="Times New Roman" w:hAnsi="Times New Roman" w:cs="Times New Roman"/>
        </w:rPr>
        <w:t xml:space="preserve">Dự án thương mại dịch vụ </w:t>
      </w:r>
      <w:r w:rsidRPr="00E20253">
        <w:rPr>
          <w:rStyle w:val="fontstyle21"/>
          <w:rFonts w:ascii="Times New Roman" w:hAnsi="Times New Roman" w:cs="Times New Roman"/>
        </w:rPr>
        <w:t>là dự án đầu tư thuộc ngành, nghề dịch vụ, thương mại.</w:t>
      </w:r>
    </w:p>
    <w:p w:rsidR="00E20253" w:rsidRP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3. </w:t>
      </w:r>
      <w:r w:rsidRPr="00E20253">
        <w:rPr>
          <w:rStyle w:val="fontstyle31"/>
          <w:rFonts w:ascii="Times New Roman" w:hAnsi="Times New Roman" w:cs="Times New Roman"/>
        </w:rPr>
        <w:t xml:space="preserve">Đường bộ hiện trạng </w:t>
      </w:r>
      <w:r w:rsidRPr="00E20253">
        <w:rPr>
          <w:rStyle w:val="fontstyle21"/>
          <w:rFonts w:ascii="Times New Roman" w:hAnsi="Times New Roman" w:cs="Times New Roman"/>
        </w:rPr>
        <w:t>là đường bộ giao thông hiện có bảo đảm mặt cắt ngang có bề rộng nền đường lớn hơn (</w:t>
      </w:r>
      <w:r w:rsidRPr="00E20253">
        <w:rPr>
          <w:rStyle w:val="fontstyle31"/>
          <w:rFonts w:ascii="Times New Roman" w:hAnsi="Times New Roman" w:cs="Times New Roman"/>
        </w:rPr>
        <w:t>hoặc bằng</w:t>
      </w:r>
      <w:r w:rsidRPr="00E20253">
        <w:rPr>
          <w:rStyle w:val="fontstyle21"/>
          <w:rFonts w:ascii="Times New Roman" w:hAnsi="Times New Roman" w:cs="Times New Roman"/>
        </w:rPr>
        <w:t>) 6m, bề rộng mặt đường lớn hơn (</w:t>
      </w:r>
      <w:r w:rsidRPr="00E20253">
        <w:rPr>
          <w:rStyle w:val="fontstyle31"/>
          <w:rFonts w:ascii="Times New Roman" w:hAnsi="Times New Roman" w:cs="Times New Roman"/>
        </w:rPr>
        <w:t>hoặc bằng</w:t>
      </w:r>
      <w:r w:rsidRPr="00E20253">
        <w:rPr>
          <w:rStyle w:val="fontstyle21"/>
          <w:rFonts w:ascii="Times New Roman" w:hAnsi="Times New Roman" w:cs="Times New Roman"/>
        </w:rPr>
        <w:t>) 3,5m.</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4. </w:t>
      </w:r>
      <w:r w:rsidRPr="00E20253">
        <w:rPr>
          <w:rStyle w:val="fontstyle31"/>
          <w:rFonts w:ascii="Times New Roman" w:hAnsi="Times New Roman" w:cs="Times New Roman"/>
        </w:rPr>
        <w:t xml:space="preserve">Đường bộ đã được quy hoạch </w:t>
      </w:r>
      <w:r w:rsidRPr="00E20253">
        <w:rPr>
          <w:rStyle w:val="fontstyle21"/>
          <w:rFonts w:ascii="Times New Roman" w:hAnsi="Times New Roman" w:cs="Times New Roman"/>
        </w:rPr>
        <w:t>là đường bộ giao thông đã có trong một hoặc nhiều quy hoạch sau: Quy hoạch tỉnh Hải Dương, quy hoạch xây dựng vùng huyện, quy hoạch chung đô thị, quy hoạch chung xây dựng xã, quy hoạch phân</w:t>
      </w:r>
      <w:r>
        <w:rPr>
          <w:rStyle w:val="fontstyle21"/>
          <w:rFonts w:ascii="Times New Roman" w:hAnsi="Times New Roman" w:cs="Times New Roman"/>
        </w:rPr>
        <w:t xml:space="preserve"> </w:t>
      </w:r>
      <w:r w:rsidRPr="00E20253">
        <w:rPr>
          <w:rStyle w:val="fontstyle21"/>
          <w:rFonts w:ascii="Times New Roman" w:hAnsi="Times New Roman" w:cs="Times New Roman"/>
        </w:rPr>
        <w:t>khu, quy hoạch chi tiết được cấp có thẩm quyền phê duyệt và đạt tiêu chuẩn đường giao thông có bề rộng nền đường lớn hơn (</w:t>
      </w:r>
      <w:r w:rsidRPr="00E20253">
        <w:rPr>
          <w:rStyle w:val="fontstyle31"/>
          <w:rFonts w:ascii="Times New Roman" w:hAnsi="Times New Roman" w:cs="Times New Roman"/>
        </w:rPr>
        <w:t>hoặc bằng</w:t>
      </w:r>
      <w:r w:rsidRPr="00E20253">
        <w:rPr>
          <w:rStyle w:val="fontstyle21"/>
          <w:rFonts w:ascii="Times New Roman" w:hAnsi="Times New Roman" w:cs="Times New Roman"/>
        </w:rPr>
        <w:t>) 6m, bề rộng mặt đường lớn hơn (</w:t>
      </w:r>
      <w:r w:rsidRPr="00E20253">
        <w:rPr>
          <w:rStyle w:val="fontstyle31"/>
          <w:rFonts w:ascii="Times New Roman" w:hAnsi="Times New Roman" w:cs="Times New Roman"/>
        </w:rPr>
        <w:t>hoặc bằng</w:t>
      </w:r>
      <w:r w:rsidRPr="00E20253">
        <w:rPr>
          <w:rStyle w:val="fontstyle21"/>
          <w:rFonts w:ascii="Times New Roman" w:hAnsi="Times New Roman" w:cs="Times New Roman"/>
        </w:rPr>
        <w:t xml:space="preserve">) 3,5m. </w:t>
      </w:r>
    </w:p>
    <w:p w:rsidR="00E20253" w:rsidRDefault="00E20253" w:rsidP="00C622BD">
      <w:pPr>
        <w:ind w:firstLine="567"/>
        <w:jc w:val="center"/>
        <w:rPr>
          <w:rStyle w:val="fontstyle01"/>
          <w:rFonts w:ascii="Times New Roman" w:hAnsi="Times New Roman" w:cs="Times New Roman"/>
        </w:rPr>
      </w:pPr>
      <w:r w:rsidRPr="00E20253">
        <w:rPr>
          <w:rStyle w:val="fontstyle01"/>
          <w:rFonts w:ascii="Times New Roman" w:hAnsi="Times New Roman" w:cs="Times New Roman"/>
        </w:rPr>
        <w:t>Chương II</w:t>
      </w:r>
    </w:p>
    <w:p w:rsidR="00E20253" w:rsidRDefault="00E20253" w:rsidP="00C622BD">
      <w:pPr>
        <w:ind w:firstLine="567"/>
        <w:jc w:val="center"/>
        <w:rPr>
          <w:rStyle w:val="fontstyle01"/>
          <w:rFonts w:ascii="Times New Roman" w:hAnsi="Times New Roman" w:cs="Times New Roman"/>
        </w:rPr>
      </w:pPr>
      <w:r w:rsidRPr="00E20253">
        <w:rPr>
          <w:rStyle w:val="fontstyle01"/>
          <w:rFonts w:ascii="Times New Roman" w:hAnsi="Times New Roman" w:cs="Times New Roman"/>
        </w:rPr>
        <w:t>QUY ĐỊNH CỤ THỂ</w:t>
      </w:r>
    </w:p>
    <w:p w:rsid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 xml:space="preserve">Điều 4. Điều kiện, tiêu chí để tách phần diện tích đất do cơ quan, tổ chức của Nhà nước quản lý thành dự án độc lập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1. Các điều kiện để tách phần diện tích đất do cơ quan, tổ chức của Nhà nước quản lý thành dự án độc lập:</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 a) Phù hợp với quy hoạch sử dụng đất cấp huyện đã được phê duyệt và các quy hoạch khác có liên quan;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b) Không có tranh chấp, khiếu nại, vi phạm hoặc có tranh chấp, khiếu nại, vi phạm nhưng đã có văn bản giải quyết theo quy định của pháp luật.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2. Các tiêu chí để tách phần diện tích đất do cơ quan, tổ chức của Nhà nước quản lý thành dự án độc lập: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a) Phải là một thửa hoặc nhiều thửa đất liền kề, không nằm xen kẽ, không bị chia cắt bởi các thửa đất không phải là đất do cơ quan, tổ chức của Nhà nước quản lý;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b) Có ít nhất một mặt giáp đường bộ hiện trạng, đường bộ đã được quy hoạch, hành lang an toàn giao thông đường bộ mà chiều dài cạnh tiếp giáp với đường bộ hiện trạng, đường bộ đã được quy hoạch và hành lang an toàn giao thông đường bộ tối thiểu là 15m đối với khu vực đô thị, 20m đối với khu vực ngoài đô thị hoặc có ít nhất một mặt giáp với đường thủy mà phần diện tích đất do cơ quan, tổ chức của Nhà nước quản lý có quy hoạch cảng thủy, bến thủy nội địa;</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lastRenderedPageBreak/>
        <w:t xml:space="preserve">c) Phần diện tích đất do cơ quan, tổ chức của Nhà nước quản lý lập được quy hoạch chi tiết, quy hoạch tổng mặt bằng; có hình dáng, kích thước đảm bảo quy chuẩn, tiêu chuẩn kỹ thuật theo quy định của pháp luật xây dựng và pháp luật chuyên ngành khác có liên quan, phù hợp với mục đích sử dụng từng loại đất, công trình trong từng trường hợp cụ thể. </w:t>
      </w:r>
    </w:p>
    <w:p w:rsid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 xml:space="preserve">Điều 5. Quy mô, tỷ lệ để tách phần diện tích đất do cơ quan, tổ chức của Nhà nước quản lý thành dự án độc lập: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1. Đối với các dự án thương mại dịch vụ đầu tư tại các phường thuộc thành phố, thị xã và thị trấn thuộc huyện, khu vực quy hoạch đô thị, trong đó phần diện tích đất do cơ quan, tổ chức của Nhà nước quản lý có diện tích chiếm tỷ lệ từ 40% trở lên so với diện tích đất thực hiện dự án đầu tư mới (</w:t>
      </w:r>
      <w:r w:rsidRPr="00E20253">
        <w:rPr>
          <w:rStyle w:val="fontstyle31"/>
          <w:rFonts w:ascii="Times New Roman" w:hAnsi="Times New Roman" w:cs="Times New Roman"/>
        </w:rPr>
        <w:t>hoặc phần diện tích đất xin thuê mở rộng đối với dự án đầu tư mở rộng</w:t>
      </w:r>
      <w:r w:rsidRPr="00E20253">
        <w:rPr>
          <w:rStyle w:val="fontstyle21"/>
          <w:rFonts w:ascii="Times New Roman" w:hAnsi="Times New Roman" w:cs="Times New Roman"/>
        </w:rPr>
        <w:t>) và có diện tích tối thiểu 1.000 m2;</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2. Đối với các dự án thương mại dịch vụ đầu tư tại các địa bàn không thuộc quy định tại khoản 1 Điều này, trong đó phần diện tích đất do cơ quan, tổ chức của Nhà nước quản lý có diện tích chiếm tỷ lệ từ 45% trở lên so với diện tích đất thực hiện dự án đầu tư mới (</w:t>
      </w:r>
      <w:r w:rsidRPr="00E20253">
        <w:rPr>
          <w:rStyle w:val="fontstyle31"/>
          <w:rFonts w:ascii="Times New Roman" w:hAnsi="Times New Roman" w:cs="Times New Roman"/>
        </w:rPr>
        <w:t>hoặc phần diện tích đất xin thuê mở rộng đối với dự án đầu tư mở rộng</w:t>
      </w:r>
      <w:r w:rsidRPr="00E20253">
        <w:rPr>
          <w:rStyle w:val="fontstyle21"/>
          <w:rFonts w:ascii="Times New Roman" w:hAnsi="Times New Roman" w:cs="Times New Roman"/>
        </w:rPr>
        <w:t xml:space="preserve">) và có diện tích tối thiểu 2.000 m2;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3. Đối với các dự án có sử dụng đất tại bãi sông, trong đó phần diện tích đất do cơ quan, tổ chức của Nhà nước quản lý có diện tích chiếm tỷ lệ từ 95% trở lên so với diện tích đất thực hiện dự án đầu tư mới (</w:t>
      </w:r>
      <w:r w:rsidRPr="00E20253">
        <w:rPr>
          <w:rStyle w:val="fontstyle31"/>
          <w:rFonts w:ascii="Times New Roman" w:hAnsi="Times New Roman" w:cs="Times New Roman"/>
        </w:rPr>
        <w:t>hoặc phần diện tích đất xin thuê mở rộng đối với dự án đầu tư mở rộng</w:t>
      </w:r>
      <w:r w:rsidRPr="00E20253">
        <w:rPr>
          <w:rStyle w:val="fontstyle21"/>
          <w:rFonts w:ascii="Times New Roman" w:hAnsi="Times New Roman" w:cs="Times New Roman"/>
        </w:rPr>
        <w:t xml:space="preserve">) và có diện tích tối thiểu 1.000 m2;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4. Đối với các dự án không thuộc quy định tại khoản 1, 2 và 3 Điều này, trong đó phần diện tích đất do cơ quan, tổ chức của Nhà nước quản lý có diện tích chiếm tỷ lệ từ 60% trở lên so với diện tích đất thực hiện dự án đầu tư mới (</w:t>
      </w:r>
      <w:r w:rsidRPr="00E20253">
        <w:rPr>
          <w:rStyle w:val="fontstyle31"/>
          <w:rFonts w:ascii="Times New Roman" w:hAnsi="Times New Roman" w:cs="Times New Roman"/>
        </w:rPr>
        <w:t>hoặc phần diện tích đất xin thuê mở rộng đối với dự án đầu tư mở rộng</w:t>
      </w:r>
      <w:r w:rsidRPr="00E20253">
        <w:rPr>
          <w:rStyle w:val="fontstyle21"/>
          <w:rFonts w:ascii="Times New Roman" w:hAnsi="Times New Roman" w:cs="Times New Roman"/>
        </w:rPr>
        <w:t xml:space="preserve">) và có diện tích tối thiểu 3.000 m2. </w:t>
      </w:r>
    </w:p>
    <w:p w:rsidR="00E20253" w:rsidRDefault="00E20253" w:rsidP="00C622BD">
      <w:pPr>
        <w:ind w:firstLine="567"/>
        <w:jc w:val="center"/>
        <w:rPr>
          <w:rStyle w:val="fontstyle01"/>
          <w:rFonts w:ascii="Times New Roman" w:hAnsi="Times New Roman" w:cs="Times New Roman"/>
        </w:rPr>
      </w:pPr>
      <w:r w:rsidRPr="00E20253">
        <w:rPr>
          <w:rStyle w:val="fontstyle01"/>
          <w:rFonts w:ascii="Times New Roman" w:hAnsi="Times New Roman" w:cs="Times New Roman"/>
        </w:rPr>
        <w:t>Chương III</w:t>
      </w:r>
    </w:p>
    <w:p w:rsidR="00E20253" w:rsidRDefault="00E20253" w:rsidP="00C622BD">
      <w:pPr>
        <w:ind w:firstLine="567"/>
        <w:jc w:val="center"/>
        <w:rPr>
          <w:rStyle w:val="fontstyle01"/>
          <w:rFonts w:ascii="Times New Roman" w:hAnsi="Times New Roman" w:cs="Times New Roman"/>
        </w:rPr>
      </w:pPr>
      <w:r w:rsidRPr="00E20253">
        <w:rPr>
          <w:rStyle w:val="fontstyle01"/>
          <w:rFonts w:ascii="Times New Roman" w:hAnsi="Times New Roman" w:cs="Times New Roman"/>
        </w:rPr>
        <w:t>TỔ CHỨC THỰC HIỆN</w:t>
      </w:r>
    </w:p>
    <w:p w:rsid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 xml:space="preserve">Điều 6. Trách nhiệm của các cơ quan, địa phương và tổ chức cá nhân có liên quan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1. Sở Tài nguyên và Môi trường: Chủ trì, phối hợp với các cơ quan, địa phương liên quan xem xét, tách phần diện tích đất do cơ quan, tổ chức của Nhà nước quản lý thành dự án độc lập (</w:t>
      </w:r>
      <w:r w:rsidRPr="00E20253">
        <w:rPr>
          <w:rStyle w:val="fontstyle31"/>
          <w:rFonts w:ascii="Times New Roman" w:hAnsi="Times New Roman" w:cs="Times New Roman"/>
        </w:rPr>
        <w:t>nếu có</w:t>
      </w:r>
      <w:r w:rsidRPr="00E20253">
        <w:rPr>
          <w:rStyle w:val="fontstyle21"/>
          <w:rFonts w:ascii="Times New Roman" w:hAnsi="Times New Roman" w:cs="Times New Roman"/>
        </w:rPr>
        <w:t xml:space="preserve">) khi thẩm định chấp thuận tổ chức kinh tế được nhận chuyển nhượng quyền sử dụng đất để thực hiện dự án hoặc tham mưu Ủy ban nhân dân tỉnh xem xét, quyết định cho phép tổ chức kinh tế nhận chuyển nhượng quyền sử dụng đất;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lastRenderedPageBreak/>
        <w:t xml:space="preserve">2. Sở, ban, ngành và Ủy ban nhân dân các huyện, thị xã, thành phố: Phản ánh kịp thời những khó khăn, vướng mắc trong quá trình tổ chức thực hiện quy định này. </w:t>
      </w:r>
    </w:p>
    <w:p w:rsidR="00E20253" w:rsidRDefault="00E20253" w:rsidP="00C622BD">
      <w:pPr>
        <w:ind w:firstLine="567"/>
        <w:jc w:val="both"/>
        <w:rPr>
          <w:rStyle w:val="fontstyle01"/>
          <w:rFonts w:ascii="Times New Roman" w:hAnsi="Times New Roman" w:cs="Times New Roman"/>
        </w:rPr>
      </w:pPr>
      <w:r w:rsidRPr="00E20253">
        <w:rPr>
          <w:rStyle w:val="fontstyle01"/>
          <w:rFonts w:ascii="Times New Roman" w:hAnsi="Times New Roman" w:cs="Times New Roman"/>
        </w:rPr>
        <w:t xml:space="preserve">Điều 7. Điều khoản thi hành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1. Các dự án đã được Ủy ban nhân dân tỉnh chấp thuận, cho phép nhận chuyển nhượng quyền sử dụng đất mà chưa hoàn thành việc thỏa thuận thì tiếp tục thực hiện theo văn bản đã được Ủy ban nhân dân tỉnh chấp thuận. </w:t>
      </w:r>
    </w:p>
    <w:p w:rsidR="00E20253" w:rsidRDefault="00E20253" w:rsidP="00C622BD">
      <w:pPr>
        <w:ind w:firstLine="567"/>
        <w:jc w:val="both"/>
        <w:rPr>
          <w:rStyle w:val="fontstyle21"/>
          <w:rFonts w:ascii="Times New Roman" w:hAnsi="Times New Roman" w:cs="Times New Roman"/>
        </w:rPr>
      </w:pPr>
      <w:r w:rsidRPr="00E20253">
        <w:rPr>
          <w:rStyle w:val="fontstyle21"/>
          <w:rFonts w:ascii="Times New Roman" w:hAnsi="Times New Roman" w:cs="Times New Roman"/>
        </w:rPr>
        <w:t xml:space="preserve">2. Trong quá trình thực hiện, nếu có khó khăn, vướng mắc, yêu cầu các cơ quan, địa phương, tổ chức, cá nhân kịp thời phản ánh về Sở Kế hoạch và Đầu tư để hướng dẫn hoặc tổng hợp, báo cáo Ủy ban nhân dân tỉnh xem xét, giải quyết. </w:t>
      </w:r>
    </w:p>
    <w:p w:rsidR="00E20253" w:rsidRPr="00E20253" w:rsidRDefault="00E20253" w:rsidP="00C622BD">
      <w:pPr>
        <w:ind w:firstLine="567"/>
        <w:jc w:val="both"/>
        <w:rPr>
          <w:rFonts w:eastAsia="Times New Roman" w:cs="Times New Roman"/>
          <w:b/>
          <w:bCs/>
          <w:i/>
          <w:iCs/>
          <w:color w:val="000000"/>
          <w:szCs w:val="28"/>
        </w:rPr>
      </w:pPr>
      <w:r w:rsidRPr="00E20253">
        <w:rPr>
          <w:rStyle w:val="fontstyle21"/>
          <w:rFonts w:ascii="Times New Roman" w:hAnsi="Times New Roman" w:cs="Times New Roman"/>
        </w:rPr>
        <w:t>3. Các văn bản quy phạm pháp luật dẫn chiếu trong Quy định này khi được sửa đổi, bổ sung, thay thế thì nội dung dẫn chiếu trong Quy định này cũng được điều chỉnh và thực hiện theo văn bản quy phạm pháp luật sửa đổi, bổ sung, thay thế</w:t>
      </w:r>
      <w:r>
        <w:rPr>
          <w:rStyle w:val="fontstyle21"/>
          <w:rFonts w:ascii="Times New Roman" w:hAnsi="Times New Roman" w:cs="Times New Roman"/>
        </w:rPr>
        <w:t>./.</w:t>
      </w:r>
    </w:p>
    <w:sectPr w:rsidR="00E20253" w:rsidRPr="00E20253"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360BE"/>
    <w:rsid w:val="000630E4"/>
    <w:rsid w:val="000935E9"/>
    <w:rsid w:val="00107C8E"/>
    <w:rsid w:val="00114AB0"/>
    <w:rsid w:val="001467BD"/>
    <w:rsid w:val="001632E4"/>
    <w:rsid w:val="00191696"/>
    <w:rsid w:val="001D3042"/>
    <w:rsid w:val="001F5B50"/>
    <w:rsid w:val="001F7950"/>
    <w:rsid w:val="0022726C"/>
    <w:rsid w:val="00245106"/>
    <w:rsid w:val="00263417"/>
    <w:rsid w:val="00271380"/>
    <w:rsid w:val="0027429E"/>
    <w:rsid w:val="0028331A"/>
    <w:rsid w:val="00296546"/>
    <w:rsid w:val="00297D9C"/>
    <w:rsid w:val="002F28A0"/>
    <w:rsid w:val="002F5BB5"/>
    <w:rsid w:val="003143D4"/>
    <w:rsid w:val="003759CD"/>
    <w:rsid w:val="003F05D4"/>
    <w:rsid w:val="004027C6"/>
    <w:rsid w:val="00496676"/>
    <w:rsid w:val="005509F0"/>
    <w:rsid w:val="00553E08"/>
    <w:rsid w:val="005F6FA9"/>
    <w:rsid w:val="00624FB6"/>
    <w:rsid w:val="00637195"/>
    <w:rsid w:val="0065226C"/>
    <w:rsid w:val="006539A2"/>
    <w:rsid w:val="006838DC"/>
    <w:rsid w:val="006860C7"/>
    <w:rsid w:val="006E1807"/>
    <w:rsid w:val="006F3773"/>
    <w:rsid w:val="00703BBD"/>
    <w:rsid w:val="00712BA2"/>
    <w:rsid w:val="00752854"/>
    <w:rsid w:val="00777B0A"/>
    <w:rsid w:val="00793710"/>
    <w:rsid w:val="00807A6D"/>
    <w:rsid w:val="0088493F"/>
    <w:rsid w:val="008866A4"/>
    <w:rsid w:val="00934C26"/>
    <w:rsid w:val="0094010B"/>
    <w:rsid w:val="00986C31"/>
    <w:rsid w:val="009B0F04"/>
    <w:rsid w:val="009C5E5D"/>
    <w:rsid w:val="009C7275"/>
    <w:rsid w:val="009D7FD7"/>
    <w:rsid w:val="009F10FD"/>
    <w:rsid w:val="00A13B19"/>
    <w:rsid w:val="00A54806"/>
    <w:rsid w:val="00A56B31"/>
    <w:rsid w:val="00AF4F06"/>
    <w:rsid w:val="00B10E25"/>
    <w:rsid w:val="00B3091C"/>
    <w:rsid w:val="00B35C10"/>
    <w:rsid w:val="00B7792C"/>
    <w:rsid w:val="00B77E0A"/>
    <w:rsid w:val="00BB1378"/>
    <w:rsid w:val="00BC5F3F"/>
    <w:rsid w:val="00BF5536"/>
    <w:rsid w:val="00C06BFA"/>
    <w:rsid w:val="00C622BD"/>
    <w:rsid w:val="00CE1ACB"/>
    <w:rsid w:val="00CE2F87"/>
    <w:rsid w:val="00CE4A6B"/>
    <w:rsid w:val="00CF58DE"/>
    <w:rsid w:val="00D30EA7"/>
    <w:rsid w:val="00D45ADF"/>
    <w:rsid w:val="00D96F29"/>
    <w:rsid w:val="00DD3AA0"/>
    <w:rsid w:val="00DE1D48"/>
    <w:rsid w:val="00DF2744"/>
    <w:rsid w:val="00DF397F"/>
    <w:rsid w:val="00DF68F2"/>
    <w:rsid w:val="00DF709A"/>
    <w:rsid w:val="00E06608"/>
    <w:rsid w:val="00E20253"/>
    <w:rsid w:val="00EA36F6"/>
    <w:rsid w:val="00EE0D8E"/>
    <w:rsid w:val="00F00E35"/>
    <w:rsid w:val="00F40032"/>
    <w:rsid w:val="00F52A97"/>
    <w:rsid w:val="00F60467"/>
    <w:rsid w:val="00FA0276"/>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onnector" idref="#_x0000_s1029"/>
        <o:r id="V:Rule2" type="connector" idref="#_x0000_s1035"/>
        <o:r id="V:Rule3" type="connector" idref="#_x0000_s1031"/>
        <o:r id="V:Rule4" type="connector" idref="#_x0000_s1036"/>
        <o:r id="V:Rule5" type="connector" idref="#_x0000_s1037"/>
      </o:rules>
    </o:shapelayout>
  </w:shapeDefaults>
  <w:decimalSymbol w:val="."/>
  <w:listSeparator w:val=","/>
  <w14:docId w14:val="0F84169B"/>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06700286">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14101951">
      <w:bodyDiv w:val="1"/>
      <w:marLeft w:val="0"/>
      <w:marRight w:val="0"/>
      <w:marTop w:val="0"/>
      <w:marBottom w:val="0"/>
      <w:divBdr>
        <w:top w:val="none" w:sz="0" w:space="0" w:color="auto"/>
        <w:left w:val="none" w:sz="0" w:space="0" w:color="auto"/>
        <w:bottom w:val="none" w:sz="0" w:space="0" w:color="auto"/>
        <w:right w:val="none" w:sz="0" w:space="0" w:color="auto"/>
      </w:divBdr>
    </w:div>
    <w:div w:id="116610481">
      <w:bodyDiv w:val="1"/>
      <w:marLeft w:val="0"/>
      <w:marRight w:val="0"/>
      <w:marTop w:val="0"/>
      <w:marBottom w:val="0"/>
      <w:divBdr>
        <w:top w:val="none" w:sz="0" w:space="0" w:color="auto"/>
        <w:left w:val="none" w:sz="0" w:space="0" w:color="auto"/>
        <w:bottom w:val="none" w:sz="0" w:space="0" w:color="auto"/>
        <w:right w:val="none" w:sz="0" w:space="0" w:color="auto"/>
      </w:divBdr>
    </w:div>
    <w:div w:id="143939769">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291177509">
      <w:bodyDiv w:val="1"/>
      <w:marLeft w:val="0"/>
      <w:marRight w:val="0"/>
      <w:marTop w:val="0"/>
      <w:marBottom w:val="0"/>
      <w:divBdr>
        <w:top w:val="none" w:sz="0" w:space="0" w:color="auto"/>
        <w:left w:val="none" w:sz="0" w:space="0" w:color="auto"/>
        <w:bottom w:val="none" w:sz="0" w:space="0" w:color="auto"/>
        <w:right w:val="none" w:sz="0" w:space="0" w:color="auto"/>
      </w:divBdr>
    </w:div>
    <w:div w:id="303510032">
      <w:bodyDiv w:val="1"/>
      <w:marLeft w:val="0"/>
      <w:marRight w:val="0"/>
      <w:marTop w:val="0"/>
      <w:marBottom w:val="0"/>
      <w:divBdr>
        <w:top w:val="none" w:sz="0" w:space="0" w:color="auto"/>
        <w:left w:val="none" w:sz="0" w:space="0" w:color="auto"/>
        <w:bottom w:val="none" w:sz="0" w:space="0" w:color="auto"/>
        <w:right w:val="none" w:sz="0" w:space="0" w:color="auto"/>
      </w:divBdr>
    </w:div>
    <w:div w:id="303510095">
      <w:bodyDiv w:val="1"/>
      <w:marLeft w:val="0"/>
      <w:marRight w:val="0"/>
      <w:marTop w:val="0"/>
      <w:marBottom w:val="0"/>
      <w:divBdr>
        <w:top w:val="none" w:sz="0" w:space="0" w:color="auto"/>
        <w:left w:val="none" w:sz="0" w:space="0" w:color="auto"/>
        <w:bottom w:val="none" w:sz="0" w:space="0" w:color="auto"/>
        <w:right w:val="none" w:sz="0" w:space="0" w:color="auto"/>
      </w:divBdr>
    </w:div>
    <w:div w:id="314795849">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374082159">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30398980">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66555931">
      <w:bodyDiv w:val="1"/>
      <w:marLeft w:val="0"/>
      <w:marRight w:val="0"/>
      <w:marTop w:val="0"/>
      <w:marBottom w:val="0"/>
      <w:divBdr>
        <w:top w:val="none" w:sz="0" w:space="0" w:color="auto"/>
        <w:left w:val="none" w:sz="0" w:space="0" w:color="auto"/>
        <w:bottom w:val="none" w:sz="0" w:space="0" w:color="auto"/>
        <w:right w:val="none" w:sz="0" w:space="0" w:color="auto"/>
      </w:divBdr>
    </w:div>
    <w:div w:id="487553513">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489709261">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60218114">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592709687">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7813303">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11865598">
      <w:bodyDiv w:val="1"/>
      <w:marLeft w:val="0"/>
      <w:marRight w:val="0"/>
      <w:marTop w:val="0"/>
      <w:marBottom w:val="0"/>
      <w:divBdr>
        <w:top w:val="none" w:sz="0" w:space="0" w:color="auto"/>
        <w:left w:val="none" w:sz="0" w:space="0" w:color="auto"/>
        <w:bottom w:val="none" w:sz="0" w:space="0" w:color="auto"/>
        <w:right w:val="none" w:sz="0" w:space="0" w:color="auto"/>
      </w:divBdr>
    </w:div>
    <w:div w:id="618415242">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7365508">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3819942">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685323798">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19211633">
      <w:bodyDiv w:val="1"/>
      <w:marLeft w:val="0"/>
      <w:marRight w:val="0"/>
      <w:marTop w:val="0"/>
      <w:marBottom w:val="0"/>
      <w:divBdr>
        <w:top w:val="none" w:sz="0" w:space="0" w:color="auto"/>
        <w:left w:val="none" w:sz="0" w:space="0" w:color="auto"/>
        <w:bottom w:val="none" w:sz="0" w:space="0" w:color="auto"/>
        <w:right w:val="none" w:sz="0" w:space="0" w:color="auto"/>
      </w:divBdr>
    </w:div>
    <w:div w:id="723409988">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39594123">
      <w:bodyDiv w:val="1"/>
      <w:marLeft w:val="0"/>
      <w:marRight w:val="0"/>
      <w:marTop w:val="0"/>
      <w:marBottom w:val="0"/>
      <w:divBdr>
        <w:top w:val="none" w:sz="0" w:space="0" w:color="auto"/>
        <w:left w:val="none" w:sz="0" w:space="0" w:color="auto"/>
        <w:bottom w:val="none" w:sz="0" w:space="0" w:color="auto"/>
        <w:right w:val="none" w:sz="0" w:space="0" w:color="auto"/>
      </w:divBdr>
    </w:div>
    <w:div w:id="74129793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856046755">
      <w:bodyDiv w:val="1"/>
      <w:marLeft w:val="0"/>
      <w:marRight w:val="0"/>
      <w:marTop w:val="0"/>
      <w:marBottom w:val="0"/>
      <w:divBdr>
        <w:top w:val="none" w:sz="0" w:space="0" w:color="auto"/>
        <w:left w:val="none" w:sz="0" w:space="0" w:color="auto"/>
        <w:bottom w:val="none" w:sz="0" w:space="0" w:color="auto"/>
        <w:right w:val="none" w:sz="0" w:space="0" w:color="auto"/>
      </w:divBdr>
    </w:div>
    <w:div w:id="858202233">
      <w:bodyDiv w:val="1"/>
      <w:marLeft w:val="0"/>
      <w:marRight w:val="0"/>
      <w:marTop w:val="0"/>
      <w:marBottom w:val="0"/>
      <w:divBdr>
        <w:top w:val="none" w:sz="0" w:space="0" w:color="auto"/>
        <w:left w:val="none" w:sz="0" w:space="0" w:color="auto"/>
        <w:bottom w:val="none" w:sz="0" w:space="0" w:color="auto"/>
        <w:right w:val="none" w:sz="0" w:space="0" w:color="auto"/>
      </w:divBdr>
    </w:div>
    <w:div w:id="870874322">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27346827">
      <w:bodyDiv w:val="1"/>
      <w:marLeft w:val="0"/>
      <w:marRight w:val="0"/>
      <w:marTop w:val="0"/>
      <w:marBottom w:val="0"/>
      <w:divBdr>
        <w:top w:val="none" w:sz="0" w:space="0" w:color="auto"/>
        <w:left w:val="none" w:sz="0" w:space="0" w:color="auto"/>
        <w:bottom w:val="none" w:sz="0" w:space="0" w:color="auto"/>
        <w:right w:val="none" w:sz="0" w:space="0" w:color="auto"/>
      </w:divBdr>
    </w:div>
    <w:div w:id="953100150">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970786646">
      <w:bodyDiv w:val="1"/>
      <w:marLeft w:val="0"/>
      <w:marRight w:val="0"/>
      <w:marTop w:val="0"/>
      <w:marBottom w:val="0"/>
      <w:divBdr>
        <w:top w:val="none" w:sz="0" w:space="0" w:color="auto"/>
        <w:left w:val="none" w:sz="0" w:space="0" w:color="auto"/>
        <w:bottom w:val="none" w:sz="0" w:space="0" w:color="auto"/>
        <w:right w:val="none" w:sz="0" w:space="0" w:color="auto"/>
      </w:divBdr>
    </w:div>
    <w:div w:id="976184832">
      <w:bodyDiv w:val="1"/>
      <w:marLeft w:val="0"/>
      <w:marRight w:val="0"/>
      <w:marTop w:val="0"/>
      <w:marBottom w:val="0"/>
      <w:divBdr>
        <w:top w:val="none" w:sz="0" w:space="0" w:color="auto"/>
        <w:left w:val="none" w:sz="0" w:space="0" w:color="auto"/>
        <w:bottom w:val="none" w:sz="0" w:space="0" w:color="auto"/>
        <w:right w:val="none" w:sz="0" w:space="0" w:color="auto"/>
      </w:divBdr>
    </w:div>
    <w:div w:id="992369311">
      <w:bodyDiv w:val="1"/>
      <w:marLeft w:val="0"/>
      <w:marRight w:val="0"/>
      <w:marTop w:val="0"/>
      <w:marBottom w:val="0"/>
      <w:divBdr>
        <w:top w:val="none" w:sz="0" w:space="0" w:color="auto"/>
        <w:left w:val="none" w:sz="0" w:space="0" w:color="auto"/>
        <w:bottom w:val="none" w:sz="0" w:space="0" w:color="auto"/>
        <w:right w:val="none" w:sz="0" w:space="0" w:color="auto"/>
      </w:divBdr>
    </w:div>
    <w:div w:id="1006977144">
      <w:bodyDiv w:val="1"/>
      <w:marLeft w:val="0"/>
      <w:marRight w:val="0"/>
      <w:marTop w:val="0"/>
      <w:marBottom w:val="0"/>
      <w:divBdr>
        <w:top w:val="none" w:sz="0" w:space="0" w:color="auto"/>
        <w:left w:val="none" w:sz="0" w:space="0" w:color="auto"/>
        <w:bottom w:val="none" w:sz="0" w:space="0" w:color="auto"/>
        <w:right w:val="none" w:sz="0" w:space="0" w:color="auto"/>
      </w:divBdr>
    </w:div>
    <w:div w:id="1012956488">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112881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65179995">
      <w:bodyDiv w:val="1"/>
      <w:marLeft w:val="0"/>
      <w:marRight w:val="0"/>
      <w:marTop w:val="0"/>
      <w:marBottom w:val="0"/>
      <w:divBdr>
        <w:top w:val="none" w:sz="0" w:space="0" w:color="auto"/>
        <w:left w:val="none" w:sz="0" w:space="0" w:color="auto"/>
        <w:bottom w:val="none" w:sz="0" w:space="0" w:color="auto"/>
        <w:right w:val="none" w:sz="0" w:space="0" w:color="auto"/>
      </w:divBdr>
    </w:div>
    <w:div w:id="1072387206">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46387582">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195581281">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258640072">
      <w:bodyDiv w:val="1"/>
      <w:marLeft w:val="0"/>
      <w:marRight w:val="0"/>
      <w:marTop w:val="0"/>
      <w:marBottom w:val="0"/>
      <w:divBdr>
        <w:top w:val="none" w:sz="0" w:space="0" w:color="auto"/>
        <w:left w:val="none" w:sz="0" w:space="0" w:color="auto"/>
        <w:bottom w:val="none" w:sz="0" w:space="0" w:color="auto"/>
        <w:right w:val="none" w:sz="0" w:space="0" w:color="auto"/>
      </w:divBdr>
    </w:div>
    <w:div w:id="1306398340">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21695240">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662889">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55884200">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07416194">
      <w:bodyDiv w:val="1"/>
      <w:marLeft w:val="0"/>
      <w:marRight w:val="0"/>
      <w:marTop w:val="0"/>
      <w:marBottom w:val="0"/>
      <w:divBdr>
        <w:top w:val="none" w:sz="0" w:space="0" w:color="auto"/>
        <w:left w:val="none" w:sz="0" w:space="0" w:color="auto"/>
        <w:bottom w:val="none" w:sz="0" w:space="0" w:color="auto"/>
        <w:right w:val="none" w:sz="0" w:space="0" w:color="auto"/>
      </w:divBdr>
    </w:div>
    <w:div w:id="1429034561">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218593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56171261">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519612025">
      <w:bodyDiv w:val="1"/>
      <w:marLeft w:val="0"/>
      <w:marRight w:val="0"/>
      <w:marTop w:val="0"/>
      <w:marBottom w:val="0"/>
      <w:divBdr>
        <w:top w:val="none" w:sz="0" w:space="0" w:color="auto"/>
        <w:left w:val="none" w:sz="0" w:space="0" w:color="auto"/>
        <w:bottom w:val="none" w:sz="0" w:space="0" w:color="auto"/>
        <w:right w:val="none" w:sz="0" w:space="0" w:color="auto"/>
      </w:divBdr>
    </w:div>
    <w:div w:id="1558281663">
      <w:bodyDiv w:val="1"/>
      <w:marLeft w:val="0"/>
      <w:marRight w:val="0"/>
      <w:marTop w:val="0"/>
      <w:marBottom w:val="0"/>
      <w:divBdr>
        <w:top w:val="none" w:sz="0" w:space="0" w:color="auto"/>
        <w:left w:val="none" w:sz="0" w:space="0" w:color="auto"/>
        <w:bottom w:val="none" w:sz="0" w:space="0" w:color="auto"/>
        <w:right w:val="none" w:sz="0" w:space="0" w:color="auto"/>
      </w:divBdr>
    </w:div>
    <w:div w:id="1581519585">
      <w:bodyDiv w:val="1"/>
      <w:marLeft w:val="0"/>
      <w:marRight w:val="0"/>
      <w:marTop w:val="0"/>
      <w:marBottom w:val="0"/>
      <w:divBdr>
        <w:top w:val="none" w:sz="0" w:space="0" w:color="auto"/>
        <w:left w:val="none" w:sz="0" w:space="0" w:color="auto"/>
        <w:bottom w:val="none" w:sz="0" w:space="0" w:color="auto"/>
        <w:right w:val="none" w:sz="0" w:space="0" w:color="auto"/>
      </w:divBdr>
    </w:div>
    <w:div w:id="160622838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5478595">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057338">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643654269">
      <w:bodyDiv w:val="1"/>
      <w:marLeft w:val="0"/>
      <w:marRight w:val="0"/>
      <w:marTop w:val="0"/>
      <w:marBottom w:val="0"/>
      <w:divBdr>
        <w:top w:val="none" w:sz="0" w:space="0" w:color="auto"/>
        <w:left w:val="none" w:sz="0" w:space="0" w:color="auto"/>
        <w:bottom w:val="none" w:sz="0" w:space="0" w:color="auto"/>
        <w:right w:val="none" w:sz="0" w:space="0" w:color="auto"/>
      </w:divBdr>
    </w:div>
    <w:div w:id="1661344956">
      <w:bodyDiv w:val="1"/>
      <w:marLeft w:val="0"/>
      <w:marRight w:val="0"/>
      <w:marTop w:val="0"/>
      <w:marBottom w:val="0"/>
      <w:divBdr>
        <w:top w:val="none" w:sz="0" w:space="0" w:color="auto"/>
        <w:left w:val="none" w:sz="0" w:space="0" w:color="auto"/>
        <w:bottom w:val="none" w:sz="0" w:space="0" w:color="auto"/>
        <w:right w:val="none" w:sz="0" w:space="0" w:color="auto"/>
      </w:divBdr>
    </w:div>
    <w:div w:id="1743290325">
      <w:bodyDiv w:val="1"/>
      <w:marLeft w:val="0"/>
      <w:marRight w:val="0"/>
      <w:marTop w:val="0"/>
      <w:marBottom w:val="0"/>
      <w:divBdr>
        <w:top w:val="none" w:sz="0" w:space="0" w:color="auto"/>
        <w:left w:val="none" w:sz="0" w:space="0" w:color="auto"/>
        <w:bottom w:val="none" w:sz="0" w:space="0" w:color="auto"/>
        <w:right w:val="none" w:sz="0" w:space="0" w:color="auto"/>
      </w:divBdr>
    </w:div>
    <w:div w:id="1747919325">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380899">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08666901">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19221751">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74408542">
      <w:bodyDiv w:val="1"/>
      <w:marLeft w:val="0"/>
      <w:marRight w:val="0"/>
      <w:marTop w:val="0"/>
      <w:marBottom w:val="0"/>
      <w:divBdr>
        <w:top w:val="none" w:sz="0" w:space="0" w:color="auto"/>
        <w:left w:val="none" w:sz="0" w:space="0" w:color="auto"/>
        <w:bottom w:val="none" w:sz="0" w:space="0" w:color="auto"/>
        <w:right w:val="none" w:sz="0" w:space="0" w:color="auto"/>
      </w:divBdr>
    </w:div>
    <w:div w:id="1987591123">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1997370458">
      <w:bodyDiv w:val="1"/>
      <w:marLeft w:val="0"/>
      <w:marRight w:val="0"/>
      <w:marTop w:val="0"/>
      <w:marBottom w:val="0"/>
      <w:divBdr>
        <w:top w:val="none" w:sz="0" w:space="0" w:color="auto"/>
        <w:left w:val="none" w:sz="0" w:space="0" w:color="auto"/>
        <w:bottom w:val="none" w:sz="0" w:space="0" w:color="auto"/>
        <w:right w:val="none" w:sz="0" w:space="0" w:color="auto"/>
      </w:divBdr>
    </w:div>
    <w:div w:id="2001810303">
      <w:bodyDiv w:val="1"/>
      <w:marLeft w:val="0"/>
      <w:marRight w:val="0"/>
      <w:marTop w:val="0"/>
      <w:marBottom w:val="0"/>
      <w:divBdr>
        <w:top w:val="none" w:sz="0" w:space="0" w:color="auto"/>
        <w:left w:val="none" w:sz="0" w:space="0" w:color="auto"/>
        <w:bottom w:val="none" w:sz="0" w:space="0" w:color="auto"/>
        <w:right w:val="none" w:sz="0" w:space="0" w:color="auto"/>
      </w:divBdr>
    </w:div>
    <w:div w:id="2008560009">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2145300">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 w:id="2078818636">
      <w:bodyDiv w:val="1"/>
      <w:marLeft w:val="0"/>
      <w:marRight w:val="0"/>
      <w:marTop w:val="0"/>
      <w:marBottom w:val="0"/>
      <w:divBdr>
        <w:top w:val="none" w:sz="0" w:space="0" w:color="auto"/>
        <w:left w:val="none" w:sz="0" w:space="0" w:color="auto"/>
        <w:bottom w:val="none" w:sz="0" w:space="0" w:color="auto"/>
        <w:right w:val="none" w:sz="0" w:space="0" w:color="auto"/>
      </w:divBdr>
    </w:div>
    <w:div w:id="2129548397">
      <w:bodyDiv w:val="1"/>
      <w:marLeft w:val="0"/>
      <w:marRight w:val="0"/>
      <w:marTop w:val="0"/>
      <w:marBottom w:val="0"/>
      <w:divBdr>
        <w:top w:val="none" w:sz="0" w:space="0" w:color="auto"/>
        <w:left w:val="none" w:sz="0" w:space="0" w:color="auto"/>
        <w:bottom w:val="none" w:sz="0" w:space="0" w:color="auto"/>
        <w:right w:val="none" w:sz="0" w:space="0" w:color="auto"/>
      </w:divBdr>
    </w:div>
    <w:div w:id="213347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7C72C3-9191-4090-AAC8-4A2FF3CD9579}"/>
</file>

<file path=customXml/itemProps2.xml><?xml version="1.0" encoding="utf-8"?>
<ds:datastoreItem xmlns:ds="http://schemas.openxmlformats.org/officeDocument/2006/customXml" ds:itemID="{D4C36DB4-D08A-4DF9-8C39-FD483F35E03A}"/>
</file>

<file path=customXml/itemProps3.xml><?xml version="1.0" encoding="utf-8"?>
<ds:datastoreItem xmlns:ds="http://schemas.openxmlformats.org/officeDocument/2006/customXml" ds:itemID="{75EBC28F-31D1-47BD-9222-963CB3DF3817}"/>
</file>

<file path=docProps/app.xml><?xml version="1.0" encoding="utf-8"?>
<Properties xmlns="http://schemas.openxmlformats.org/officeDocument/2006/extended-properties" xmlns:vt="http://schemas.openxmlformats.org/officeDocument/2006/docPropsVTypes">
  <Template>Normal</Template>
  <TotalTime>329</TotalTime>
  <Pages>6</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86</cp:revision>
  <dcterms:created xsi:type="dcterms:W3CDTF">2024-01-08T06:38:00Z</dcterms:created>
  <dcterms:modified xsi:type="dcterms:W3CDTF">2024-11-25T12:59:00Z</dcterms:modified>
</cp:coreProperties>
</file>