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59" w:type="dxa"/>
        <w:tblLayout w:type="fixed"/>
        <w:tblLook w:val="0000" w:firstRow="0" w:lastRow="0" w:firstColumn="0" w:lastColumn="0" w:noHBand="0" w:noVBand="0"/>
      </w:tblPr>
      <w:tblGrid>
        <w:gridCol w:w="3828"/>
        <w:gridCol w:w="6237"/>
      </w:tblGrid>
      <w:tr>
        <w:trPr>
          <w:trHeight w:val="1135"/>
        </w:trPr>
        <w:tc>
          <w:tcPr>
            <w:tcW w:w="3828" w:type="dxa"/>
          </w:tcPr>
          <w:p>
            <w:pPr>
              <w:spacing w:before="20"/>
              <w:jc w:val="center"/>
              <w:rPr>
                <w:rFonts w:ascii="Times New Roman Bold" w:hAnsi="Times New Roman Bold"/>
                <w:b/>
              </w:rPr>
            </w:pPr>
            <w:r>
              <w:rPr>
                <w:rFonts w:ascii="Times New Roman Bold" w:hAnsi="Times New Roman Bold"/>
                <w:b/>
              </w:rPr>
              <w:t>HỘI ĐỒNG NHÂN DÂN</w:t>
            </w:r>
          </w:p>
          <w:p>
            <w:pPr>
              <w:spacing w:before="20"/>
              <w:jc w:val="center"/>
              <w:rPr>
                <w:b/>
                <w:spacing w:val="-4"/>
                <w:sz w:val="26"/>
                <w:lang w:val="nl-NL"/>
              </w:rPr>
            </w:pPr>
            <w:r>
              <w:rPr>
                <w:rFonts w:ascii="Times New Roman Bold" w:hAnsi="Times New Roman Bold"/>
                <w:b/>
                <w:lang w:val="nl-NL"/>
              </w:rPr>
              <w:t>TỈNH QUẢNG NINH</w:t>
            </w:r>
            <w:r>
              <w:rPr>
                <w:b/>
                <w:spacing w:val="-4"/>
                <w:sz w:val="26"/>
                <w:lang w:val="nl-NL"/>
              </w:rPr>
              <w:t xml:space="preserve"> </w:t>
            </w:r>
          </w:p>
          <w:p>
            <w:pPr>
              <w:spacing w:line="120" w:lineRule="auto"/>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1312" behindDoc="0" locked="0" layoutInCell="1" allowOverlap="1">
                      <wp:simplePos x="0" y="0"/>
                      <wp:positionH relativeFrom="column">
                        <wp:posOffset>800735</wp:posOffset>
                      </wp:positionH>
                      <wp:positionV relativeFrom="paragraph">
                        <wp:posOffset>66675</wp:posOffset>
                      </wp:positionV>
                      <wp:extent cx="701040" cy="0"/>
                      <wp:effectExtent l="8255" t="5715" r="5080"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040" cy="0"/>
                              </a:xfrm>
                              <a:prstGeom prst="straightConnector1">
                                <a:avLst/>
                              </a:prstGeom>
                              <a:noFill/>
                              <a:ln w="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A5D610B" id="_x0000_t32" coordsize="21600,21600" o:spt="32" o:oned="t" path="m,l21600,21600e" filled="f">
                      <v:path arrowok="t" fillok="f" o:connecttype="none"/>
                      <o:lock v:ext="edit" shapetype="t"/>
                    </v:shapetype>
                    <v:shape id="Straight Arrow Connector 4" o:spid="_x0000_s1026" type="#_x0000_t32" style="position:absolute;margin-left:63.05pt;margin-top:5.25pt;width:5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" strokeweight="0"/>
                  </w:pict>
                </mc:Fallback>
              </mc:AlternateContent>
            </w:r>
          </w:p>
          <w:p>
            <w:pPr>
              <w:spacing w:line="120" w:lineRule="auto"/>
              <w:jc w:val="center"/>
              <w:rPr>
                <w:sz w:val="26"/>
                <w:szCs w:val="26"/>
                <w:u w:val="single"/>
              </w:rPr>
            </w:pPr>
          </w:p>
          <w:p>
            <w:pPr>
              <w:jc w:val="center"/>
            </w:pPr>
            <w:r>
              <w:t xml:space="preserve">Số: </w:t>
            </w:r>
            <w:r>
              <w:rPr>
                <w:lang w:val="vi-VN"/>
              </w:rPr>
              <w:t>21</w:t>
            </w:r>
            <w:r>
              <w:t>/2026/NQ-HĐND</w:t>
            </w:r>
          </w:p>
        </w:tc>
        <w:tc>
          <w:tcPr>
            <w:tcW w:w="6237" w:type="dxa"/>
          </w:tcPr>
          <w:p>
            <w:pPr>
              <w:pStyle w:val="Heading1"/>
              <w:spacing w:before="20"/>
              <w:jc w:val="center"/>
              <w:rPr>
                <w:rFonts w:ascii="Times New Roman Bold" w:hAnsi="Times New Roman Bold"/>
                <w:sz w:val="28"/>
                <w:szCs w:val="28"/>
                <w:lang w:val="en-US"/>
              </w:rPr>
            </w:pPr>
            <w:r>
              <w:rPr>
                <w:rFonts w:ascii="Times New Roman Bold" w:hAnsi="Times New Roman Bold"/>
                <w:sz w:val="28"/>
                <w:szCs w:val="28"/>
                <w:lang w:val="en-US"/>
              </w:rPr>
              <w:t>CỘNG HÒA XÃ HỘI CHỦ NGHĨA VIỆT NAM</w:t>
            </w:r>
          </w:p>
          <w:p>
            <w:pPr>
              <w:spacing w:before="20"/>
              <w:jc w:val="center"/>
              <w:rPr>
                <w:b/>
                <w:sz w:val="26"/>
                <w:szCs w:val="26"/>
              </w:rPr>
            </w:pPr>
            <w:r>
              <w:rPr>
                <w:rFonts w:ascii="Times New Roman Bold" w:hAnsi="Times New Roman Bold"/>
                <w:b/>
              </w:rPr>
              <w:t>Độc lập - Tự do - Hạnh phúc</w:t>
            </w:r>
          </w:p>
          <w:p>
            <w:pPr>
              <w:spacing w:line="120" w:lineRule="auto"/>
              <w:jc w:val="center"/>
              <w:rPr>
                <w:sz w:val="26"/>
                <w:szCs w:val="26"/>
                <w:vertAlign w:val="superscript"/>
              </w:rPr>
            </w:pPr>
            <w:r>
              <w:rPr>
                <w:noProof/>
                <w:sz w:val="26"/>
                <w:szCs w:val="26"/>
                <w:u w:val="single"/>
                <w:vertAlign w:val="superscript"/>
              </w:rPr>
              <mc:AlternateContent>
                <mc:Choice Requires="wps">
                  <w:drawing>
                    <wp:anchor distT="0" distB="0" distL="114300" distR="114300" simplePos="0" relativeHeight="251662336" behindDoc="0" locked="0" layoutInCell="1" allowOverlap="1">
                      <wp:simplePos x="0" y="0"/>
                      <wp:positionH relativeFrom="column">
                        <wp:posOffset>834390</wp:posOffset>
                      </wp:positionH>
                      <wp:positionV relativeFrom="paragraph">
                        <wp:posOffset>59055</wp:posOffset>
                      </wp:positionV>
                      <wp:extent cx="2164080" cy="0"/>
                      <wp:effectExtent l="5715" t="7620" r="11430"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straightConnector1">
                                <a:avLst/>
                              </a:prstGeom>
                              <a:noFill/>
                              <a:ln w="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0EEAA5" id="Straight Arrow Connector 3" o:spid="_x0000_s1026" type="#_x0000_t32" style="position:absolute;margin-left:65.7pt;margin-top:4.65pt;width:170.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" strokeweight="0"/>
                  </w:pict>
                </mc:Fallback>
              </mc:AlternateContent>
            </w:r>
          </w:p>
          <w:p>
            <w:pPr>
              <w:spacing w:line="120" w:lineRule="auto"/>
              <w:jc w:val="center"/>
              <w:rPr>
                <w:sz w:val="26"/>
                <w:szCs w:val="26"/>
                <w:u w:val="single"/>
                <w:vertAlign w:val="superscript"/>
              </w:rPr>
            </w:pPr>
          </w:p>
          <w:p>
            <w:pPr>
              <w:rPr>
                <w:b/>
              </w:rPr>
            </w:pPr>
            <w:r>
              <w:rPr>
                <w:i/>
                <w:sz w:val="26"/>
                <w:szCs w:val="26"/>
                <w:lang w:val="vi-VN"/>
              </w:rPr>
              <w:t xml:space="preserve">         </w:t>
            </w:r>
            <w:r>
              <w:rPr>
                <w:i/>
                <w:sz w:val="26"/>
                <w:szCs w:val="26"/>
              </w:rPr>
              <w:t xml:space="preserve">  </w:t>
            </w:r>
            <w:r>
              <w:rPr>
                <w:i/>
              </w:rPr>
              <w:t xml:space="preserve">Quảng Ninh, ngày </w:t>
            </w:r>
            <w:r>
              <w:rPr>
                <w:i/>
                <w:lang w:val="vi-VN"/>
              </w:rPr>
              <w:t xml:space="preserve">09 </w:t>
            </w:r>
            <w:r>
              <w:rPr>
                <w:i/>
              </w:rPr>
              <w:t>tháng 7 năm 2026</w:t>
            </w:r>
          </w:p>
        </w:tc>
      </w:tr>
    </w:tbl>
    <w:p>
      <w:pPr>
        <w:rPr>
          <w:b/>
          <w:sz w:val="8"/>
        </w:rPr>
      </w:pPr>
    </w:p>
    <w:p>
      <w:pPr>
        <w:spacing w:before="20"/>
        <w:rPr>
          <w:b/>
          <w:sz w:val="4"/>
        </w:rPr>
      </w:pPr>
    </w:p>
    <w:p>
      <w:pPr>
        <w:spacing w:before="20"/>
        <w:jc w:val="center"/>
        <w:rPr>
          <w:b/>
          <w:sz w:val="2"/>
        </w:rPr>
      </w:pPr>
    </w:p>
    <w:p>
      <w:pPr>
        <w:tabs>
          <w:tab w:val="left" w:pos="426"/>
        </w:tabs>
        <w:jc w:val="center"/>
        <w:rPr>
          <w:b/>
        </w:rPr>
      </w:pPr>
    </w:p>
    <w:p>
      <w:pPr>
        <w:tabs>
          <w:tab w:val="left" w:pos="426"/>
        </w:tabs>
        <w:jc w:val="center"/>
        <w:rPr>
          <w:b/>
        </w:rPr>
      </w:pPr>
      <w:r>
        <w:rPr>
          <w:b/>
        </w:rPr>
        <w:t>NGHỊ QUYẾT</w:t>
      </w:r>
    </w:p>
    <w:p>
      <w:pPr>
        <w:tabs>
          <w:tab w:val="left" w:pos="426"/>
        </w:tabs>
        <w:jc w:val="center"/>
        <w:rPr>
          <w:b/>
        </w:rPr>
      </w:pPr>
      <w:r>
        <w:rPr>
          <w:b/>
        </w:rPr>
        <w:t xml:space="preserve">Quy định chính sách hỗ trợ </w:t>
      </w:r>
      <w:r>
        <w:rPr>
          <w:b/>
          <w:lang w:val="vi-VN"/>
        </w:rPr>
        <w:t xml:space="preserve">công dân </w:t>
      </w:r>
      <w:r>
        <w:rPr>
          <w:b/>
        </w:rPr>
        <w:t xml:space="preserve">hoàn thành </w:t>
      </w:r>
    </w:p>
    <w:p>
      <w:pPr>
        <w:tabs>
          <w:tab w:val="left" w:pos="426"/>
        </w:tabs>
        <w:jc w:val="center"/>
        <w:rPr>
          <w:b/>
        </w:rPr>
      </w:pPr>
      <w:r>
        <w:rPr>
          <w:b/>
        </w:rPr>
        <w:t xml:space="preserve">nghĩa vụ quân sự, nghĩa vụ tham gia Công an nhân dân </w:t>
      </w:r>
    </w:p>
    <w:p>
      <w:pPr>
        <w:tabs>
          <w:tab w:val="left" w:pos="426"/>
        </w:tabs>
        <w:jc w:val="center"/>
        <w:rPr>
          <w:b/>
        </w:rPr>
      </w:pPr>
      <w:r>
        <w:rPr>
          <w:b/>
        </w:rPr>
        <w:t>hằng năm trên địa bàn tỉnh Quảng Ninh</w:t>
      </w:r>
    </w:p>
    <w:p>
      <w:pPr>
        <w:tabs>
          <w:tab w:val="left" w:pos="426"/>
        </w:tabs>
        <w:spacing w:line="288" w:lineRule="auto"/>
        <w:jc w:val="both"/>
        <w:rPr>
          <w:sz w:val="4"/>
        </w:rPr>
      </w:pPr>
    </w:p>
    <w:p>
      <w:pPr>
        <w:tabs>
          <w:tab w:val="left" w:pos="426"/>
        </w:tabs>
        <w:spacing w:line="288" w:lineRule="auto"/>
        <w:jc w:val="both"/>
        <w:rPr>
          <w:sz w:val="22"/>
        </w:rPr>
      </w:pPr>
      <w:r>
        <w:rPr>
          <w:b/>
          <w:noProof/>
          <w:sz w:val="26"/>
        </w:rPr>
        <mc:AlternateContent>
          <mc:Choice Requires="wps">
            <w:drawing>
              <wp:anchor distT="0" distB="0" distL="114300" distR="114300" simplePos="0" relativeHeight="251660288" behindDoc="0" locked="0" layoutInCell="1" allowOverlap="1">
                <wp:simplePos x="0" y="0"/>
                <wp:positionH relativeFrom="column">
                  <wp:posOffset>2309495</wp:posOffset>
                </wp:positionH>
                <wp:positionV relativeFrom="paragraph">
                  <wp:posOffset>48260</wp:posOffset>
                </wp:positionV>
                <wp:extent cx="1158875" cy="0"/>
                <wp:effectExtent l="8255" t="5715" r="13970" b="133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0"/>
                        </a:xfrm>
                        <a:prstGeom prst="straightConnector1">
                          <a:avLst/>
                        </a:prstGeom>
                        <a:noFill/>
                        <a:ln w="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28A68B" id="Straight Arrow Connector 1" o:spid="_x0000_s1026" type="#_x0000_t32" style="position:absolute;margin-left:181.85pt;margin-top:3.8pt;width:91.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" strokeweight="0"/>
            </w:pict>
          </mc:Fallback>
        </mc:AlternateContent>
      </w:r>
    </w:p>
    <w:p>
      <w:pPr>
        <w:tabs>
          <w:tab w:val="left" w:pos="426"/>
        </w:tabs>
        <w:spacing w:line="276" w:lineRule="auto"/>
        <w:ind w:firstLine="709"/>
        <w:jc w:val="both"/>
        <w:rPr>
          <w:i/>
          <w:sz w:val="20"/>
          <w:szCs w:val="20"/>
        </w:rPr>
      </w:pPr>
    </w:p>
    <w:p>
      <w:pPr>
        <w:tabs>
          <w:tab w:val="left" w:pos="426"/>
        </w:tabs>
        <w:ind w:firstLine="709"/>
        <w:jc w:val="both"/>
        <w:rPr>
          <w:i/>
        </w:rPr>
      </w:pPr>
      <w:r>
        <w:rPr>
          <w:i/>
        </w:rPr>
        <w:t xml:space="preserve">Căn cứ Luật Tổ chức chính quyền địa phương số 72/2025/QH15; </w:t>
      </w:r>
    </w:p>
    <w:p>
      <w:pPr>
        <w:tabs>
          <w:tab w:val="left" w:pos="426"/>
        </w:tabs>
        <w:spacing w:before="100"/>
        <w:ind w:firstLine="709"/>
        <w:jc w:val="both"/>
        <w:rPr>
          <w:i/>
        </w:rPr>
      </w:pPr>
      <w:r>
        <w:rPr>
          <w:i/>
        </w:rPr>
        <w:t xml:space="preserve">Căn cứ Luật Nghĩa vụ quân sự số 78/2015/QH13 được sửa đổi, bổ sung một số điều của 11 Luật về quân sự, quốc phòng số 98/2025/QH15; </w:t>
      </w:r>
    </w:p>
    <w:p>
      <w:pPr>
        <w:tabs>
          <w:tab w:val="left" w:pos="426"/>
        </w:tabs>
        <w:spacing w:before="100"/>
        <w:ind w:firstLine="709"/>
        <w:jc w:val="both"/>
        <w:rPr>
          <w:i/>
        </w:rPr>
      </w:pPr>
      <w:r>
        <w:rPr>
          <w:i/>
        </w:rPr>
        <w:t xml:space="preserve">Căn cứ Luật Công an nhân dân số 37/2018/QH14 được sửa đổi, bổ sung một số điều của Luật Công an nhân dân số </w:t>
      </w:r>
      <w:r>
        <w:rPr>
          <w:i/>
          <w:shd w:val="clear" w:color="auto" w:fill="FFFFFF"/>
        </w:rPr>
        <w:t>21/2023/QH15</w:t>
      </w:r>
      <w:r>
        <w:rPr>
          <w:i/>
        </w:rPr>
        <w:t>;</w:t>
      </w:r>
    </w:p>
    <w:p>
      <w:pPr>
        <w:tabs>
          <w:tab w:val="left" w:pos="426"/>
        </w:tabs>
        <w:spacing w:before="100"/>
        <w:ind w:firstLine="709"/>
        <w:jc w:val="both"/>
        <w:rPr>
          <w:i/>
        </w:rPr>
      </w:pPr>
      <w:r>
        <w:rPr>
          <w:rFonts w:ascii="Times New Roman Italic" w:hAnsi="Times New Roman Italic"/>
          <w:i/>
          <w:spacing w:val="-2"/>
        </w:rPr>
        <w:t xml:space="preserve">Căn cứ Luật Ban hành văn bản quy phạm pháp luật số 64/2025/QH15 ngày 19/2/2025 được sửa đổi, bổ sung bởi Luật số 87/2025/QH15; </w:t>
      </w:r>
    </w:p>
    <w:p>
      <w:pPr>
        <w:tabs>
          <w:tab w:val="left" w:pos="426"/>
        </w:tabs>
        <w:spacing w:before="100"/>
        <w:ind w:firstLine="709"/>
        <w:jc w:val="both"/>
        <w:rPr>
          <w:i/>
        </w:rPr>
      </w:pPr>
      <w:r>
        <w:rPr>
          <w:i/>
        </w:rPr>
        <w:t xml:space="preserve">Căn cứ </w:t>
      </w:r>
      <w:r>
        <w:rPr>
          <w:i/>
          <w:lang w:val="vi-VN"/>
        </w:rPr>
        <w:t xml:space="preserve">Luật </w:t>
      </w:r>
      <w:r>
        <w:rPr>
          <w:i/>
          <w:lang w:val="en-GB"/>
        </w:rPr>
        <w:t>N</w:t>
      </w:r>
      <w:r>
        <w:rPr>
          <w:i/>
          <w:lang w:val="vi-VN"/>
        </w:rPr>
        <w:t>gân sách nhà nước số 89/2025/QH15;</w:t>
      </w:r>
      <w:r>
        <w:rPr>
          <w:i/>
        </w:rPr>
        <w:t xml:space="preserve"> </w:t>
      </w:r>
    </w:p>
    <w:p>
      <w:pPr>
        <w:tabs>
          <w:tab w:val="left" w:pos="426"/>
        </w:tabs>
        <w:spacing w:before="100"/>
        <w:ind w:firstLine="709"/>
        <w:jc w:val="both"/>
        <w:rPr>
          <w:i/>
        </w:rPr>
      </w:pPr>
      <w:r>
        <w:rPr>
          <w:i/>
        </w:rPr>
        <w:t>Xét Tờ trình số 2609/TTr-UBND ngày 21 tháng 6 năm 2026</w:t>
      </w:r>
      <w:r>
        <w:rPr>
          <w:i/>
          <w:lang w:val="vi-VN"/>
        </w:rPr>
        <w:t xml:space="preserve"> và Báo cáo số 294/BC-UBND ngày 04 tháng 7 năm 2026</w:t>
      </w:r>
      <w:r>
        <w:rPr>
          <w:i/>
        </w:rPr>
        <w:t xml:space="preserve"> của Ủy ban nhân dân tỉnh; Báo cáo thẩm tra </w:t>
      </w:r>
      <w:r>
        <w:rPr>
          <w:i/>
          <w:lang w:val="vi-VN"/>
        </w:rPr>
        <w:t>số 169</w:t>
      </w:r>
      <w:r>
        <w:rPr>
          <w:i/>
        </w:rPr>
        <w:t>/BC-BPC ngày 0</w:t>
      </w:r>
      <w:r>
        <w:rPr>
          <w:i/>
          <w:lang w:val="vi-VN"/>
        </w:rPr>
        <w:t>4</w:t>
      </w:r>
      <w:r>
        <w:rPr>
          <w:i/>
        </w:rPr>
        <w:t xml:space="preserve"> tháng </w:t>
      </w:r>
      <w:r>
        <w:rPr>
          <w:i/>
          <w:lang w:val="vi-VN"/>
        </w:rPr>
        <w:t xml:space="preserve">7 </w:t>
      </w:r>
      <w:r>
        <w:rPr>
          <w:i/>
        </w:rPr>
        <w:t>năm 2026 của Ban Pháp chế Hội đồng nhân dân tỉnh; ý kiến thảo luận của đại biểu Hội đồng nhân dân tỉnh tại kỳ họp.</w:t>
      </w:r>
    </w:p>
    <w:p>
      <w:pPr>
        <w:tabs>
          <w:tab w:val="left" w:pos="426"/>
        </w:tabs>
        <w:spacing w:before="100"/>
        <w:ind w:firstLine="709"/>
        <w:jc w:val="both"/>
        <w:rPr>
          <w:i/>
          <w:spacing w:val="-2"/>
        </w:rPr>
      </w:pPr>
      <w:r>
        <w:rPr>
          <w:i/>
          <w:spacing w:val="-2"/>
        </w:rPr>
        <w:t xml:space="preserve">Hội đồng nhân dân tỉnh ban hành Nghị quyết quy định chính sách hỗ trợ </w:t>
      </w:r>
      <w:r>
        <w:rPr>
          <w:i/>
          <w:spacing w:val="-2"/>
          <w:lang w:val="vi-VN"/>
        </w:rPr>
        <w:t xml:space="preserve">công dân </w:t>
      </w:r>
      <w:r>
        <w:rPr>
          <w:i/>
          <w:spacing w:val="-2"/>
        </w:rPr>
        <w:t>hoàn thành nghĩa vụ quân sự, nghĩa vụ tham gia Công an nhân dân hằng năm trên địa bàn tỉnh Quảng Ninh.</w:t>
      </w:r>
    </w:p>
    <w:p>
      <w:pPr>
        <w:tabs>
          <w:tab w:val="left" w:pos="426"/>
        </w:tabs>
        <w:spacing w:before="100"/>
        <w:ind w:firstLine="709"/>
        <w:jc w:val="both"/>
        <w:rPr>
          <w:b/>
          <w:spacing w:val="-4"/>
        </w:rPr>
      </w:pPr>
    </w:p>
    <w:p>
      <w:pPr>
        <w:tabs>
          <w:tab w:val="left" w:pos="426"/>
        </w:tabs>
        <w:spacing w:before="100"/>
        <w:ind w:firstLine="709"/>
        <w:jc w:val="both"/>
        <w:rPr>
          <w:i/>
        </w:rPr>
      </w:pPr>
      <w:r>
        <w:rPr>
          <w:b/>
          <w:spacing w:val="-4"/>
        </w:rPr>
        <w:t>Điều 1. Phạm vi điều chỉnh và đối tượng áp dụng</w:t>
      </w:r>
    </w:p>
    <w:p>
      <w:pPr>
        <w:tabs>
          <w:tab w:val="left" w:pos="426"/>
        </w:tabs>
        <w:spacing w:before="120"/>
        <w:ind w:firstLine="709"/>
        <w:jc w:val="both"/>
        <w:rPr>
          <w:b/>
          <w:spacing w:val="-4"/>
        </w:rPr>
      </w:pPr>
      <w:r>
        <w:t xml:space="preserve">1. Phạm vi điều chỉnh: Nghị quyết này quy định về đối tượng, nguyên tắc, chế độ hỗ trợ </w:t>
      </w:r>
      <w:r>
        <w:rPr>
          <w:spacing w:val="-2"/>
          <w:lang w:val="vi-VN"/>
        </w:rPr>
        <w:t>công dân</w:t>
      </w:r>
      <w:r>
        <w:t xml:space="preserve"> hoàn thành nghĩa vụ quân sự, nghĩa vụ tham gia Công an nhân dân hằng năm trên địa bàn tỉnh Quảng Ninh.</w:t>
      </w:r>
    </w:p>
    <w:p>
      <w:pPr>
        <w:tabs>
          <w:tab w:val="left" w:pos="426"/>
        </w:tabs>
        <w:spacing w:before="120"/>
        <w:ind w:firstLine="709"/>
        <w:jc w:val="both"/>
        <w:rPr>
          <w:bCs/>
        </w:rPr>
      </w:pPr>
      <w:r>
        <w:t xml:space="preserve">2. Đối tượng áp dụng: </w:t>
      </w:r>
      <w:r>
        <w:rPr>
          <w:spacing w:val="-2"/>
          <w:lang w:val="vi-VN"/>
        </w:rPr>
        <w:t>Công dân</w:t>
      </w:r>
      <w:r>
        <w:t xml:space="preserve"> </w:t>
      </w:r>
      <w:r>
        <w:rPr>
          <w:bCs/>
        </w:rPr>
        <w:t xml:space="preserve">hoàn thành nghĩa vụ quân sự, nghĩa vụ tham gia Công an nhân dân hằng </w:t>
      </w:r>
      <w:r>
        <w:rPr>
          <w:bCs/>
          <w:lang w:val="vi-VN"/>
        </w:rPr>
        <w:t>năm, có đăng ký thường trú</w:t>
      </w:r>
      <w:r>
        <w:rPr>
          <w:bCs/>
        </w:rPr>
        <w:t xml:space="preserve"> trên địa bàn tỉnh Quảng Ninh trước khi nhập ngũ, được tuyển chọn, gọi nhập ngũ hoặc thực hiện nghĩa vụ tham gia Công an nhân dân theo quyết định giao chỉ tiêu của cấp có thẩm quyền </w:t>
      </w:r>
      <w:r>
        <w:rPr>
          <w:bCs/>
          <w:lang w:val="vi-VN"/>
        </w:rPr>
        <w:t xml:space="preserve">thuộc tỉnh Quảng Ninh </w:t>
      </w:r>
      <w:r>
        <w:rPr>
          <w:bCs/>
        </w:rPr>
        <w:t xml:space="preserve">và trở về địa phương sau khi hoàn thành nghĩa </w:t>
      </w:r>
      <w:r>
        <w:rPr>
          <w:bCs/>
          <w:lang w:val="vi-VN"/>
        </w:rPr>
        <w:t>vụ</w:t>
      </w:r>
      <w:r>
        <w:rPr>
          <w:bCs/>
        </w:rPr>
        <w:t>.</w:t>
      </w:r>
    </w:p>
    <w:p>
      <w:pPr>
        <w:tabs>
          <w:tab w:val="left" w:pos="426"/>
        </w:tabs>
        <w:spacing w:before="120"/>
        <w:ind w:firstLine="709"/>
        <w:jc w:val="both"/>
        <w:rPr>
          <w:b/>
          <w:spacing w:val="-4"/>
        </w:rPr>
      </w:pPr>
      <w:r>
        <w:rPr>
          <w:b/>
          <w:spacing w:val="-4"/>
        </w:rPr>
        <w:t>Điều 2. Nguyên tắc hỗ trợ</w:t>
      </w:r>
    </w:p>
    <w:p>
      <w:pPr>
        <w:spacing w:before="120"/>
        <w:ind w:firstLine="709"/>
        <w:jc w:val="both"/>
        <w:rPr>
          <w:bCs/>
        </w:rPr>
      </w:pPr>
      <w:r>
        <w:rPr>
          <w:bCs/>
        </w:rPr>
        <w:t>1. Việc hỗ trợ phải bảo đảm đúng đối tượng, đúng chế độ, công khai, minh bạch, kịp thời, không trùng lặp chính sách và phù hợp với khả năng cân đối ngân sách của tỉnh.</w:t>
      </w:r>
    </w:p>
    <w:p>
      <w:pPr>
        <w:spacing w:before="120"/>
        <w:ind w:firstLine="709"/>
        <w:jc w:val="both"/>
        <w:rPr>
          <w:bCs/>
          <w:spacing w:val="-4"/>
        </w:rPr>
      </w:pPr>
      <w:r>
        <w:rPr>
          <w:bCs/>
          <w:spacing w:val="-4"/>
        </w:rPr>
        <w:lastRenderedPageBreak/>
        <w:t>2. Trường hợp một người thuộc nhiều nhóm đối tượng được hưởng các mức hỗ trợ khác nhau theo Nghị quyết này thì chỉ được hưởng một mức hỗ trợ cao nhất.</w:t>
      </w:r>
    </w:p>
    <w:p>
      <w:pPr>
        <w:spacing w:before="120"/>
        <w:ind w:firstLine="709"/>
        <w:jc w:val="both"/>
        <w:rPr>
          <w:bCs/>
          <w:spacing w:val="-4"/>
        </w:rPr>
      </w:pPr>
      <w:r>
        <w:rPr>
          <w:b/>
        </w:rPr>
        <w:t>Điều 3. Chế độ hỗ trợ</w:t>
      </w:r>
    </w:p>
    <w:p>
      <w:pPr>
        <w:tabs>
          <w:tab w:val="left" w:pos="426"/>
        </w:tabs>
        <w:spacing w:before="120"/>
        <w:ind w:firstLine="709"/>
        <w:jc w:val="both"/>
      </w:pPr>
      <w:r>
        <w:t>Đối tượng quy định tại khoản 2 Điều 1 Nghị quyết này được hỗ trợ một lần bằng tiền, cụ thể như sau:</w:t>
      </w:r>
    </w:p>
    <w:p>
      <w:pPr>
        <w:tabs>
          <w:tab w:val="left" w:pos="360"/>
        </w:tabs>
        <w:spacing w:before="120"/>
        <w:ind w:firstLine="720"/>
        <w:jc w:val="both"/>
        <w:rPr>
          <w:bCs/>
          <w:iCs/>
          <w:lang w:val="nl-NL"/>
        </w:rPr>
      </w:pPr>
      <w:r>
        <w:t xml:space="preserve">1. Đối tượng 1: </w:t>
      </w:r>
      <w:r>
        <w:rPr>
          <w:lang w:val="vi-VN"/>
        </w:rPr>
        <w:t xml:space="preserve">Công dân </w:t>
      </w:r>
      <w:r>
        <w:rPr>
          <w:bCs/>
          <w:iCs/>
          <w:lang w:val="nl-NL"/>
        </w:rPr>
        <w:t xml:space="preserve">hoàn thành nghĩa vụ quân sự, nghĩa vụ tham gia Công an nhân dân thuộc các đối tượng sau đây </w:t>
      </w:r>
      <w:r>
        <w:rPr>
          <w:iCs/>
          <w:lang w:val="nl-NL"/>
        </w:rPr>
        <w:t>được hỗ trợ mức</w:t>
      </w:r>
      <w:r>
        <w:rPr>
          <w:bCs/>
          <w:iCs/>
          <w:lang w:val="nl-NL"/>
        </w:rPr>
        <w:t xml:space="preserve"> 12.000.000 đồng/người (Bằng chữ: Mười hai triệu đồng/người):</w:t>
      </w:r>
    </w:p>
    <w:p>
      <w:pPr>
        <w:spacing w:before="120"/>
        <w:ind w:firstLine="720"/>
        <w:jc w:val="both"/>
        <w:rPr>
          <w:lang w:val="vi-VN"/>
        </w:rPr>
      </w:pPr>
      <w:r>
        <w:t>a)</w:t>
      </w:r>
      <w:r>
        <w:rPr>
          <w:bCs/>
          <w:iCs/>
          <w:lang w:val="nl-NL"/>
        </w:rPr>
        <w:t xml:space="preserve"> Người dân tộc thiểu số trên địa bàn tỉnh Quảng </w:t>
      </w:r>
      <w:r>
        <w:rPr>
          <w:bCs/>
          <w:iCs/>
          <w:lang w:val="vi-VN"/>
        </w:rPr>
        <w:t>Ninh;</w:t>
      </w:r>
    </w:p>
    <w:p>
      <w:pPr>
        <w:spacing w:before="120"/>
        <w:ind w:firstLine="720"/>
        <w:jc w:val="both"/>
        <w:rPr>
          <w:lang w:val="vi-VN"/>
        </w:rPr>
      </w:pPr>
      <w:r>
        <w:rPr>
          <w:lang w:val="vi-VN"/>
        </w:rPr>
        <w:t xml:space="preserve">b) </w:t>
      </w:r>
      <w:r>
        <w:t xml:space="preserve">Con của người có công với cách mạng theo quy định của pháp luật về ưu đãi người có công với cách </w:t>
      </w:r>
      <w:r>
        <w:rPr>
          <w:lang w:val="vi-VN"/>
        </w:rPr>
        <w:t>mạng;</w:t>
      </w:r>
    </w:p>
    <w:p>
      <w:pPr>
        <w:tabs>
          <w:tab w:val="left" w:pos="360"/>
        </w:tabs>
        <w:spacing w:before="120"/>
        <w:ind w:firstLine="720"/>
        <w:jc w:val="both"/>
        <w:rPr>
          <w:iCs/>
          <w:spacing w:val="4"/>
        </w:rPr>
      </w:pPr>
      <w:r>
        <w:rPr>
          <w:spacing w:val="4"/>
          <w:lang w:val="vi-VN"/>
        </w:rPr>
        <w:t>c</w:t>
      </w:r>
      <w:r>
        <w:rPr>
          <w:spacing w:val="4"/>
        </w:rPr>
        <w:t>)</w:t>
      </w:r>
      <w:r>
        <w:rPr>
          <w:spacing w:val="4"/>
          <w:lang w:val="vi-VN"/>
        </w:rPr>
        <w:t xml:space="preserve"> </w:t>
      </w:r>
      <w:r>
        <w:rPr>
          <w:spacing w:val="4"/>
        </w:rPr>
        <w:t>Người t</w:t>
      </w:r>
      <w:r>
        <w:rPr>
          <w:bCs/>
          <w:iCs/>
          <w:spacing w:val="4"/>
          <w:lang w:val="nl-NL"/>
        </w:rPr>
        <w:t xml:space="preserve">huộc hộ nghèo, hộ cận nghèo theo </w:t>
      </w:r>
      <w:r>
        <w:rPr>
          <w:bCs/>
          <w:iCs/>
          <w:spacing w:val="4"/>
          <w:lang w:val="vi-VN"/>
        </w:rPr>
        <w:t>quyết định của cơ quan có thẩm quyền.</w:t>
      </w:r>
    </w:p>
    <w:p>
      <w:pPr>
        <w:tabs>
          <w:tab w:val="left" w:pos="360"/>
        </w:tabs>
        <w:spacing w:before="120"/>
        <w:ind w:firstLine="720"/>
        <w:jc w:val="both"/>
        <w:rPr>
          <w:spacing w:val="-4"/>
        </w:rPr>
      </w:pPr>
      <w:r>
        <w:t xml:space="preserve">2. Đối tượng 2: </w:t>
      </w:r>
      <w:r>
        <w:rPr>
          <w:lang w:val="vi-VN"/>
        </w:rPr>
        <w:t xml:space="preserve">Công dân </w:t>
      </w:r>
      <w:r>
        <w:t xml:space="preserve">hoàn thành nghĩa vụ quân sự, nghĩa vụ tham gia Công an nhân dân (không thuộc đối tượng 1 quy định tại khoản 1 Điều này) </w:t>
      </w:r>
      <w:r>
        <w:rPr>
          <w:spacing w:val="-4"/>
        </w:rPr>
        <w:t>được hỗ trợ mức 10.000.000 đồng/người (</w:t>
      </w:r>
      <w:r>
        <w:rPr>
          <w:bCs/>
          <w:iCs/>
          <w:lang w:val="nl-NL"/>
        </w:rPr>
        <w:t xml:space="preserve">Bằng chữ: </w:t>
      </w:r>
      <w:r>
        <w:rPr>
          <w:spacing w:val="-4"/>
        </w:rPr>
        <w:t>Mười triệu đồng/người).</w:t>
      </w:r>
    </w:p>
    <w:p>
      <w:pPr>
        <w:tabs>
          <w:tab w:val="left" w:pos="360"/>
        </w:tabs>
        <w:spacing w:before="120"/>
        <w:ind w:firstLine="720"/>
        <w:jc w:val="both"/>
        <w:rPr>
          <w:color w:val="081B3A"/>
          <w:spacing w:val="3"/>
          <w:shd w:val="clear" w:color="auto" w:fill="FFFFFF"/>
        </w:rPr>
      </w:pPr>
      <w:r>
        <w:rPr>
          <w:spacing w:val="-4"/>
        </w:rPr>
        <w:t xml:space="preserve">3. </w:t>
      </w:r>
      <w:r>
        <w:rPr>
          <w:color w:val="081B3A"/>
          <w:spacing w:val="3"/>
          <w:shd w:val="clear" w:color="auto" w:fill="FFFFFF"/>
        </w:rPr>
        <w:t xml:space="preserve">Đối tượng quy định tại khoản 1 và khoản 2 Điều này, trong thời gian thực hiện nghĩa vụ quân sự hoặc nghĩa vụ tham gia Công an nhân dân, </w:t>
      </w:r>
      <w:r>
        <w:rPr>
          <w:color w:val="081B3A"/>
          <w:spacing w:val="3"/>
          <w:shd w:val="clear" w:color="auto" w:fill="FFFFFF"/>
          <w:lang w:val="vi-VN"/>
        </w:rPr>
        <w:t xml:space="preserve">nếu </w:t>
      </w:r>
      <w:r>
        <w:rPr>
          <w:color w:val="081B3A"/>
          <w:spacing w:val="3"/>
          <w:shd w:val="clear" w:color="auto" w:fill="FFFFFF"/>
        </w:rPr>
        <w:t xml:space="preserve">thuộc một </w:t>
      </w:r>
      <w:r>
        <w:rPr>
          <w:color w:val="081B3A"/>
          <w:spacing w:val="3"/>
          <w:shd w:val="clear" w:color="auto" w:fill="FFFFFF"/>
          <w:lang w:val="vi-VN"/>
        </w:rPr>
        <w:t xml:space="preserve">hoặc </w:t>
      </w:r>
      <w:r>
        <w:rPr>
          <w:color w:val="081B3A"/>
          <w:spacing w:val="3"/>
          <w:shd w:val="clear" w:color="auto" w:fill="FFFFFF"/>
        </w:rPr>
        <w:t>cả hai</w:t>
      </w:r>
      <w:r>
        <w:rPr>
          <w:color w:val="081B3A"/>
          <w:spacing w:val="3"/>
          <w:shd w:val="clear" w:color="auto" w:fill="FFFFFF"/>
          <w:lang w:val="vi-VN"/>
        </w:rPr>
        <w:t xml:space="preserve"> trường </w:t>
      </w:r>
      <w:r>
        <w:rPr>
          <w:color w:val="081B3A"/>
          <w:spacing w:val="3"/>
          <w:shd w:val="clear" w:color="auto" w:fill="FFFFFF"/>
        </w:rPr>
        <w:t xml:space="preserve">hợp sau đây thì được hỗ </w:t>
      </w:r>
      <w:r>
        <w:rPr>
          <w:spacing w:val="3"/>
          <w:shd w:val="clear" w:color="auto" w:fill="FFFFFF"/>
        </w:rPr>
        <w:t xml:space="preserve">trợ thêm 2.000.000 đồng/người </w:t>
      </w:r>
      <w:r>
        <w:rPr>
          <w:color w:val="081B3A"/>
          <w:spacing w:val="3"/>
          <w:shd w:val="clear" w:color="auto" w:fill="FFFFFF"/>
        </w:rPr>
        <w:t>(Bằng chữ: Hai triệu đồng/người):</w:t>
      </w:r>
    </w:p>
    <w:p>
      <w:pPr>
        <w:tabs>
          <w:tab w:val="left" w:pos="360"/>
        </w:tabs>
        <w:spacing w:before="120"/>
        <w:ind w:firstLine="720"/>
        <w:jc w:val="both"/>
        <w:rPr>
          <w:spacing w:val="3"/>
          <w:shd w:val="clear" w:color="auto" w:fill="FFFFFF"/>
        </w:rPr>
      </w:pPr>
      <w:r>
        <w:rPr>
          <w:spacing w:val="3"/>
          <w:shd w:val="clear" w:color="auto" w:fill="FFFFFF"/>
        </w:rPr>
        <w:t xml:space="preserve"> a) Được kết nạp vào Đảng Cộng sản Việt Nam;</w:t>
      </w:r>
    </w:p>
    <w:p>
      <w:pPr>
        <w:tabs>
          <w:tab w:val="left" w:pos="360"/>
        </w:tabs>
        <w:spacing w:before="120"/>
        <w:ind w:firstLine="720"/>
        <w:jc w:val="both"/>
        <w:rPr>
          <w:spacing w:val="3"/>
          <w:shd w:val="clear" w:color="auto" w:fill="FFFFFF"/>
        </w:rPr>
      </w:pPr>
      <w:r>
        <w:rPr>
          <w:spacing w:val="3"/>
          <w:shd w:val="clear" w:color="auto" w:fill="FFFFFF"/>
        </w:rPr>
        <w:t xml:space="preserve"> b) Được khen thưởng do có thành tích xuất sắc từ cấp Sư đoàn, cấp Bộ Chỉ huy quân sự tỉnh, cấp Công an tỉnh trở </w:t>
      </w:r>
      <w:r>
        <w:rPr>
          <w:spacing w:val="3"/>
          <w:shd w:val="clear" w:color="auto" w:fill="FFFFFF"/>
          <w:lang w:val="vi-VN"/>
        </w:rPr>
        <w:t>lên.</w:t>
      </w:r>
      <w:r>
        <w:rPr>
          <w:spacing w:val="3"/>
          <w:shd w:val="clear" w:color="auto" w:fill="FFFFFF"/>
        </w:rPr>
        <w:t xml:space="preserve"> </w:t>
      </w:r>
    </w:p>
    <w:p>
      <w:pPr>
        <w:tabs>
          <w:tab w:val="left" w:pos="360"/>
        </w:tabs>
        <w:spacing w:before="120"/>
        <w:ind w:firstLine="720"/>
        <w:jc w:val="both"/>
      </w:pPr>
      <w:r>
        <w:rPr>
          <w:b/>
        </w:rPr>
        <w:t>Điều 4. Nguồn kinh phí thực hiện</w:t>
      </w:r>
    </w:p>
    <w:p>
      <w:pPr>
        <w:tabs>
          <w:tab w:val="left" w:pos="426"/>
        </w:tabs>
        <w:spacing w:before="120"/>
        <w:ind w:firstLine="709"/>
        <w:jc w:val="both"/>
      </w:pPr>
      <w:r>
        <w:t>Kinh phí thực hiện chính sách được bảo đảm từ ngân sách tỉnh và bố trí trong dự toán chi ngân sách hằng năm theo quy định hiện hành.</w:t>
      </w:r>
    </w:p>
    <w:p>
      <w:pPr>
        <w:tabs>
          <w:tab w:val="left" w:pos="426"/>
        </w:tabs>
        <w:spacing w:before="120"/>
        <w:ind w:firstLine="709"/>
        <w:jc w:val="both"/>
        <w:rPr>
          <w:b/>
          <w:lang w:val="vi-VN"/>
        </w:rPr>
      </w:pPr>
      <w:r>
        <w:rPr>
          <w:b/>
        </w:rPr>
        <w:t xml:space="preserve">Điều 5. </w:t>
      </w:r>
      <w:r>
        <w:rPr>
          <w:b/>
          <w:lang w:val="vi-VN"/>
        </w:rPr>
        <w:t>Điều khoản thi hành</w:t>
      </w:r>
    </w:p>
    <w:p>
      <w:pPr>
        <w:tabs>
          <w:tab w:val="left" w:pos="426"/>
        </w:tabs>
        <w:spacing w:before="120"/>
        <w:ind w:firstLine="709"/>
        <w:jc w:val="both"/>
      </w:pPr>
      <w:r>
        <w:rPr>
          <w:lang w:val="vi-VN"/>
        </w:rPr>
        <w:t>1. Trách nhiệm tổ chức thực hiện</w:t>
      </w:r>
    </w:p>
    <w:p>
      <w:pPr>
        <w:tabs>
          <w:tab w:val="left" w:pos="426"/>
        </w:tabs>
        <w:spacing w:before="120"/>
        <w:ind w:firstLine="709"/>
        <w:jc w:val="both"/>
        <w:rPr>
          <w:lang w:val="vi-VN"/>
        </w:rPr>
      </w:pPr>
      <w:r>
        <w:rPr>
          <w:bCs/>
          <w:lang w:val="vi-VN"/>
        </w:rPr>
        <w:t xml:space="preserve">a) </w:t>
      </w:r>
      <w:r>
        <w:rPr>
          <w:lang w:val="vi-VN"/>
        </w:rPr>
        <w:t xml:space="preserve">Ủy ban nhân dân tỉnh </w:t>
      </w:r>
      <w:r>
        <w:rPr>
          <w:bCs/>
          <w:iCs/>
        </w:rPr>
        <w:t xml:space="preserve">tổ chức triển khai thực hiện Nghị </w:t>
      </w:r>
      <w:r>
        <w:rPr>
          <w:bCs/>
          <w:iCs/>
          <w:lang w:val="vi-VN"/>
        </w:rPr>
        <w:t xml:space="preserve">quyết </w:t>
      </w:r>
      <w:r>
        <w:t xml:space="preserve">bảo đảm công khai, minh bạch, kịp thời, đúng đối tượng, nội dung và mức hỗ </w:t>
      </w:r>
      <w:r>
        <w:rPr>
          <w:lang w:val="vi-VN"/>
        </w:rPr>
        <w:t xml:space="preserve">trợ; </w:t>
      </w:r>
      <w:r>
        <w:rPr>
          <w:lang w:val="nl-NL"/>
        </w:rPr>
        <w:t xml:space="preserve">không để xảy ra vi phạm, trục lợi chính sách gây thất thoát ngân sách nhà </w:t>
      </w:r>
      <w:r>
        <w:rPr>
          <w:lang w:val="vi-VN"/>
        </w:rPr>
        <w:t>nước; t</w:t>
      </w:r>
      <w:r>
        <w:rPr>
          <w:lang w:val="nl-NL"/>
        </w:rPr>
        <w:t xml:space="preserve">ăng cường công tác thanh tra, kiểm </w:t>
      </w:r>
      <w:r>
        <w:rPr>
          <w:lang w:val="vi-VN"/>
        </w:rPr>
        <w:t xml:space="preserve">tra, </w:t>
      </w:r>
      <w:r>
        <w:rPr>
          <w:lang w:val="nl-NL"/>
        </w:rPr>
        <w:t>kịp thời phát hiện xử lý nghiêm đối với các vi phạm (nếu có)</w:t>
      </w:r>
      <w:r>
        <w:rPr>
          <w:lang w:val="vi-VN"/>
        </w:rPr>
        <w:t>;</w:t>
      </w:r>
    </w:p>
    <w:p>
      <w:pPr>
        <w:tabs>
          <w:tab w:val="left" w:pos="426"/>
        </w:tabs>
        <w:spacing w:before="120"/>
        <w:ind w:firstLine="709"/>
        <w:jc w:val="both"/>
        <w:rPr>
          <w:bCs/>
          <w:lang w:val="vi-VN"/>
        </w:rPr>
      </w:pPr>
      <w:r>
        <w:rPr>
          <w:bCs/>
          <w:lang w:val="vi-VN"/>
        </w:rPr>
        <w:t>b)</w:t>
      </w:r>
      <w:r>
        <w:rPr>
          <w:bCs/>
        </w:rPr>
        <w:t xml:space="preserve"> Thường trực Hội đồng nhân dân, các </w:t>
      </w:r>
      <w:r>
        <w:rPr>
          <w:bCs/>
          <w:lang w:val="vi-VN"/>
        </w:rPr>
        <w:t>b</w:t>
      </w:r>
      <w:r>
        <w:rPr>
          <w:bCs/>
        </w:rPr>
        <w:t xml:space="preserve">an, các </w:t>
      </w:r>
      <w:r>
        <w:rPr>
          <w:bCs/>
          <w:lang w:val="vi-VN"/>
        </w:rPr>
        <w:t>t</w:t>
      </w:r>
      <w:r>
        <w:rPr>
          <w:bCs/>
        </w:rPr>
        <w:t xml:space="preserve">ổ đại biểu và đại biểu Hội đồng nhân dân tỉnh giám sát việc triển khai thực hiện Nghị </w:t>
      </w:r>
      <w:r>
        <w:rPr>
          <w:bCs/>
          <w:lang w:val="vi-VN"/>
        </w:rPr>
        <w:t>quyết;</w:t>
      </w:r>
    </w:p>
    <w:p>
      <w:pPr>
        <w:tabs>
          <w:tab w:val="left" w:pos="426"/>
        </w:tabs>
        <w:spacing w:before="120"/>
        <w:ind w:firstLine="709"/>
        <w:jc w:val="both"/>
        <w:rPr>
          <w:bCs/>
        </w:rPr>
      </w:pPr>
      <w:r>
        <w:rPr>
          <w:bCs/>
          <w:lang w:val="vi-VN"/>
        </w:rPr>
        <w:t>c)</w:t>
      </w:r>
      <w:r>
        <w:rPr>
          <w:bCs/>
        </w:rPr>
        <w:t xml:space="preserve"> Đề nghị Ủy ban Mặt trận Tổ quốc Việt Nam tỉnh và các tổ chức chính trị - xã hội phối hợp tuyên truyền, vận động, tạo sự đồng thuận trong Nhân dân và tham gia giám sát việc tổ chức thực hiện Nghị quyết.</w:t>
      </w:r>
    </w:p>
    <w:p>
      <w:pPr>
        <w:tabs>
          <w:tab w:val="left" w:pos="426"/>
        </w:tabs>
        <w:spacing w:before="120"/>
        <w:jc w:val="both"/>
        <w:rPr>
          <w:rStyle w:val="Strong"/>
          <w:b w:val="0"/>
        </w:rPr>
      </w:pPr>
      <w:r>
        <w:rPr>
          <w:bCs/>
        </w:rPr>
        <w:lastRenderedPageBreak/>
        <w:t xml:space="preserve">          </w:t>
      </w:r>
      <w:r>
        <w:rPr>
          <w:bCs/>
          <w:lang w:val="vi-VN"/>
        </w:rPr>
        <w:t>2</w:t>
      </w:r>
      <w:r>
        <w:rPr>
          <w:bCs/>
        </w:rPr>
        <w:t xml:space="preserve">. Nghị quyết này có hiệu lực thi hành từ </w:t>
      </w:r>
      <w:r>
        <w:rPr>
          <w:bCs/>
          <w:lang w:val="vi-VN"/>
        </w:rPr>
        <w:t>ngày 19</w:t>
      </w:r>
      <w:r>
        <w:rPr>
          <w:bCs/>
        </w:rPr>
        <w:t xml:space="preserve"> tháng 7 năm 2026 </w:t>
      </w:r>
      <w:r>
        <w:t xml:space="preserve">đến hết ngày </w:t>
      </w:r>
      <w:r>
        <w:rPr>
          <w:rStyle w:val="Strong"/>
          <w:b w:val="0"/>
        </w:rPr>
        <w:t>30</w:t>
      </w:r>
      <w:r>
        <w:rPr>
          <w:rStyle w:val="Strong"/>
          <w:b w:val="0"/>
          <w:lang w:val="vi-VN"/>
        </w:rPr>
        <w:t xml:space="preserve"> tháng </w:t>
      </w:r>
      <w:r>
        <w:rPr>
          <w:rStyle w:val="Strong"/>
          <w:b w:val="0"/>
        </w:rPr>
        <w:t>6</w:t>
      </w:r>
      <w:r>
        <w:rPr>
          <w:rStyle w:val="Strong"/>
          <w:b w:val="0"/>
          <w:lang w:val="vi-VN"/>
        </w:rPr>
        <w:t xml:space="preserve"> năm </w:t>
      </w:r>
      <w:r>
        <w:rPr>
          <w:rStyle w:val="Strong"/>
          <w:b w:val="0"/>
        </w:rPr>
        <w:t>2031.</w:t>
      </w:r>
    </w:p>
    <w:p>
      <w:pPr>
        <w:tabs>
          <w:tab w:val="left" w:pos="426"/>
        </w:tabs>
        <w:spacing w:before="120"/>
        <w:jc w:val="both"/>
        <w:rPr>
          <w:bCs/>
        </w:rPr>
      </w:pPr>
      <w:r>
        <w:rPr>
          <w:rStyle w:val="Strong"/>
          <w:b w:val="0"/>
          <w:lang w:val="vi-VN"/>
        </w:rPr>
        <w:t xml:space="preserve">          3</w:t>
      </w:r>
      <w:r>
        <w:rPr>
          <w:bCs/>
        </w:rPr>
        <w:t xml:space="preserve">. </w:t>
      </w:r>
      <w:r>
        <w:rPr>
          <w:lang w:val="vi-VN"/>
        </w:rPr>
        <w:t xml:space="preserve">Công dân nhập ngũ trong thời gian Nghị quyết này có hiệu lực theo </w:t>
      </w:r>
      <w:r>
        <w:rPr>
          <w:bCs/>
        </w:rPr>
        <w:t xml:space="preserve">quyết định giao chỉ tiêu của cấp có thẩm quyền </w:t>
      </w:r>
      <w:r>
        <w:rPr>
          <w:bCs/>
          <w:lang w:val="vi-VN"/>
        </w:rPr>
        <w:t>thuộc tỉnh Quảng Ninh</w:t>
      </w:r>
      <w:r>
        <w:rPr>
          <w:bCs/>
        </w:rPr>
        <w:t xml:space="preserve">, </w:t>
      </w:r>
      <w:r>
        <w:rPr>
          <w:lang w:val="vi-VN"/>
        </w:rPr>
        <w:t>khi xuất ngũ sau ngày 30 tháng 6 năm 2031 vẫn được hưởng chính sách hỗ trợ theo quy định tại Nghị quyết này</w:t>
      </w:r>
      <w:r>
        <w:t>.</w:t>
      </w:r>
    </w:p>
    <w:p>
      <w:pPr>
        <w:tabs>
          <w:tab w:val="left" w:pos="426"/>
        </w:tabs>
        <w:spacing w:before="120"/>
        <w:ind w:firstLine="709"/>
        <w:jc w:val="both"/>
        <w:rPr>
          <w:i/>
        </w:rPr>
      </w:pPr>
      <w:r>
        <w:rPr>
          <w:i/>
        </w:rPr>
        <w:t xml:space="preserve">Nghị quyết này đã được Hội đồng nhân dân tỉnh Quảng Ninh khóa XV, </w:t>
      </w:r>
      <w:r>
        <w:rPr>
          <w:i/>
          <w:lang w:val="vi-VN"/>
        </w:rPr>
        <w:t xml:space="preserve">     </w:t>
      </w:r>
      <w:bookmarkStart w:id="0" w:name="_GoBack"/>
      <w:bookmarkEnd w:id="0"/>
      <w:r>
        <w:rPr>
          <w:i/>
        </w:rPr>
        <w:t xml:space="preserve">Kỳ họp </w:t>
      </w:r>
      <w:r>
        <w:rPr>
          <w:i/>
          <w:lang w:val="vi-VN"/>
        </w:rPr>
        <w:t xml:space="preserve">thứ 6 </w:t>
      </w:r>
      <w:r>
        <w:rPr>
          <w:i/>
        </w:rPr>
        <w:t>thông qua ngày</w:t>
      </w:r>
      <w:r>
        <w:rPr>
          <w:i/>
          <w:lang w:val="vi-VN"/>
        </w:rPr>
        <w:t xml:space="preserve"> 09 </w:t>
      </w:r>
      <w:r>
        <w:rPr>
          <w:i/>
        </w:rPr>
        <w:t>tháng 7 năm 2026./.</w:t>
      </w:r>
    </w:p>
    <w:p>
      <w:pPr>
        <w:tabs>
          <w:tab w:val="left" w:pos="426"/>
        </w:tabs>
        <w:ind w:firstLine="720"/>
        <w:jc w:val="both"/>
      </w:pPr>
    </w:p>
    <w:tbl>
      <w:tblPr>
        <w:tblW w:w="9214" w:type="dxa"/>
        <w:tblInd w:w="108" w:type="dxa"/>
        <w:tblLayout w:type="fixed"/>
        <w:tblLook w:val="01E0" w:firstRow="1" w:lastRow="1" w:firstColumn="1" w:lastColumn="1" w:noHBand="0" w:noVBand="0"/>
      </w:tblPr>
      <w:tblGrid>
        <w:gridCol w:w="4678"/>
        <w:gridCol w:w="4536"/>
      </w:tblGrid>
      <w:tr>
        <w:tc>
          <w:tcPr>
            <w:tcW w:w="4678" w:type="dxa"/>
          </w:tcPr>
          <w:p>
            <w:pPr>
              <w:jc w:val="both"/>
              <w:rPr>
                <w:sz w:val="24"/>
                <w:szCs w:val="24"/>
              </w:rPr>
            </w:pPr>
            <w:r>
              <w:rPr>
                <w:b/>
                <w:i/>
                <w:sz w:val="24"/>
                <w:szCs w:val="24"/>
              </w:rPr>
              <w:t>Nơi nhận:</w:t>
            </w:r>
          </w:p>
          <w:p>
            <w:pPr>
              <w:shd w:val="clear" w:color="auto" w:fill="FFFFFF"/>
              <w:jc w:val="both"/>
              <w:rPr>
                <w:color w:val="000000"/>
                <w:spacing w:val="-4"/>
                <w:sz w:val="22"/>
              </w:rPr>
            </w:pPr>
            <w:r>
              <w:rPr>
                <w:color w:val="000000"/>
                <w:spacing w:val="-4"/>
                <w:sz w:val="22"/>
              </w:rPr>
              <w:t>- Ủy ban Thường vụ Quốc hội (báo cáo);</w:t>
            </w:r>
          </w:p>
          <w:p>
            <w:pPr>
              <w:shd w:val="clear" w:color="auto" w:fill="FFFFFF"/>
              <w:jc w:val="both"/>
              <w:rPr>
                <w:color w:val="000000"/>
                <w:spacing w:val="-4"/>
                <w:sz w:val="22"/>
              </w:rPr>
            </w:pPr>
            <w:r>
              <w:rPr>
                <w:color w:val="000000"/>
                <w:spacing w:val="-4"/>
                <w:sz w:val="22"/>
              </w:rPr>
              <w:t>- Chính phủ (báo cáo);</w:t>
            </w:r>
          </w:p>
          <w:p>
            <w:pPr>
              <w:jc w:val="both"/>
              <w:rPr>
                <w:sz w:val="22"/>
                <w:szCs w:val="24"/>
              </w:rPr>
            </w:pPr>
            <w:r>
              <w:rPr>
                <w:sz w:val="22"/>
                <w:szCs w:val="24"/>
              </w:rPr>
              <w:t>- Các bộ: Quốc phòng, Công an, Tư pháp,</w:t>
            </w:r>
          </w:p>
          <w:p>
            <w:pPr>
              <w:jc w:val="both"/>
              <w:rPr>
                <w:sz w:val="22"/>
                <w:szCs w:val="24"/>
              </w:rPr>
            </w:pPr>
            <w:r>
              <w:rPr>
                <w:sz w:val="22"/>
                <w:szCs w:val="24"/>
              </w:rPr>
              <w:t xml:space="preserve"> Tài chính</w:t>
            </w:r>
            <w:r>
              <w:rPr>
                <w:sz w:val="22"/>
                <w:szCs w:val="24"/>
                <w:lang w:val="vi-VN"/>
              </w:rPr>
              <w:t xml:space="preserve"> (báo cáo);</w:t>
            </w:r>
          </w:p>
          <w:p>
            <w:pPr>
              <w:jc w:val="both"/>
              <w:rPr>
                <w:sz w:val="22"/>
                <w:szCs w:val="24"/>
                <w:lang w:val="vi-VN"/>
              </w:rPr>
            </w:pPr>
            <w:r>
              <w:rPr>
                <w:sz w:val="22"/>
                <w:szCs w:val="24"/>
              </w:rPr>
              <w:t>- Thường trực Tỉnh ủy</w:t>
            </w:r>
            <w:r>
              <w:rPr>
                <w:sz w:val="22"/>
                <w:szCs w:val="24"/>
                <w:lang w:val="vi-VN"/>
              </w:rPr>
              <w:t xml:space="preserve"> </w:t>
            </w:r>
            <w:r>
              <w:rPr>
                <w:color w:val="000000"/>
                <w:spacing w:val="-4"/>
                <w:sz w:val="22"/>
              </w:rPr>
              <w:t>(báo cáo);</w:t>
            </w:r>
          </w:p>
          <w:p>
            <w:pPr>
              <w:jc w:val="both"/>
              <w:rPr>
                <w:sz w:val="22"/>
                <w:szCs w:val="24"/>
              </w:rPr>
            </w:pPr>
            <w:r>
              <w:rPr>
                <w:sz w:val="22"/>
                <w:szCs w:val="24"/>
              </w:rPr>
              <w:t xml:space="preserve">- Thường trực HĐND, UBND tỉnh; </w:t>
            </w:r>
          </w:p>
          <w:p>
            <w:pPr>
              <w:jc w:val="both"/>
              <w:rPr>
                <w:sz w:val="22"/>
                <w:szCs w:val="24"/>
              </w:rPr>
            </w:pPr>
            <w:r>
              <w:rPr>
                <w:sz w:val="22"/>
                <w:szCs w:val="24"/>
              </w:rPr>
              <w:t>- Đoàn đại biểu Quốc hội tỉnh;</w:t>
            </w:r>
          </w:p>
          <w:p>
            <w:pPr>
              <w:jc w:val="both"/>
              <w:rPr>
                <w:sz w:val="22"/>
                <w:szCs w:val="24"/>
              </w:rPr>
            </w:pPr>
            <w:r>
              <w:rPr>
                <w:sz w:val="22"/>
                <w:szCs w:val="24"/>
              </w:rPr>
              <w:t>- Đại biểu HĐND tỉnh khóa XV;</w:t>
            </w:r>
          </w:p>
          <w:p>
            <w:pPr>
              <w:jc w:val="both"/>
              <w:rPr>
                <w:sz w:val="22"/>
                <w:szCs w:val="24"/>
              </w:rPr>
            </w:pPr>
            <w:r>
              <w:rPr>
                <w:sz w:val="22"/>
                <w:szCs w:val="24"/>
              </w:rPr>
              <w:t>- Các ban xây dựng Đảng và VP Tỉnh ủy;</w:t>
            </w:r>
          </w:p>
          <w:p>
            <w:pPr>
              <w:jc w:val="both"/>
              <w:rPr>
                <w:sz w:val="22"/>
                <w:szCs w:val="24"/>
              </w:rPr>
            </w:pPr>
            <w:r>
              <w:rPr>
                <w:sz w:val="22"/>
                <w:szCs w:val="24"/>
              </w:rPr>
              <w:t>- Ủy ban MTTQ, các tổ chức CTXH tỉnh;</w:t>
            </w:r>
          </w:p>
          <w:p>
            <w:pPr>
              <w:jc w:val="both"/>
              <w:rPr>
                <w:sz w:val="22"/>
                <w:szCs w:val="24"/>
              </w:rPr>
            </w:pPr>
            <w:r>
              <w:rPr>
                <w:sz w:val="22"/>
                <w:szCs w:val="24"/>
              </w:rPr>
              <w:t>- Bộ CHQS tỉnh; Công an tỉnh;</w:t>
            </w:r>
          </w:p>
          <w:p>
            <w:pPr>
              <w:jc w:val="both"/>
              <w:rPr>
                <w:sz w:val="22"/>
                <w:szCs w:val="24"/>
              </w:rPr>
            </w:pPr>
            <w:r>
              <w:rPr>
                <w:sz w:val="22"/>
                <w:szCs w:val="24"/>
              </w:rPr>
              <w:t>- Các sở, ban, ngành thuộc tỉnh;</w:t>
            </w:r>
          </w:p>
          <w:p>
            <w:pPr>
              <w:jc w:val="both"/>
              <w:rPr>
                <w:sz w:val="22"/>
                <w:szCs w:val="24"/>
              </w:rPr>
            </w:pPr>
            <w:r>
              <w:rPr>
                <w:sz w:val="22"/>
                <w:szCs w:val="24"/>
              </w:rPr>
              <w:t xml:space="preserve">- </w:t>
            </w:r>
            <w:r>
              <w:rPr>
                <w:sz w:val="22"/>
                <w:szCs w:val="24"/>
                <w:lang w:val="vi-VN"/>
              </w:rPr>
              <w:t>VP:</w:t>
            </w:r>
            <w:r>
              <w:rPr>
                <w:sz w:val="22"/>
                <w:szCs w:val="24"/>
              </w:rPr>
              <w:t xml:space="preserve"> Đoàn ĐBQH, </w:t>
            </w:r>
            <w:r>
              <w:rPr>
                <w:sz w:val="22"/>
                <w:szCs w:val="24"/>
                <w:lang w:val="vi-VN"/>
              </w:rPr>
              <w:t xml:space="preserve">HĐND, </w:t>
            </w:r>
            <w:r>
              <w:rPr>
                <w:sz w:val="22"/>
                <w:szCs w:val="24"/>
              </w:rPr>
              <w:t>UBND tỉnh;</w:t>
            </w:r>
          </w:p>
          <w:p>
            <w:pPr>
              <w:jc w:val="both"/>
              <w:rPr>
                <w:sz w:val="22"/>
                <w:szCs w:val="24"/>
              </w:rPr>
            </w:pPr>
            <w:r>
              <w:rPr>
                <w:sz w:val="22"/>
                <w:szCs w:val="24"/>
              </w:rPr>
              <w:t>- Thường trực HĐND, UBND cấp xã;</w:t>
            </w:r>
          </w:p>
          <w:p>
            <w:pPr>
              <w:jc w:val="both"/>
              <w:rPr>
                <w:sz w:val="22"/>
                <w:szCs w:val="24"/>
              </w:rPr>
            </w:pPr>
            <w:r>
              <w:rPr>
                <w:sz w:val="22"/>
                <w:szCs w:val="24"/>
              </w:rPr>
              <w:t xml:space="preserve">- Ban </w:t>
            </w:r>
            <w:r>
              <w:rPr>
                <w:sz w:val="22"/>
                <w:szCs w:val="24"/>
                <w:lang w:val="vi-VN"/>
              </w:rPr>
              <w:t>CHQS,</w:t>
            </w:r>
            <w:r>
              <w:rPr>
                <w:sz w:val="22"/>
                <w:szCs w:val="24"/>
              </w:rPr>
              <w:t xml:space="preserve"> Công an xã, phường, đặc khu;</w:t>
            </w:r>
          </w:p>
          <w:p>
            <w:pPr>
              <w:jc w:val="both"/>
              <w:rPr>
                <w:sz w:val="22"/>
                <w:szCs w:val="24"/>
              </w:rPr>
            </w:pPr>
            <w:r>
              <w:rPr>
                <w:sz w:val="22"/>
                <w:szCs w:val="24"/>
              </w:rPr>
              <w:t xml:space="preserve">- Báo và </w:t>
            </w:r>
            <w:r>
              <w:rPr>
                <w:sz w:val="22"/>
                <w:szCs w:val="24"/>
                <w:lang w:val="vi-VN"/>
              </w:rPr>
              <w:t>P</w:t>
            </w:r>
            <w:r>
              <w:rPr>
                <w:sz w:val="22"/>
                <w:szCs w:val="24"/>
              </w:rPr>
              <w:t xml:space="preserve">hát thanh, </w:t>
            </w:r>
            <w:r>
              <w:rPr>
                <w:sz w:val="22"/>
                <w:szCs w:val="24"/>
                <w:lang w:val="vi-VN"/>
              </w:rPr>
              <w:t>T</w:t>
            </w:r>
            <w:r>
              <w:rPr>
                <w:sz w:val="22"/>
                <w:szCs w:val="24"/>
              </w:rPr>
              <w:t>ruyền hình tỉnh;</w:t>
            </w:r>
          </w:p>
          <w:p>
            <w:pPr>
              <w:jc w:val="both"/>
              <w:rPr>
                <w:sz w:val="22"/>
                <w:szCs w:val="24"/>
                <w:lang w:val="vi-VN"/>
              </w:rPr>
            </w:pPr>
            <w:r>
              <w:rPr>
                <w:sz w:val="22"/>
                <w:szCs w:val="24"/>
                <w:lang w:val="vi-VN"/>
              </w:rPr>
              <w:t>- Công báo tỉnh;</w:t>
            </w:r>
          </w:p>
          <w:p>
            <w:pPr>
              <w:jc w:val="both"/>
              <w:rPr>
                <w:b/>
                <w:sz w:val="22"/>
                <w:szCs w:val="24"/>
              </w:rPr>
            </w:pPr>
            <w:r>
              <w:rPr>
                <w:sz w:val="22"/>
                <w:szCs w:val="24"/>
              </w:rPr>
              <w:t>- Lưu: VT, HĐ5.</w:t>
            </w:r>
          </w:p>
        </w:tc>
        <w:tc>
          <w:tcPr>
            <w:tcW w:w="4536" w:type="dxa"/>
          </w:tcPr>
          <w:p>
            <w:pPr>
              <w:spacing w:before="40" w:line="276" w:lineRule="auto"/>
              <w:jc w:val="center"/>
              <w:rPr>
                <w:b/>
              </w:rPr>
            </w:pPr>
            <w:r>
              <w:rPr>
                <w:b/>
              </w:rPr>
              <w:t>CHỦ TỊCH</w:t>
            </w:r>
          </w:p>
          <w:p>
            <w:pPr>
              <w:spacing w:line="276" w:lineRule="auto"/>
              <w:jc w:val="center"/>
              <w:rPr>
                <w:b/>
              </w:rPr>
            </w:pPr>
          </w:p>
          <w:p>
            <w:pPr>
              <w:spacing w:line="276" w:lineRule="auto"/>
              <w:jc w:val="center"/>
              <w:rPr>
                <w:b/>
              </w:rPr>
            </w:pPr>
          </w:p>
          <w:p>
            <w:pPr>
              <w:spacing w:line="276" w:lineRule="auto"/>
              <w:jc w:val="center"/>
              <w:rPr>
                <w:b/>
              </w:rPr>
            </w:pPr>
          </w:p>
          <w:p>
            <w:pPr>
              <w:spacing w:line="276" w:lineRule="auto"/>
              <w:jc w:val="center"/>
              <w:rPr>
                <w:b/>
              </w:rPr>
            </w:pPr>
          </w:p>
          <w:p>
            <w:pPr>
              <w:spacing w:line="276" w:lineRule="auto"/>
              <w:jc w:val="center"/>
              <w:rPr>
                <w:b/>
              </w:rPr>
            </w:pPr>
          </w:p>
          <w:p>
            <w:pPr>
              <w:spacing w:line="276" w:lineRule="auto"/>
              <w:jc w:val="center"/>
              <w:rPr>
                <w:b/>
              </w:rPr>
            </w:pPr>
            <w:r>
              <w:rPr>
                <w:b/>
              </w:rPr>
              <w:t>Trịnh Thị Minh Thanh</w:t>
            </w:r>
          </w:p>
          <w:p>
            <w:pPr>
              <w:tabs>
                <w:tab w:val="left" w:pos="3127"/>
              </w:tabs>
              <w:spacing w:line="276" w:lineRule="auto"/>
            </w:pPr>
          </w:p>
        </w:tc>
      </w:tr>
    </w:tbl>
    <w:p>
      <w:pPr>
        <w:jc w:val="both"/>
        <w:rPr>
          <w:sz w:val="4"/>
        </w:rPr>
      </w:pPr>
    </w:p>
    <w:p/>
    <w:sectPr>
      <w:headerReference w:type="default" r:id="rId6"/>
      <w:footerReference w:type="even" r:id="rId7"/>
      <w:footerReference w:type="default" r:id="rId8"/>
      <w:pgSz w:w="11907" w:h="16840" w:code="9"/>
      <w:pgMar w:top="1134" w:right="1134" w:bottom="1134" w:left="1701" w:header="284"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tabs>
        <w:tab w:val="clear" w:pos="4320"/>
        <w:tab w:val="clear" w:pos="8640"/>
        <w:tab w:val="left" w:pos="516"/>
      </w:tabs>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3</w:t>
    </w:r>
    <w:r>
      <w:rPr>
        <w:noProof/>
        <w:sz w:val="26"/>
        <w:szCs w:val="26"/>
      </w:rPr>
      <w:fldChar w:fldCharType="end"/>
    </w:r>
  </w:p>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DC12613-1694-4C19-9C89-1919BD60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8"/>
      <w:szCs w:val="28"/>
    </w:rPr>
  </w:style>
  <w:style w:type="paragraph" w:styleId="Heading1">
    <w:name w:val="heading 1"/>
    <w:basedOn w:val="Normal"/>
    <w:next w:val="Normal"/>
    <w:link w:val="Heading1Char"/>
    <w:qFormat/>
    <w:pPr>
      <w:keepNext/>
      <w:tabs>
        <w:tab w:val="left" w:pos="851"/>
      </w:tabs>
      <w:outlineLvl w:val="0"/>
    </w:pPr>
    <w:rPr>
      <w:rFonts w:ascii=".VnTimeH" w:hAnsi=".VnTimeH"/>
      <w:b/>
      <w:sz w:val="26"/>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TimeH" w:eastAsia="Times New Roman" w:hAnsi=".VnTimeH" w:cs="Times New Roman"/>
      <w:b/>
      <w:szCs w:val="20"/>
      <w:lang w:val="x-none" w:eastAsia="zh-CN"/>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eastAsia="Times New Roman" w:cs="Times New Roman"/>
      <w:sz w:val="28"/>
      <w:szCs w:val="28"/>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HeaderChar">
    <w:name w:val="Header Char"/>
    <w:basedOn w:val="DefaultParagraphFont"/>
    <w:link w:val="Header"/>
    <w:uiPriority w:val="99"/>
    <w:rPr>
      <w:rFonts w:eastAsia="Times New Roman" w:cs="Times New Roman"/>
      <w:sz w:val="28"/>
      <w:szCs w:val="28"/>
      <w:lang w:val="x-none" w:eastAsia="x-none"/>
    </w:rPr>
  </w:style>
  <w:style w:type="character" w:styleId="Strong">
    <w:name w:val="Strong"/>
    <w:uiPriority w:val="22"/>
    <w:qFormat/>
    <w:rPr>
      <w:b/>
      <w:bCs/>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TVC</cp:lastModifiedBy>
  <cp:revision>15</cp:revision>
  <cp:lastPrinted>2026-07-09T07:54:00Z</cp:lastPrinted>
  <dcterms:created xsi:type="dcterms:W3CDTF">2026-07-08T05:42:00Z</dcterms:created>
  <dcterms:modified xsi:type="dcterms:W3CDTF">2026-07-09T07:54:00Z</dcterms:modified>
</cp:coreProperties>
</file>