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jc w:val="left"/>
        <w:rPr>
          <w:i w:val="0"/>
          <w:sz w:val="2"/>
        </w:rPr>
      </w:pPr>
    </w:p>
    <w:tbl>
      <w:tblPr>
        <w:tblW w:w="0" w:type="auto"/>
        <w:jc w:val="left"/>
        <w:tblInd w:w="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67"/>
        <w:gridCol w:w="5703"/>
      </w:tblGrid>
      <w:tr>
        <w:trPr>
          <w:trHeight w:val="638" w:hRule="atLeast"/>
        </w:trPr>
        <w:tc>
          <w:tcPr>
            <w:tcW w:w="3067" w:type="dxa"/>
          </w:tcPr>
          <w:p>
            <w:pPr>
              <w:pStyle w:val="TableParagraph"/>
              <w:spacing w:line="287" w:lineRule="exact"/>
              <w:ind w:left="5" w:right="162"/>
              <w:jc w:val="center"/>
              <w:rPr>
                <w:b/>
                <w:sz w:val="26"/>
              </w:rPr>
            </w:pPr>
            <w:r>
              <w:rPr>
                <w:b/>
                <w:sz w:val="26"/>
              </w:rPr>
              <w:t>HỘI</w:t>
            </w:r>
            <w:r>
              <w:rPr>
                <w:b/>
                <w:spacing w:val="-8"/>
                <w:sz w:val="26"/>
              </w:rPr>
              <w:t> </w:t>
            </w:r>
            <w:r>
              <w:rPr>
                <w:b/>
                <w:sz w:val="26"/>
              </w:rPr>
              <w:t>ĐỒNG</w:t>
            </w:r>
            <w:r>
              <w:rPr>
                <w:b/>
                <w:spacing w:val="-7"/>
                <w:sz w:val="26"/>
              </w:rPr>
              <w:t> </w:t>
            </w:r>
            <w:r>
              <w:rPr>
                <w:b/>
                <w:sz w:val="26"/>
              </w:rPr>
              <w:t>NHÂN</w:t>
            </w:r>
            <w:r>
              <w:rPr>
                <w:b/>
                <w:spacing w:val="-7"/>
                <w:sz w:val="26"/>
              </w:rPr>
              <w:t> </w:t>
            </w:r>
            <w:r>
              <w:rPr>
                <w:b/>
                <w:spacing w:val="-5"/>
                <w:sz w:val="26"/>
              </w:rPr>
              <w:t>DÂN</w:t>
            </w:r>
          </w:p>
          <w:p>
            <w:pPr>
              <w:pStyle w:val="TableParagraph"/>
              <w:spacing w:line="295" w:lineRule="exact" w:before="1"/>
              <w:ind w:right="162"/>
              <w:jc w:val="center"/>
              <w:rPr>
                <w:b/>
                <w:sz w:val="26"/>
              </w:rPr>
            </w:pPr>
            <w:r>
              <w:rPr>
                <w:b/>
                <w:sz w:val="26"/>
              </w:rPr>
              <w:t>TỈNH</w:t>
            </w:r>
            <w:r>
              <w:rPr>
                <w:b/>
                <w:spacing w:val="-7"/>
                <w:sz w:val="26"/>
              </w:rPr>
              <w:t> </w:t>
            </w:r>
            <w:r>
              <w:rPr>
                <w:b/>
                <w:sz w:val="26"/>
              </w:rPr>
              <w:t>LAI</w:t>
            </w:r>
            <w:r>
              <w:rPr>
                <w:b/>
                <w:spacing w:val="-7"/>
                <w:sz w:val="26"/>
              </w:rPr>
              <w:t> </w:t>
            </w:r>
            <w:r>
              <w:rPr>
                <w:b/>
                <w:spacing w:val="-4"/>
                <w:sz w:val="26"/>
              </w:rPr>
              <w:t>CHÂU</w:t>
            </w:r>
          </w:p>
        </w:tc>
        <w:tc>
          <w:tcPr>
            <w:tcW w:w="5703" w:type="dxa"/>
          </w:tcPr>
          <w:p>
            <w:pPr>
              <w:pStyle w:val="TableParagraph"/>
              <w:spacing w:line="287" w:lineRule="exact"/>
              <w:ind w:left="143" w:right="6"/>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143"/>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tc>
      </w:tr>
      <w:tr>
        <w:trPr>
          <w:trHeight w:val="706" w:hRule="atLeast"/>
        </w:trPr>
        <w:tc>
          <w:tcPr>
            <w:tcW w:w="3067" w:type="dxa"/>
          </w:tcPr>
          <w:p>
            <w:pPr>
              <w:pStyle w:val="TableParagraph"/>
              <w:spacing w:line="20" w:lineRule="exact"/>
              <w:ind w:left="992"/>
              <w:rPr>
                <w:sz w:val="2"/>
              </w:rPr>
            </w:pPr>
            <w:r>
              <w:rPr>
                <w:sz w:val="2"/>
              </w:rPr>
              <mc:AlternateContent>
                <mc:Choice Requires="wps">
                  <w:drawing>
                    <wp:inline distT="0" distB="0" distL="0" distR="0">
                      <wp:extent cx="55626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56260" cy="9525"/>
                                <a:chExt cx="556260" cy="9525"/>
                              </a:xfrm>
                            </wpg:grpSpPr>
                            <wps:wsp>
                              <wps:cNvPr id="2" name="Graphic 2"/>
                              <wps:cNvSpPr/>
                              <wps:spPr>
                                <a:xfrm>
                                  <a:off x="0" y="4762"/>
                                  <a:ext cx="556260" cy="1270"/>
                                </a:xfrm>
                                <a:custGeom>
                                  <a:avLst/>
                                  <a:gdLst/>
                                  <a:ahLst/>
                                  <a:cxnLst/>
                                  <a:rect l="l" t="t" r="r" b="b"/>
                                  <a:pathLst>
                                    <a:path w="556260" h="0">
                                      <a:moveTo>
                                        <a:pt x="0" y="0"/>
                                      </a:moveTo>
                                      <a:lnTo>
                                        <a:pt x="55626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8pt;height:.75pt;mso-position-horizontal-relative:char;mso-position-vertical-relative:line" id="docshapegroup1" coordorigin="0,0" coordsize="876,15">
                      <v:line style="position:absolute" from="0,8" to="876,8" stroked="true" strokeweight=".75pt" strokecolor="#000000">
                        <v:stroke dashstyle="solid"/>
                      </v:line>
                    </v:group>
                  </w:pict>
                </mc:Fallback>
              </mc:AlternateContent>
            </w:r>
            <w:r>
              <w:rPr>
                <w:sz w:val="2"/>
              </w:rPr>
            </w:r>
          </w:p>
          <w:p>
            <w:pPr>
              <w:pStyle w:val="TableParagraph"/>
              <w:spacing w:before="100"/>
              <w:rPr>
                <w:sz w:val="26"/>
              </w:rPr>
            </w:pPr>
          </w:p>
          <w:p>
            <w:pPr>
              <w:pStyle w:val="TableParagraph"/>
              <w:ind w:left="179"/>
              <w:rPr>
                <w:sz w:val="26"/>
              </w:rPr>
            </w:pPr>
            <w:r>
              <w:rPr>
                <w:spacing w:val="-2"/>
                <w:sz w:val="26"/>
              </w:rPr>
              <w:t>Số:</w:t>
            </w:r>
            <w:r>
              <w:rPr>
                <w:spacing w:val="8"/>
                <w:sz w:val="26"/>
              </w:rPr>
              <w:t> </w:t>
            </w:r>
            <w:r>
              <w:rPr>
                <w:spacing w:val="-2"/>
                <w:sz w:val="26"/>
              </w:rPr>
              <w:t>22/2026/NQ-</w:t>
            </w:r>
            <w:r>
              <w:rPr>
                <w:spacing w:val="-4"/>
                <w:sz w:val="26"/>
              </w:rPr>
              <w:t>HĐND</w:t>
            </w:r>
          </w:p>
        </w:tc>
        <w:tc>
          <w:tcPr>
            <w:tcW w:w="5703" w:type="dxa"/>
          </w:tcPr>
          <w:p>
            <w:pPr>
              <w:pStyle w:val="TableParagraph"/>
              <w:spacing w:line="20" w:lineRule="exact"/>
              <w:ind w:left="1227"/>
              <w:rPr>
                <w:sz w:val="2"/>
              </w:rPr>
            </w:pPr>
            <w:r>
              <w:rPr>
                <w:sz w:val="2"/>
              </w:rPr>
              <mc:AlternateContent>
                <mc:Choice Requires="wps">
                  <w:drawing>
                    <wp:inline distT="0" distB="0" distL="0" distR="0">
                      <wp:extent cx="213360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33600" cy="9525"/>
                                <a:chExt cx="2133600" cy="9525"/>
                              </a:xfrm>
                            </wpg:grpSpPr>
                            <wps:wsp>
                              <wps:cNvPr id="4" name="Graphic 4"/>
                              <wps:cNvSpPr/>
                              <wps:spPr>
                                <a:xfrm>
                                  <a:off x="0" y="4762"/>
                                  <a:ext cx="2133600" cy="1270"/>
                                </a:xfrm>
                                <a:custGeom>
                                  <a:avLst/>
                                  <a:gdLst/>
                                  <a:ahLst/>
                                  <a:cxnLst/>
                                  <a:rect l="l" t="t" r="r" b="b"/>
                                  <a:pathLst>
                                    <a:path w="2133600" h="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pt;height:.75pt;mso-position-horizontal-relative:char;mso-position-vertical-relative:line" id="docshapegroup2" coordorigin="0,0" coordsize="3360,15">
                      <v:line style="position:absolute" from="0,8" to="3360,8" stroked="true" strokeweight=".75pt" strokecolor="#000000">
                        <v:stroke dashstyle="solid"/>
                      </v:line>
                    </v:group>
                  </w:pict>
                </mc:Fallback>
              </mc:AlternateContent>
            </w:r>
            <w:r>
              <w:rPr>
                <w:sz w:val="2"/>
              </w:rPr>
            </w:r>
          </w:p>
          <w:p>
            <w:pPr>
              <w:pStyle w:val="TableParagraph"/>
              <w:spacing w:before="42"/>
              <w:rPr>
                <w:sz w:val="28"/>
              </w:rPr>
            </w:pPr>
          </w:p>
          <w:p>
            <w:pPr>
              <w:pStyle w:val="TableParagraph"/>
              <w:spacing w:line="302" w:lineRule="exact" w:before="1"/>
              <w:ind w:left="1464"/>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17</w:t>
            </w:r>
            <w:r>
              <w:rPr>
                <w:i/>
                <w:spacing w:val="-4"/>
                <w:sz w:val="28"/>
              </w:rPr>
              <w:t> </w:t>
            </w:r>
            <w:r>
              <w:rPr>
                <w:i/>
                <w:sz w:val="28"/>
              </w:rPr>
              <w:t>tháng</w:t>
            </w:r>
            <w:r>
              <w:rPr>
                <w:i/>
                <w:spacing w:val="-1"/>
                <w:sz w:val="28"/>
              </w:rPr>
              <w:t> </w:t>
            </w:r>
            <w:r>
              <w:rPr>
                <w:i/>
                <w:sz w:val="28"/>
              </w:rPr>
              <w:t>6</w:t>
            </w:r>
            <w:r>
              <w:rPr>
                <w:i/>
                <w:spacing w:val="-4"/>
                <w:sz w:val="28"/>
              </w:rPr>
              <w:t> </w:t>
            </w:r>
            <w:r>
              <w:rPr>
                <w:i/>
                <w:sz w:val="28"/>
              </w:rPr>
              <w:t>năm</w:t>
            </w:r>
            <w:r>
              <w:rPr>
                <w:i/>
                <w:spacing w:val="-2"/>
                <w:sz w:val="28"/>
              </w:rPr>
              <w:t> </w:t>
            </w:r>
            <w:r>
              <w:rPr>
                <w:i/>
                <w:spacing w:val="-4"/>
                <w:sz w:val="28"/>
              </w:rPr>
              <w:t>2026</w:t>
            </w:r>
          </w:p>
        </w:tc>
      </w:tr>
    </w:tbl>
    <w:p>
      <w:pPr>
        <w:pStyle w:val="BodyText"/>
        <w:spacing w:before="70"/>
        <w:jc w:val="left"/>
        <w:rPr>
          <w:i w:val="0"/>
        </w:rPr>
      </w:pPr>
    </w:p>
    <w:p>
      <w:pPr>
        <w:spacing w:line="322" w:lineRule="exact" w:before="0"/>
        <w:ind w:left="3" w:right="0" w:firstLine="0"/>
        <w:jc w:val="center"/>
        <w:rPr>
          <w:b/>
          <w:sz w:val="28"/>
        </w:rPr>
      </w:pPr>
      <w:r>
        <w:rPr>
          <w:b/>
          <w:sz w:val="28"/>
        </w:rPr>
        <w:t>NGHỊ</w:t>
      </w:r>
      <w:r>
        <w:rPr>
          <w:b/>
          <w:spacing w:val="-3"/>
          <w:sz w:val="28"/>
        </w:rPr>
        <w:t> </w:t>
      </w:r>
      <w:r>
        <w:rPr>
          <w:b/>
          <w:spacing w:val="-2"/>
          <w:sz w:val="28"/>
        </w:rPr>
        <w:t>QUYẾT</w:t>
      </w:r>
    </w:p>
    <w:p>
      <w:pPr>
        <w:spacing w:before="0"/>
        <w:ind w:left="284" w:right="251" w:firstLine="357"/>
        <w:jc w:val="left"/>
        <w:rPr>
          <w:b/>
          <w:sz w:val="28"/>
        </w:rPr>
      </w:pPr>
      <w:r>
        <w:rPr>
          <w:b/>
          <w:sz w:val="28"/>
        </w:rPr>
        <w:t>Bãi bỏ Nghị quyết số 44/2024/NQ-HĐND ngày 30 tháng 9 năm 2024 của</w:t>
      </w:r>
      <w:r>
        <w:rPr>
          <w:b/>
          <w:spacing w:val="-1"/>
          <w:sz w:val="28"/>
        </w:rPr>
        <w:t> </w:t>
      </w:r>
      <w:r>
        <w:rPr>
          <w:b/>
          <w:sz w:val="28"/>
        </w:rPr>
        <w:t>Hội</w:t>
      </w:r>
      <w:r>
        <w:rPr>
          <w:b/>
          <w:spacing w:val="-1"/>
          <w:sz w:val="28"/>
        </w:rPr>
        <w:t> </w:t>
      </w:r>
      <w:r>
        <w:rPr>
          <w:b/>
          <w:sz w:val="28"/>
        </w:rPr>
        <w:t>đồng</w:t>
      </w:r>
      <w:r>
        <w:rPr>
          <w:b/>
          <w:spacing w:val="-1"/>
          <w:sz w:val="28"/>
        </w:rPr>
        <w:t> </w:t>
      </w:r>
      <w:r>
        <w:rPr>
          <w:b/>
          <w:sz w:val="28"/>
        </w:rPr>
        <w:t>nhân</w:t>
      </w:r>
      <w:r>
        <w:rPr>
          <w:b/>
          <w:spacing w:val="-2"/>
          <w:sz w:val="28"/>
        </w:rPr>
        <w:t> </w:t>
      </w:r>
      <w:r>
        <w:rPr>
          <w:b/>
          <w:sz w:val="28"/>
        </w:rPr>
        <w:t>dân</w:t>
      </w:r>
      <w:r>
        <w:rPr>
          <w:b/>
          <w:spacing w:val="-2"/>
          <w:sz w:val="28"/>
        </w:rPr>
        <w:t> </w:t>
      </w:r>
      <w:r>
        <w:rPr>
          <w:b/>
          <w:sz w:val="28"/>
        </w:rPr>
        <w:t>tỉnh</w:t>
      </w:r>
      <w:r>
        <w:rPr>
          <w:b/>
          <w:spacing w:val="-2"/>
          <w:sz w:val="28"/>
        </w:rPr>
        <w:t> </w:t>
      </w:r>
      <w:r>
        <w:rPr>
          <w:b/>
          <w:sz w:val="28"/>
        </w:rPr>
        <w:t>quy</w:t>
      </w:r>
      <w:r>
        <w:rPr>
          <w:b/>
          <w:spacing w:val="-1"/>
          <w:sz w:val="28"/>
        </w:rPr>
        <w:t> </w:t>
      </w:r>
      <w:r>
        <w:rPr>
          <w:b/>
          <w:sz w:val="28"/>
        </w:rPr>
        <w:t>định</w:t>
      </w:r>
      <w:r>
        <w:rPr>
          <w:b/>
          <w:spacing w:val="-3"/>
          <w:sz w:val="28"/>
        </w:rPr>
        <w:t> </w:t>
      </w:r>
      <w:r>
        <w:rPr>
          <w:b/>
          <w:sz w:val="28"/>
        </w:rPr>
        <w:t>thẩm</w:t>
      </w:r>
      <w:r>
        <w:rPr>
          <w:b/>
          <w:spacing w:val="-6"/>
          <w:sz w:val="28"/>
        </w:rPr>
        <w:t> </w:t>
      </w:r>
      <w:r>
        <w:rPr>
          <w:b/>
          <w:sz w:val="28"/>
        </w:rPr>
        <w:t>quyền</w:t>
      </w:r>
      <w:r>
        <w:rPr>
          <w:b/>
          <w:spacing w:val="-2"/>
          <w:sz w:val="28"/>
        </w:rPr>
        <w:t> </w:t>
      </w:r>
      <w:r>
        <w:rPr>
          <w:b/>
          <w:sz w:val="28"/>
        </w:rPr>
        <w:t>quyết</w:t>
      </w:r>
      <w:r>
        <w:rPr>
          <w:b/>
          <w:spacing w:val="-2"/>
          <w:sz w:val="28"/>
        </w:rPr>
        <w:t> </w:t>
      </w:r>
      <w:r>
        <w:rPr>
          <w:b/>
          <w:sz w:val="28"/>
        </w:rPr>
        <w:t>định</w:t>
      </w:r>
      <w:r>
        <w:rPr>
          <w:b/>
          <w:spacing w:val="-3"/>
          <w:sz w:val="28"/>
        </w:rPr>
        <w:t> </w:t>
      </w:r>
      <w:r>
        <w:rPr>
          <w:b/>
          <w:sz w:val="28"/>
        </w:rPr>
        <w:t>việc</w:t>
      </w:r>
      <w:r>
        <w:rPr>
          <w:b/>
          <w:spacing w:val="-2"/>
          <w:sz w:val="28"/>
        </w:rPr>
        <w:t> </w:t>
      </w:r>
      <w:r>
        <w:rPr>
          <w:b/>
          <w:sz w:val="28"/>
        </w:rPr>
        <w:t>đầu</w:t>
      </w:r>
      <w:r>
        <w:rPr>
          <w:b/>
          <w:spacing w:val="-2"/>
          <w:sz w:val="28"/>
        </w:rPr>
        <w:t> </w:t>
      </w:r>
      <w:r>
        <w:rPr>
          <w:b/>
          <w:sz w:val="28"/>
        </w:rPr>
        <w:t>tư, mua sắm các hoạt động ứng dụng công nghệ thông tin sử dụng kinh phí</w:t>
      </w:r>
    </w:p>
    <w:p>
      <w:pPr>
        <w:spacing w:before="1"/>
        <w:ind w:left="2589" w:right="757" w:hanging="1213"/>
        <w:jc w:val="left"/>
        <w:rPr>
          <w:b/>
          <w:sz w:val="28"/>
        </w:rPr>
      </w:pPr>
      <w:r>
        <w:rPr>
          <w:b/>
          <w:sz w:val="28"/>
        </w:rPr>
        <w:t>chi</w:t>
      </w:r>
      <w:r>
        <w:rPr>
          <w:b/>
          <w:spacing w:val="-3"/>
          <w:sz w:val="28"/>
        </w:rPr>
        <w:t> </w:t>
      </w:r>
      <w:r>
        <w:rPr>
          <w:b/>
          <w:sz w:val="28"/>
        </w:rPr>
        <w:t>thường</w:t>
      </w:r>
      <w:r>
        <w:rPr>
          <w:b/>
          <w:spacing w:val="-7"/>
          <w:sz w:val="28"/>
        </w:rPr>
        <w:t> </w:t>
      </w:r>
      <w:r>
        <w:rPr>
          <w:b/>
          <w:sz w:val="28"/>
        </w:rPr>
        <w:t>xuyên</w:t>
      </w:r>
      <w:r>
        <w:rPr>
          <w:b/>
          <w:spacing w:val="-4"/>
          <w:sz w:val="28"/>
        </w:rPr>
        <w:t> </w:t>
      </w:r>
      <w:r>
        <w:rPr>
          <w:b/>
          <w:sz w:val="28"/>
        </w:rPr>
        <w:t>nguồn</w:t>
      </w:r>
      <w:r>
        <w:rPr>
          <w:b/>
          <w:spacing w:val="-4"/>
          <w:sz w:val="28"/>
        </w:rPr>
        <w:t> </w:t>
      </w:r>
      <w:r>
        <w:rPr>
          <w:b/>
          <w:sz w:val="28"/>
        </w:rPr>
        <w:t>vốn</w:t>
      </w:r>
      <w:r>
        <w:rPr>
          <w:b/>
          <w:spacing w:val="-4"/>
          <w:sz w:val="28"/>
        </w:rPr>
        <w:t> </w:t>
      </w:r>
      <w:r>
        <w:rPr>
          <w:b/>
          <w:sz w:val="28"/>
        </w:rPr>
        <w:t>ngân</w:t>
      </w:r>
      <w:r>
        <w:rPr>
          <w:b/>
          <w:spacing w:val="-4"/>
          <w:sz w:val="28"/>
        </w:rPr>
        <w:t> </w:t>
      </w:r>
      <w:r>
        <w:rPr>
          <w:b/>
          <w:sz w:val="28"/>
        </w:rPr>
        <w:t>sách</w:t>
      </w:r>
      <w:r>
        <w:rPr>
          <w:b/>
          <w:spacing w:val="-4"/>
          <w:sz w:val="28"/>
        </w:rPr>
        <w:t> </w:t>
      </w:r>
      <w:r>
        <w:rPr>
          <w:b/>
          <w:sz w:val="28"/>
        </w:rPr>
        <w:t>nhà</w:t>
      </w:r>
      <w:r>
        <w:rPr>
          <w:b/>
          <w:spacing w:val="-3"/>
          <w:sz w:val="28"/>
        </w:rPr>
        <w:t> </w:t>
      </w:r>
      <w:r>
        <w:rPr>
          <w:b/>
          <w:sz w:val="28"/>
        </w:rPr>
        <w:t>nước</w:t>
      </w:r>
      <w:r>
        <w:rPr>
          <w:b/>
          <w:spacing w:val="-4"/>
          <w:sz w:val="28"/>
        </w:rPr>
        <w:t> </w:t>
      </w:r>
      <w:r>
        <w:rPr>
          <w:b/>
          <w:sz w:val="28"/>
        </w:rPr>
        <w:t>thuộc phạm vi quản lý của tỉnh Lai Châu</w:t>
      </w:r>
    </w:p>
    <w:p>
      <w:pPr>
        <w:pStyle w:val="BodyText"/>
        <w:spacing w:before="0"/>
        <w:jc w:val="left"/>
        <w:rPr>
          <w:b/>
          <w:i w:val="0"/>
          <w:sz w:val="4"/>
        </w:rPr>
      </w:pPr>
      <w:r>
        <w:rPr>
          <w:b/>
          <w:i w:val="0"/>
          <w:sz w:val="4"/>
        </w:rPr>
        <mc:AlternateContent>
          <mc:Choice Requires="wps">
            <w:drawing>
              <wp:anchor distT="0" distB="0" distL="0" distR="0" allowOverlap="1" layoutInCell="1" locked="0" behindDoc="1" simplePos="0" relativeHeight="487588864">
                <wp:simplePos x="0" y="0"/>
                <wp:positionH relativeFrom="page">
                  <wp:posOffset>3230879</wp:posOffset>
                </wp:positionH>
                <wp:positionV relativeFrom="paragraph">
                  <wp:posOffset>45071</wp:posOffset>
                </wp:positionV>
                <wp:extent cx="14573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457325" cy="1270"/>
                        </a:xfrm>
                        <a:custGeom>
                          <a:avLst/>
                          <a:gdLst/>
                          <a:ahLst/>
                          <a:cxnLst/>
                          <a:rect l="l" t="t" r="r" b="b"/>
                          <a:pathLst>
                            <a:path w="1457325" h="0">
                              <a:moveTo>
                                <a:pt x="0" y="0"/>
                              </a:moveTo>
                              <a:lnTo>
                                <a:pt x="145732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4.399994pt;margin-top:3.548976pt;width:114.75pt;height:.1pt;mso-position-horizontal-relative:page;mso-position-vertical-relative:paragraph;z-index:-15727616;mso-wrap-distance-left:0;mso-wrap-distance-right:0" id="docshape3" coordorigin="5088,71" coordsize="2295,0" path="m5088,71l7383,71e" filled="false" stroked="true" strokeweight=".75pt" strokecolor="#000000">
                <v:path arrowok="t"/>
                <v:stroke dashstyle="solid"/>
                <w10:wrap type="topAndBottom"/>
              </v:shape>
            </w:pict>
          </mc:Fallback>
        </mc:AlternateContent>
      </w:r>
    </w:p>
    <w:p>
      <w:pPr>
        <w:pStyle w:val="BodyText"/>
        <w:spacing w:before="98"/>
        <w:jc w:val="left"/>
        <w:rPr>
          <w:b/>
          <w:i w:val="0"/>
        </w:rPr>
      </w:pPr>
    </w:p>
    <w:p>
      <w:pPr>
        <w:pStyle w:val="BodyText"/>
        <w:spacing w:before="1"/>
        <w:ind w:left="851"/>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5"/>
        </w:rPr>
        <w:t> </w:t>
      </w:r>
      <w:r>
        <w:rPr/>
        <w:t>địa</w:t>
      </w:r>
      <w:r>
        <w:rPr>
          <w:spacing w:val="-2"/>
        </w:rPr>
        <w:t> </w:t>
      </w:r>
      <w:r>
        <w:rPr/>
        <w:t>phương</w:t>
      </w:r>
      <w:r>
        <w:rPr>
          <w:spacing w:val="-1"/>
        </w:rPr>
        <w:t> </w:t>
      </w:r>
      <w:r>
        <w:rPr/>
        <w:t>số</w:t>
      </w:r>
      <w:r>
        <w:rPr>
          <w:spacing w:val="-4"/>
        </w:rPr>
        <w:t> </w:t>
      </w:r>
      <w:r>
        <w:rPr>
          <w:spacing w:val="-2"/>
        </w:rPr>
        <w:t>72/2025/QH15;</w:t>
      </w:r>
    </w:p>
    <w:p>
      <w:pPr>
        <w:pStyle w:val="BodyText"/>
        <w:spacing w:line="288" w:lineRule="auto" w:before="124"/>
        <w:ind w:left="143" w:right="279" w:firstLine="707"/>
      </w:pPr>
      <w:r>
        <w:rPr/>
        <w:t>Căn cứ Luật Ban hành văn bản quy phạm pháp luật số 64/2025/QH15 được sửa đổi, bổ sung bởi Luật số 87/2025/QH15;</w:t>
      </w:r>
    </w:p>
    <w:p>
      <w:pPr>
        <w:pStyle w:val="BodyText"/>
        <w:spacing w:before="60"/>
        <w:ind w:left="851"/>
      </w:pPr>
      <w:r>
        <w:rPr/>
        <w:t>Căn</w:t>
      </w:r>
      <w:r>
        <w:rPr>
          <w:spacing w:val="-5"/>
        </w:rPr>
        <w:t> </w:t>
      </w:r>
      <w:r>
        <w:rPr/>
        <w:t>cứ</w:t>
      </w:r>
      <w:r>
        <w:rPr>
          <w:spacing w:val="-4"/>
        </w:rPr>
        <w:t> </w:t>
      </w:r>
      <w:r>
        <w:rPr/>
        <w:t>Luật</w:t>
      </w:r>
      <w:r>
        <w:rPr>
          <w:spacing w:val="-1"/>
        </w:rPr>
        <w:t> </w:t>
      </w:r>
      <w:r>
        <w:rPr/>
        <w:t>Công</w:t>
      </w:r>
      <w:r>
        <w:rPr>
          <w:spacing w:val="-3"/>
        </w:rPr>
        <w:t> </w:t>
      </w:r>
      <w:r>
        <w:rPr/>
        <w:t>nghệ</w:t>
      </w:r>
      <w:r>
        <w:rPr>
          <w:spacing w:val="-4"/>
        </w:rPr>
        <w:t> </w:t>
      </w:r>
      <w:r>
        <w:rPr/>
        <w:t>thông</w:t>
      </w:r>
      <w:r>
        <w:rPr>
          <w:spacing w:val="-2"/>
        </w:rPr>
        <w:t> </w:t>
      </w:r>
      <w:r>
        <w:rPr/>
        <w:t>tin</w:t>
      </w:r>
      <w:r>
        <w:rPr>
          <w:spacing w:val="-2"/>
        </w:rPr>
        <w:t> </w:t>
      </w:r>
      <w:r>
        <w:rPr/>
        <w:t>số</w:t>
      </w:r>
      <w:r>
        <w:rPr>
          <w:spacing w:val="-2"/>
        </w:rPr>
        <w:t> 67/2006/QH15;</w:t>
      </w:r>
    </w:p>
    <w:p>
      <w:pPr>
        <w:pStyle w:val="BodyText"/>
        <w:spacing w:line="288" w:lineRule="auto" w:before="125"/>
        <w:ind w:left="143" w:right="135" w:firstLine="707"/>
      </w:pPr>
      <w:r>
        <w:rPr/>
        <w:t>Căn cứ Nghị định số 78/2025/NĐ-CP ngày 01 tháng 4 năm 2025 của Chính phủ quy định chi tiết một số điều và biện pháp để tổ chức, hướng dẫn thi hành Luật Ban hành văn bản quy</w:t>
      </w:r>
      <w:r>
        <w:rPr>
          <w:spacing w:val="-1"/>
        </w:rPr>
        <w:t> </w:t>
      </w:r>
      <w:r>
        <w:rPr/>
        <w:t>phạm</w:t>
      </w:r>
      <w:r>
        <w:rPr>
          <w:spacing w:val="-2"/>
        </w:rPr>
        <w:t> </w:t>
      </w:r>
      <w:r>
        <w:rPr/>
        <w:t>pháp luật,</w:t>
      </w:r>
      <w:r>
        <w:rPr>
          <w:spacing w:val="-1"/>
        </w:rPr>
        <w:t> </w:t>
      </w:r>
      <w:r>
        <w:rPr/>
        <w:t>Nghị định số 79/2025/NĐ-CP ngày 01 tháng 4 năm 2025 của Chính phủ về kiểm tra, rà soát, hệ thống hóa và xử lý văn bản quy phạm pháp luật được sửa đổi, bổ sung bởi Nghị định số 187/2025/NĐ-CP ngày 01 tháng 7 năm 2025;</w:t>
      </w:r>
    </w:p>
    <w:p>
      <w:pPr>
        <w:pStyle w:val="BodyText"/>
        <w:spacing w:line="288" w:lineRule="auto"/>
        <w:ind w:left="143" w:right="139" w:firstLine="707"/>
      </w:pPr>
      <w:r>
        <w:rPr/>
        <w:t>Căn cứ Nghị định số 45/2026/NĐ-CP ngày 26 tháng 01 năm 2026 của Chính phủ quy định quản lý đầu tư ứng dụng công nghệ thông tin sử dụng</w:t>
      </w:r>
      <w:r>
        <w:rPr>
          <w:spacing w:val="80"/>
        </w:rPr>
        <w:t> </w:t>
      </w:r>
      <w:r>
        <w:rPr/>
        <w:t>nguồn vốn ngân sách nhà nước;</w:t>
      </w:r>
    </w:p>
    <w:p>
      <w:pPr>
        <w:pStyle w:val="BodyText"/>
        <w:spacing w:line="288" w:lineRule="auto"/>
        <w:ind w:left="143" w:right="136" w:firstLine="707"/>
      </w:pPr>
      <w:r>
        <w:rPr/>
        <w:t>Xét Tờ trình số 4326/TTr-UBND ngày 29 tháng 5 năm 2026 của Ủy ban nhân dân tỉnh về đề nghị ban hành Nghị quyết bãi bỏ Nghị quyết số 44/2024/NQ-HĐND</w:t>
      </w:r>
      <w:r>
        <w:rPr>
          <w:spacing w:val="-3"/>
        </w:rPr>
        <w:t> </w:t>
      </w:r>
      <w:r>
        <w:rPr/>
        <w:t>ngày</w:t>
      </w:r>
      <w:r>
        <w:rPr>
          <w:spacing w:val="-2"/>
        </w:rPr>
        <w:t> </w:t>
      </w:r>
      <w:r>
        <w:rPr/>
        <w:t>30</w:t>
      </w:r>
      <w:r>
        <w:rPr>
          <w:spacing w:val="-1"/>
        </w:rPr>
        <w:t> </w:t>
      </w:r>
      <w:r>
        <w:rPr/>
        <w:t>tháng 9</w:t>
      </w:r>
      <w:r>
        <w:rPr>
          <w:spacing w:val="-1"/>
        </w:rPr>
        <w:t> </w:t>
      </w:r>
      <w:r>
        <w:rPr/>
        <w:t>năm</w:t>
      </w:r>
      <w:r>
        <w:rPr>
          <w:spacing w:val="-2"/>
        </w:rPr>
        <w:t> </w:t>
      </w:r>
      <w:r>
        <w:rPr/>
        <w:t>2024 của Hội</w:t>
      </w:r>
      <w:r>
        <w:rPr>
          <w:spacing w:val="-1"/>
        </w:rPr>
        <w:t> </w:t>
      </w:r>
      <w:r>
        <w:rPr/>
        <w:t>đồng nhân</w:t>
      </w:r>
      <w:r>
        <w:rPr>
          <w:spacing w:val="-1"/>
        </w:rPr>
        <w:t> </w:t>
      </w:r>
      <w:r>
        <w:rPr/>
        <w:t>dân tỉnh</w:t>
      </w:r>
      <w:r>
        <w:rPr>
          <w:spacing w:val="-1"/>
        </w:rPr>
        <w:t> </w:t>
      </w:r>
      <w:r>
        <w:rPr/>
        <w:t>ban hành quy định thẩm quyền quyết định việc đầu tư, mua sắm các hoạt động ứng dụng công nghệ thông tin sử dụng kinh phí chi thường xuyên nguồn vốn ngân sách nhà nước thuộc phạm vi quản lý của tỉnh Lai Châu; Báo cáo thẩm tra số 433/BC-HĐND ngày 14 tháng 6 năm 2026 của Ban Văn hóa - Xã hội Hội đồng nhân dân tỉnh; ý kiến thảo luận của đại biểu Hội đồng nhân dân tỉnh tại kỳ họp;</w:t>
      </w:r>
    </w:p>
    <w:p>
      <w:pPr>
        <w:pStyle w:val="BodyText"/>
        <w:spacing w:line="288" w:lineRule="auto"/>
        <w:ind w:left="143" w:right="131" w:firstLine="707"/>
      </w:pPr>
      <w:r>
        <w:rPr/>
        <w:t>Hội</w:t>
      </w:r>
      <w:r>
        <w:rPr>
          <w:spacing w:val="-14"/>
        </w:rPr>
        <w:t> </w:t>
      </w:r>
      <w:r>
        <w:rPr/>
        <w:t>đồng</w:t>
      </w:r>
      <w:r>
        <w:rPr>
          <w:spacing w:val="-14"/>
        </w:rPr>
        <w:t> </w:t>
      </w:r>
      <w:r>
        <w:rPr/>
        <w:t>nhân</w:t>
      </w:r>
      <w:r>
        <w:rPr>
          <w:spacing w:val="-14"/>
        </w:rPr>
        <w:t> </w:t>
      </w:r>
      <w:r>
        <w:rPr/>
        <w:t>dân</w:t>
      </w:r>
      <w:r>
        <w:rPr>
          <w:spacing w:val="-14"/>
        </w:rPr>
        <w:t> </w:t>
      </w:r>
      <w:r>
        <w:rPr/>
        <w:t>ban</w:t>
      </w:r>
      <w:r>
        <w:rPr>
          <w:spacing w:val="-14"/>
        </w:rPr>
        <w:t> </w:t>
      </w:r>
      <w:r>
        <w:rPr/>
        <w:t>hành</w:t>
      </w:r>
      <w:r>
        <w:rPr>
          <w:spacing w:val="-12"/>
        </w:rPr>
        <w:t> </w:t>
      </w:r>
      <w:r>
        <w:rPr/>
        <w:t>Nghị</w:t>
      </w:r>
      <w:r>
        <w:rPr>
          <w:spacing w:val="-14"/>
        </w:rPr>
        <w:t> </w:t>
      </w:r>
      <w:r>
        <w:rPr/>
        <w:t>quyết</w:t>
      </w:r>
      <w:r>
        <w:rPr>
          <w:spacing w:val="-13"/>
        </w:rPr>
        <w:t> </w:t>
      </w:r>
      <w:r>
        <w:rPr/>
        <w:t>bãi</w:t>
      </w:r>
      <w:r>
        <w:rPr>
          <w:spacing w:val="-14"/>
        </w:rPr>
        <w:t> </w:t>
      </w:r>
      <w:r>
        <w:rPr/>
        <w:t>bỏ</w:t>
      </w:r>
      <w:r>
        <w:rPr>
          <w:spacing w:val="-14"/>
        </w:rPr>
        <w:t> </w:t>
      </w:r>
      <w:r>
        <w:rPr/>
        <w:t>Nghị</w:t>
      </w:r>
      <w:r>
        <w:rPr>
          <w:spacing w:val="-14"/>
        </w:rPr>
        <w:t> </w:t>
      </w:r>
      <w:r>
        <w:rPr/>
        <w:t>quyết</w:t>
      </w:r>
      <w:r>
        <w:rPr>
          <w:spacing w:val="-18"/>
        </w:rPr>
        <w:t> </w:t>
      </w:r>
      <w:r>
        <w:rPr/>
        <w:t>số</w:t>
      </w:r>
      <w:r>
        <w:rPr>
          <w:spacing w:val="-14"/>
        </w:rPr>
        <w:t> </w:t>
      </w:r>
      <w:r>
        <w:rPr/>
        <w:t>44/2024/NQ-HĐND ngày 30 tháng 9 năm 2024 của Hội đồng nhân dân tỉnh quy định thẩm quyền quyết định việc đầu tư, mua sắm các hoạt động ứng dụng công nghệ</w:t>
      </w:r>
      <w:r>
        <w:rPr>
          <w:spacing w:val="40"/>
        </w:rPr>
        <w:t> </w:t>
      </w:r>
      <w:r>
        <w:rPr/>
        <w:t>thông tin sử dụng kinh phí chi thường xuyên nguồn vốn ngân sách nhà nước thuộc phạm vi quản lý của tỉnh Lai Châu.</w:t>
      </w:r>
    </w:p>
    <w:p>
      <w:pPr>
        <w:pStyle w:val="BodyText"/>
        <w:spacing w:after="0" w:line="288" w:lineRule="auto"/>
        <w:sectPr>
          <w:type w:val="continuous"/>
          <w:pgSz w:w="11910" w:h="16840"/>
          <w:pgMar w:top="1220" w:bottom="280" w:left="1559" w:right="992"/>
        </w:sectPr>
      </w:pPr>
    </w:p>
    <w:p>
      <w:pPr>
        <w:spacing w:before="73"/>
        <w:ind w:left="4" w:right="0" w:firstLine="0"/>
        <w:jc w:val="center"/>
        <w:rPr>
          <w:sz w:val="24"/>
        </w:rPr>
      </w:pPr>
      <w:r>
        <w:rPr>
          <w:spacing w:val="-10"/>
          <w:sz w:val="24"/>
        </w:rPr>
        <w:t>2</w:t>
      </w:r>
    </w:p>
    <w:p>
      <w:pPr>
        <w:pStyle w:val="BodyText"/>
        <w:spacing w:before="4"/>
        <w:jc w:val="left"/>
        <w:rPr>
          <w:i w:val="0"/>
          <w:sz w:val="24"/>
        </w:rPr>
      </w:pPr>
    </w:p>
    <w:p>
      <w:pPr>
        <w:spacing w:line="288" w:lineRule="auto" w:before="0"/>
        <w:ind w:left="143" w:right="137" w:firstLine="707"/>
        <w:jc w:val="both"/>
        <w:rPr>
          <w:rFonts w:ascii="Calibri" w:hAnsi="Calibri"/>
          <w:b/>
          <w:sz w:val="28"/>
        </w:rPr>
      </w:pPr>
      <w:r>
        <w:rPr>
          <w:b/>
          <w:sz w:val="28"/>
        </w:rPr>
        <w:t>Điều 1. Bãi bỏ toàn bộ Nghị quyết số 44/2024/NQ-HĐND ngày 30 tháng 9 năm 2024 của Hội đồng nhân dân tỉnh quy định thẩm quyền quyết định việc đầu tư, mua sắm các hoạt động ứng dụng công nghệ thông tin sử dụng kinh phí chi thường xuyên nguồn vốn ngân sách nhà nước thuộc</w:t>
      </w:r>
      <w:r>
        <w:rPr>
          <w:b/>
          <w:spacing w:val="40"/>
          <w:sz w:val="28"/>
        </w:rPr>
        <w:t> </w:t>
      </w:r>
      <w:r>
        <w:rPr>
          <w:b/>
          <w:sz w:val="28"/>
        </w:rPr>
        <w:t>phạm vi quản lý của tỉnh Lai Châu</w:t>
      </w:r>
      <w:r>
        <w:rPr>
          <w:rFonts w:ascii="Calibri" w:hAnsi="Calibri"/>
          <w:b/>
          <w:sz w:val="28"/>
        </w:rPr>
        <w:t>.</w:t>
      </w:r>
    </w:p>
    <w:p>
      <w:pPr>
        <w:spacing w:before="58"/>
        <w:ind w:left="851" w:right="0" w:firstLine="0"/>
        <w:jc w:val="both"/>
        <w:rPr>
          <w:b/>
          <w:sz w:val="28"/>
        </w:rPr>
      </w:pPr>
      <w:r>
        <w:rPr>
          <w:b/>
          <w:sz w:val="28"/>
        </w:rPr>
        <w:t>Điều</w:t>
      </w:r>
      <w:r>
        <w:rPr>
          <w:b/>
          <w:spacing w:val="-4"/>
          <w:sz w:val="28"/>
        </w:rPr>
        <w:t> </w:t>
      </w:r>
      <w:r>
        <w:rPr>
          <w:b/>
          <w:sz w:val="28"/>
        </w:rPr>
        <w:t>2.</w:t>
      </w:r>
      <w:r>
        <w:rPr>
          <w:b/>
          <w:spacing w:val="-3"/>
          <w:sz w:val="28"/>
        </w:rPr>
        <w:t> </w:t>
      </w:r>
      <w:r>
        <w:rPr>
          <w:b/>
          <w:sz w:val="28"/>
        </w:rPr>
        <w:t>Điều</w:t>
      </w:r>
      <w:r>
        <w:rPr>
          <w:b/>
          <w:spacing w:val="-3"/>
          <w:sz w:val="28"/>
        </w:rPr>
        <w:t> </w:t>
      </w:r>
      <w:r>
        <w:rPr>
          <w:b/>
          <w:sz w:val="28"/>
        </w:rPr>
        <w:t>khoản</w:t>
      </w:r>
      <w:r>
        <w:rPr>
          <w:b/>
          <w:spacing w:val="-3"/>
          <w:sz w:val="28"/>
        </w:rPr>
        <w:t> </w:t>
      </w:r>
      <w:r>
        <w:rPr>
          <w:b/>
          <w:sz w:val="28"/>
        </w:rPr>
        <w:t>thi</w:t>
      </w:r>
      <w:r>
        <w:rPr>
          <w:b/>
          <w:spacing w:val="-2"/>
          <w:sz w:val="28"/>
        </w:rPr>
        <w:t> </w:t>
      </w:r>
      <w:r>
        <w:rPr>
          <w:b/>
          <w:spacing w:val="-4"/>
          <w:sz w:val="28"/>
        </w:rPr>
        <w:t>hành</w:t>
      </w:r>
    </w:p>
    <w:p>
      <w:pPr>
        <w:pStyle w:val="Heading1"/>
      </w:pPr>
      <w:r>
        <w:rPr/>
        <w:t>Nghị</w:t>
      </w:r>
      <w:r>
        <w:rPr>
          <w:spacing w:val="-1"/>
        </w:rPr>
        <w:t> </w:t>
      </w:r>
      <w:r>
        <w:rPr/>
        <w:t>quyết</w:t>
      </w:r>
      <w:r>
        <w:rPr>
          <w:spacing w:val="-1"/>
        </w:rPr>
        <w:t> </w:t>
      </w:r>
      <w:r>
        <w:rPr/>
        <w:t>này</w:t>
      </w:r>
      <w:r>
        <w:rPr>
          <w:spacing w:val="-5"/>
        </w:rPr>
        <w:t> </w:t>
      </w:r>
      <w:r>
        <w:rPr/>
        <w:t>có</w:t>
      </w:r>
      <w:r>
        <w:rPr>
          <w:spacing w:val="-2"/>
        </w:rPr>
        <w:t> </w:t>
      </w:r>
      <w:r>
        <w:rPr/>
        <w:t>hiệu</w:t>
      </w:r>
      <w:r>
        <w:rPr>
          <w:spacing w:val="-1"/>
        </w:rPr>
        <w:t> </w:t>
      </w:r>
      <w:r>
        <w:rPr/>
        <w:t>lực</w:t>
      </w:r>
      <w:r>
        <w:rPr>
          <w:spacing w:val="-6"/>
        </w:rPr>
        <w:t> </w:t>
      </w:r>
      <w:r>
        <w:rPr/>
        <w:t>thi</w:t>
      </w:r>
      <w:r>
        <w:rPr>
          <w:spacing w:val="-1"/>
        </w:rPr>
        <w:t> </w:t>
      </w:r>
      <w:r>
        <w:rPr/>
        <w:t>hành</w:t>
      </w:r>
      <w:r>
        <w:rPr>
          <w:spacing w:val="-1"/>
        </w:rPr>
        <w:t> </w:t>
      </w:r>
      <w:r>
        <w:rPr/>
        <w:t>từ</w:t>
      </w:r>
      <w:r>
        <w:rPr>
          <w:spacing w:val="-6"/>
        </w:rPr>
        <w:t> </w:t>
      </w:r>
      <w:r>
        <w:rPr/>
        <w:t>ngày</w:t>
      </w:r>
      <w:r>
        <w:rPr>
          <w:spacing w:val="-3"/>
        </w:rPr>
        <w:t> </w:t>
      </w:r>
      <w:r>
        <w:rPr/>
        <w:t>01</w:t>
      </w:r>
      <w:r>
        <w:rPr>
          <w:spacing w:val="-1"/>
        </w:rPr>
        <w:t> </w:t>
      </w:r>
      <w:r>
        <w:rPr/>
        <w:t>tháng</w:t>
      </w:r>
      <w:r>
        <w:rPr>
          <w:spacing w:val="-5"/>
        </w:rPr>
        <w:t> </w:t>
      </w:r>
      <w:r>
        <w:rPr/>
        <w:t>7</w:t>
      </w:r>
      <w:r>
        <w:rPr>
          <w:spacing w:val="-1"/>
        </w:rPr>
        <w:t> </w:t>
      </w:r>
      <w:r>
        <w:rPr/>
        <w:t>năm</w:t>
      </w:r>
      <w:r>
        <w:rPr>
          <w:spacing w:val="-6"/>
        </w:rPr>
        <w:t> </w:t>
      </w:r>
      <w:r>
        <w:rPr>
          <w:spacing w:val="-2"/>
        </w:rPr>
        <w:t>2026.</w:t>
      </w:r>
    </w:p>
    <w:p>
      <w:pPr>
        <w:pStyle w:val="BodyText"/>
        <w:spacing w:line="288" w:lineRule="auto" w:before="124"/>
        <w:ind w:left="143" w:right="145" w:firstLine="707"/>
      </w:pPr>
      <w:r>
        <w:rPr/>
        <w:drawing>
          <wp:anchor distT="0" distB="0" distL="0" distR="0" allowOverlap="1" layoutInCell="1" locked="0" behindDoc="0" simplePos="0" relativeHeight="15730688">
            <wp:simplePos x="0" y="0"/>
            <wp:positionH relativeFrom="page">
              <wp:posOffset>4559300</wp:posOffset>
            </wp:positionH>
            <wp:positionV relativeFrom="paragraph">
              <wp:posOffset>1635173</wp:posOffset>
            </wp:positionV>
            <wp:extent cx="1892300" cy="89966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892300" cy="899667"/>
                    </a:xfrm>
                    <a:prstGeom prst="rect">
                      <a:avLst/>
                    </a:prstGeom>
                  </pic:spPr>
                </pic:pic>
              </a:graphicData>
            </a:graphic>
          </wp:anchor>
        </w:drawing>
      </w:r>
      <w:r>
        <w:rPr/>
        <w:t>Nghị quyết này đã được Hội đồng nhân dân tỉnh Lai Châu khóa XVI, kỳ họp thứ tư thông qua ngày 17 tháng 6 năm 2026./.</w:t>
      </w:r>
    </w:p>
    <w:p>
      <w:pPr>
        <w:pStyle w:val="BodyText"/>
        <w:spacing w:before="27"/>
        <w:jc w:val="left"/>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2"/>
        <w:gridCol w:w="2571"/>
      </w:tblGrid>
      <w:tr>
        <w:trPr>
          <w:trHeight w:val="3552" w:hRule="atLeast"/>
        </w:trPr>
        <w:tc>
          <w:tcPr>
            <w:tcW w:w="5372"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
              </w:numPr>
              <w:tabs>
                <w:tab w:pos="176" w:val="left" w:leader="none"/>
              </w:tabs>
              <w:spacing w:line="251" w:lineRule="exact" w:before="0" w:after="0"/>
              <w:ind w:left="176" w:right="0" w:hanging="126"/>
              <w:jc w:val="left"/>
              <w:rPr>
                <w:sz w:val="22"/>
              </w:rPr>
            </w:pPr>
            <w:r>
              <w:rPr>
                <w:sz w:val="22"/>
              </w:rPr>
              <w:t>Ủy</w:t>
            </w:r>
            <w:r>
              <w:rPr>
                <w:spacing w:val="-7"/>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 Chính</w:t>
            </w:r>
            <w:r>
              <w:rPr>
                <w:spacing w:val="-4"/>
                <w:sz w:val="22"/>
              </w:rPr>
              <w:t> phủ;</w:t>
            </w:r>
          </w:p>
          <w:p>
            <w:pPr>
              <w:pStyle w:val="TableParagraph"/>
              <w:numPr>
                <w:ilvl w:val="0"/>
                <w:numId w:val="1"/>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1"/>
              </w:numPr>
              <w:tabs>
                <w:tab w:pos="176" w:val="left" w:leader="none"/>
              </w:tabs>
              <w:spacing w:line="252" w:lineRule="exact" w:before="1" w:after="0"/>
              <w:ind w:left="176" w:right="0" w:hanging="126"/>
              <w:jc w:val="left"/>
              <w:rPr>
                <w:sz w:val="22"/>
              </w:rPr>
            </w:pPr>
            <w:r>
              <w:rPr>
                <w:sz w:val="22"/>
              </w:rPr>
              <w:t>Các</w:t>
            </w:r>
            <w:r>
              <w:rPr>
                <w:spacing w:val="-2"/>
                <w:sz w:val="22"/>
              </w:rPr>
              <w:t> </w:t>
            </w:r>
            <w:r>
              <w:rPr>
                <w:sz w:val="22"/>
              </w:rPr>
              <w:t>Bộ:</w:t>
            </w:r>
            <w:r>
              <w:rPr>
                <w:spacing w:val="-3"/>
                <w:sz w:val="22"/>
              </w:rPr>
              <w:t> </w:t>
            </w:r>
            <w:r>
              <w:rPr>
                <w:sz w:val="22"/>
              </w:rPr>
              <w:t>Khoa</w:t>
            </w:r>
            <w:r>
              <w:rPr>
                <w:spacing w:val="-2"/>
                <w:sz w:val="22"/>
              </w:rPr>
              <w:t> </w:t>
            </w:r>
            <w:r>
              <w:rPr>
                <w:sz w:val="22"/>
              </w:rPr>
              <w:t>học</w:t>
            </w:r>
            <w:r>
              <w:rPr>
                <w:spacing w:val="-1"/>
                <w:sz w:val="22"/>
              </w:rPr>
              <w:t> </w:t>
            </w:r>
            <w:r>
              <w:rPr>
                <w:sz w:val="22"/>
              </w:rPr>
              <w:t>và</w:t>
            </w:r>
            <w:r>
              <w:rPr>
                <w:spacing w:val="-1"/>
                <w:sz w:val="22"/>
              </w:rPr>
              <w:t> </w:t>
            </w:r>
            <w:r>
              <w:rPr>
                <w:sz w:val="22"/>
              </w:rPr>
              <w:t>Công</w:t>
            </w:r>
            <w:r>
              <w:rPr>
                <w:spacing w:val="-5"/>
                <w:sz w:val="22"/>
              </w:rPr>
              <w:t> </w:t>
            </w:r>
            <w:r>
              <w:rPr>
                <w:sz w:val="22"/>
              </w:rPr>
              <w:t>nghệ,</w:t>
            </w:r>
            <w:r>
              <w:rPr>
                <w:spacing w:val="-1"/>
                <w:sz w:val="22"/>
              </w:rPr>
              <w:t> </w:t>
            </w:r>
            <w:r>
              <w:rPr>
                <w:sz w:val="22"/>
              </w:rPr>
              <w:t>Tài </w:t>
            </w:r>
            <w:r>
              <w:rPr>
                <w:spacing w:val="-2"/>
                <w:sz w:val="22"/>
              </w:rPr>
              <w:t>chính;</w:t>
            </w:r>
          </w:p>
          <w:p>
            <w:pPr>
              <w:pStyle w:val="TableParagraph"/>
              <w:numPr>
                <w:ilvl w:val="0"/>
                <w:numId w:val="1"/>
              </w:numPr>
              <w:tabs>
                <w:tab w:pos="176" w:val="left" w:leader="none"/>
              </w:tabs>
              <w:spacing w:line="240" w:lineRule="auto" w:before="0" w:after="0"/>
              <w:ind w:left="50" w:right="959" w:firstLine="0"/>
              <w:jc w:val="left"/>
              <w:rPr>
                <w:sz w:val="22"/>
              </w:rPr>
            </w:pPr>
            <w:r>
              <w:rPr>
                <w:sz w:val="22"/>
              </w:rPr>
              <w:t>Cục</w:t>
            </w:r>
            <w:r>
              <w:rPr>
                <w:spacing w:val="-3"/>
                <w:sz w:val="22"/>
              </w:rPr>
              <w:t> </w:t>
            </w:r>
            <w:r>
              <w:rPr>
                <w:sz w:val="22"/>
              </w:rPr>
              <w:t>Kiểm</w:t>
            </w:r>
            <w:r>
              <w:rPr>
                <w:spacing w:val="-6"/>
                <w:sz w:val="22"/>
              </w:rPr>
              <w:t> </w:t>
            </w:r>
            <w:r>
              <w:rPr>
                <w:sz w:val="22"/>
              </w:rPr>
              <w:t>tra</w:t>
            </w:r>
            <w:r>
              <w:rPr>
                <w:spacing w:val="-3"/>
                <w:sz w:val="22"/>
              </w:rPr>
              <w:t> </w:t>
            </w:r>
            <w:r>
              <w:rPr>
                <w:sz w:val="22"/>
              </w:rPr>
              <w:t>văn</w:t>
            </w:r>
            <w:r>
              <w:rPr>
                <w:spacing w:val="-3"/>
                <w:sz w:val="22"/>
              </w:rPr>
              <w:t> </w:t>
            </w:r>
            <w:r>
              <w:rPr>
                <w:sz w:val="22"/>
              </w:rPr>
              <w:t>bản</w:t>
            </w:r>
            <w:r>
              <w:rPr>
                <w:spacing w:val="-3"/>
                <w:sz w:val="22"/>
              </w:rPr>
              <w:t> </w:t>
            </w:r>
            <w:r>
              <w:rPr>
                <w:sz w:val="22"/>
              </w:rPr>
              <w:t>và</w:t>
            </w:r>
            <w:r>
              <w:rPr>
                <w:spacing w:val="-5"/>
                <w:sz w:val="22"/>
              </w:rPr>
              <w:t> </w:t>
            </w:r>
            <w:r>
              <w:rPr>
                <w:sz w:val="22"/>
              </w:rPr>
              <w:t>Quản</w:t>
            </w:r>
            <w:r>
              <w:rPr>
                <w:spacing w:val="-3"/>
                <w:sz w:val="22"/>
              </w:rPr>
              <w:t> </w:t>
            </w:r>
            <w:r>
              <w:rPr>
                <w:sz w:val="22"/>
              </w:rPr>
              <w:t>lý</w:t>
            </w:r>
            <w:r>
              <w:rPr>
                <w:spacing w:val="-6"/>
                <w:sz w:val="22"/>
              </w:rPr>
              <w:t> </w:t>
            </w:r>
            <w:r>
              <w:rPr>
                <w:sz w:val="22"/>
              </w:rPr>
              <w:t>xử</w:t>
            </w:r>
            <w:r>
              <w:rPr>
                <w:spacing w:val="-3"/>
                <w:sz w:val="22"/>
              </w:rPr>
              <w:t> </w:t>
            </w:r>
            <w:r>
              <w:rPr>
                <w:sz w:val="22"/>
              </w:rPr>
              <w:t>lý</w:t>
            </w:r>
            <w:r>
              <w:rPr>
                <w:spacing w:val="-6"/>
                <w:sz w:val="22"/>
              </w:rPr>
              <w:t> </w:t>
            </w:r>
            <w:r>
              <w:rPr>
                <w:sz w:val="22"/>
              </w:rPr>
              <w:t>vi</w:t>
            </w:r>
            <w:r>
              <w:rPr>
                <w:spacing w:val="-2"/>
                <w:sz w:val="22"/>
              </w:rPr>
              <w:t> </w:t>
            </w:r>
            <w:r>
              <w:rPr>
                <w:sz w:val="22"/>
              </w:rPr>
              <w:t>phạm hành chính - Bộ Tư pháp;</w:t>
            </w:r>
          </w:p>
          <w:p>
            <w:pPr>
              <w:pStyle w:val="TableParagraph"/>
              <w:numPr>
                <w:ilvl w:val="0"/>
                <w:numId w:val="1"/>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1"/>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1"/>
              </w:numPr>
              <w:tabs>
                <w:tab w:pos="174" w:val="left" w:leader="none"/>
              </w:tabs>
              <w:spacing w:line="252" w:lineRule="exact" w:before="1"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HĐND,</w:t>
            </w:r>
            <w:r>
              <w:rPr>
                <w:spacing w:val="-3"/>
                <w:sz w:val="22"/>
              </w:rPr>
              <w:t> </w:t>
            </w:r>
            <w:r>
              <w:rPr>
                <w:sz w:val="22"/>
              </w:rPr>
              <w:t>UBND,</w:t>
            </w:r>
            <w:r>
              <w:rPr>
                <w:spacing w:val="-2"/>
                <w:sz w:val="22"/>
              </w:rPr>
              <w:t> </w:t>
            </w:r>
            <w:r>
              <w:rPr>
                <w:sz w:val="22"/>
              </w:rPr>
              <w:t>UBMTTQ</w:t>
            </w:r>
            <w:r>
              <w:rPr>
                <w:spacing w:val="-7"/>
                <w:sz w:val="22"/>
              </w:rPr>
              <w:t> </w:t>
            </w:r>
            <w:r>
              <w:rPr>
                <w:sz w:val="22"/>
              </w:rPr>
              <w:t>VN</w:t>
            </w:r>
            <w:r>
              <w:rPr>
                <w:spacing w:val="-3"/>
                <w:sz w:val="22"/>
              </w:rPr>
              <w:t> </w:t>
            </w:r>
            <w:r>
              <w:rPr>
                <w:spacing w:val="-2"/>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1"/>
              </w:numPr>
              <w:tabs>
                <w:tab w:pos="176" w:val="left" w:leader="none"/>
              </w:tabs>
              <w:spacing w:line="252" w:lineRule="exact" w:before="2" w:after="0"/>
              <w:ind w:left="176" w:right="0" w:hanging="126"/>
              <w:jc w:val="left"/>
              <w:rPr>
                <w:sz w:val="22"/>
              </w:rPr>
            </w:pPr>
            <w:r>
              <w:rPr>
                <w:sz w:val="22"/>
              </w:rPr>
              <w:t>Các</w:t>
            </w:r>
            <w:r>
              <w:rPr>
                <w:spacing w:val="-1"/>
                <w:sz w:val="22"/>
              </w:rPr>
              <w:t> </w:t>
            </w:r>
            <w:r>
              <w:rPr>
                <w:sz w:val="22"/>
              </w:rPr>
              <w:t>sở,</w:t>
            </w:r>
            <w:r>
              <w:rPr>
                <w:spacing w:val="-1"/>
                <w:sz w:val="22"/>
              </w:rPr>
              <w:t> </w:t>
            </w:r>
            <w:r>
              <w:rPr>
                <w:sz w:val="22"/>
              </w:rPr>
              <w:t>ban,</w:t>
            </w:r>
            <w:r>
              <w:rPr>
                <w:spacing w:val="-1"/>
                <w:sz w:val="22"/>
              </w:rPr>
              <w:t> </w:t>
            </w:r>
            <w:r>
              <w:rPr>
                <w:sz w:val="22"/>
              </w:rPr>
              <w:t>ngành,</w:t>
            </w:r>
            <w:r>
              <w:rPr>
                <w:spacing w:val="-4"/>
                <w:sz w:val="22"/>
              </w:rPr>
              <w:t> </w:t>
            </w:r>
            <w:r>
              <w:rPr>
                <w:sz w:val="22"/>
              </w:rPr>
              <w:t>tổ</w:t>
            </w:r>
            <w:r>
              <w:rPr>
                <w:spacing w:val="-1"/>
                <w:sz w:val="22"/>
              </w:rPr>
              <w:t> </w:t>
            </w:r>
            <w:r>
              <w:rPr>
                <w:sz w:val="22"/>
              </w:rPr>
              <w:t>chức</w:t>
            </w:r>
            <w:r>
              <w:rPr>
                <w:spacing w:val="-1"/>
                <w:sz w:val="22"/>
              </w:rPr>
              <w:t> </w:t>
            </w:r>
            <w:r>
              <w:rPr>
                <w:sz w:val="22"/>
              </w:rPr>
              <w:t>chính</w:t>
            </w:r>
            <w:r>
              <w:rPr>
                <w:spacing w:val="-4"/>
                <w:sz w:val="22"/>
              </w:rPr>
              <w:t> </w:t>
            </w:r>
            <w:r>
              <w:rPr>
                <w:sz w:val="22"/>
              </w:rPr>
              <w:t>trị -</w:t>
            </w:r>
            <w:r>
              <w:rPr>
                <w:spacing w:val="-5"/>
                <w:sz w:val="22"/>
              </w:rPr>
              <w:t> </w:t>
            </w:r>
            <w:r>
              <w:rPr>
                <w:sz w:val="22"/>
              </w:rPr>
              <w:t>xã</w:t>
            </w:r>
            <w:r>
              <w:rPr>
                <w:spacing w:val="-1"/>
                <w:sz w:val="22"/>
              </w:rPr>
              <w:t> </w:t>
            </w:r>
            <w:r>
              <w:rPr>
                <w:sz w:val="22"/>
              </w:rPr>
              <w:t>hội</w:t>
            </w:r>
            <w:r>
              <w:rPr>
                <w:spacing w:val="1"/>
                <w:sz w:val="22"/>
              </w:rPr>
              <w:t> </w:t>
            </w:r>
            <w:r>
              <w:rPr>
                <w:spacing w:val="-4"/>
                <w:sz w:val="22"/>
              </w:rPr>
              <w:t>tỉnh;</w:t>
            </w:r>
          </w:p>
          <w:p>
            <w:pPr>
              <w:pStyle w:val="TableParagraph"/>
              <w:numPr>
                <w:ilvl w:val="0"/>
                <w:numId w:val="1"/>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1"/>
                <w:sz w:val="22"/>
              </w:rPr>
              <w:t> </w:t>
            </w:r>
            <w:r>
              <w:rPr>
                <w:sz w:val="22"/>
              </w:rPr>
              <w:t>Cổng</w:t>
            </w:r>
            <w:r>
              <w:rPr>
                <w:spacing w:val="-4"/>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1"/>
              </w:numPr>
              <w:tabs>
                <w:tab w:pos="174" w:val="left" w:leader="none"/>
              </w:tabs>
              <w:spacing w:line="233" w:lineRule="exact" w:before="2" w:after="0"/>
              <w:ind w:left="174" w:right="0" w:hanging="124"/>
              <w:jc w:val="left"/>
              <w:rPr>
                <w:sz w:val="22"/>
              </w:rPr>
            </w:pPr>
            <w:r>
              <w:rPr>
                <w:sz w:val="22"/>
              </w:rPr>
              <w:t>Lưu: </w:t>
            </w:r>
            <w:r>
              <w:rPr>
                <w:spacing w:val="-5"/>
                <w:sz w:val="22"/>
              </w:rPr>
              <w:t>VT.</w:t>
            </w:r>
          </w:p>
        </w:tc>
        <w:tc>
          <w:tcPr>
            <w:tcW w:w="2571" w:type="dxa"/>
          </w:tcPr>
          <w:p>
            <w:pPr>
              <w:pStyle w:val="TableParagraph"/>
              <w:spacing w:before="111"/>
              <w:ind w:left="909"/>
              <w:rPr>
                <w:b/>
                <w:sz w:val="28"/>
              </w:rPr>
            </w:pPr>
            <w:r>
              <w:rPr>
                <w:b/>
                <w:sz w:val="28"/>
              </w:rPr>
              <mc:AlternateContent>
                <mc:Choice Requires="wps">
                  <w:drawing>
                    <wp:anchor distT="0" distB="0" distL="0" distR="0" allowOverlap="1" layoutInCell="1" locked="0" behindDoc="1" simplePos="0" relativeHeight="487534080">
                      <wp:simplePos x="0" y="0"/>
                      <wp:positionH relativeFrom="column">
                        <wp:posOffset>-367965</wp:posOffset>
                      </wp:positionH>
                      <wp:positionV relativeFrom="paragraph">
                        <wp:posOffset>596522</wp:posOffset>
                      </wp:positionV>
                      <wp:extent cx="1315085" cy="13335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15085" cy="1333500"/>
                                <a:chExt cx="1315085" cy="1333500"/>
                              </a:xfrm>
                            </wpg:grpSpPr>
                            <pic:pic>
                              <pic:nvPicPr>
                                <pic:cNvPr id="8" name="Image 8"/>
                                <pic:cNvPicPr/>
                              </pic:nvPicPr>
                              <pic:blipFill>
                                <a:blip r:embed="rId6" cstate="print"/>
                                <a:stretch>
                                  <a:fillRect/>
                                </a:stretch>
                              </pic:blipFill>
                              <pic:spPr>
                                <a:xfrm>
                                  <a:off x="0" y="0"/>
                                  <a:ext cx="1306501" cy="1325308"/>
                                </a:xfrm>
                                <a:prstGeom prst="rect">
                                  <a:avLst/>
                                </a:prstGeom>
                              </pic:spPr>
                            </pic:pic>
                          </wpg:wgp>
                        </a:graphicData>
                      </a:graphic>
                    </wp:anchor>
                  </w:drawing>
                </mc:Choice>
                <mc:Fallback>
                  <w:pict>
                    <v:group style="position:absolute;margin-left:-28.973633pt;margin-top:46.970287pt;width:103.55pt;height:105pt;mso-position-horizontal-relative:column;mso-position-vertical-relative:paragraph;z-index:-15782400" id="docshapegroup4" coordorigin="-579,939" coordsize="2071,2100">
                      <v:shape style="position:absolute;left:-580;top:939;width:2058;height:2088" type="#_x0000_t75" id="docshape5" stroked="false">
                        <v:imagedata r:id="rId6" o:title=""/>
                      </v:shape>
                      <w10:wrap type="none"/>
                    </v:group>
                  </w:pict>
                </mc:Fallback>
              </mc:AlternateContent>
            </w:r>
            <w:r>
              <w:rPr>
                <w:b/>
                <w:sz w:val="28"/>
              </w:rPr>
              <w:t>CHỦ</w:t>
            </w:r>
            <w:r>
              <w:rPr>
                <w:b/>
                <w:spacing w:val="-4"/>
                <w:sz w:val="28"/>
              </w:rPr>
              <w:t> 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37"/>
              <w:rPr>
                <w:i/>
                <w:sz w:val="28"/>
              </w:rPr>
            </w:pPr>
          </w:p>
          <w:p>
            <w:pPr>
              <w:pStyle w:val="TableParagraph"/>
              <w:ind w:left="777"/>
              <w:rPr>
                <w:b/>
                <w:sz w:val="28"/>
              </w:rPr>
            </w:pPr>
            <w:r>
              <w:rPr>
                <w:b/>
                <w:sz w:val="28"/>
              </w:rPr>
              <w:t>Lê</w:t>
            </w:r>
            <w:r>
              <w:rPr>
                <w:b/>
                <w:spacing w:val="-2"/>
                <w:sz w:val="28"/>
              </w:rPr>
              <w:t> </w:t>
            </w:r>
            <w:r>
              <w:rPr>
                <w:b/>
                <w:sz w:val="28"/>
              </w:rPr>
              <w:t>Minh</w:t>
            </w:r>
            <w:r>
              <w:rPr>
                <w:b/>
                <w:spacing w:val="-2"/>
                <w:sz w:val="28"/>
              </w:rPr>
              <w:t> </w:t>
            </w:r>
            <w:r>
              <w:rPr>
                <w:b/>
                <w:spacing w:val="-4"/>
                <w:sz w:val="28"/>
              </w:rPr>
              <w:t>Ngân</w:t>
            </w:r>
          </w:p>
        </w:tc>
      </w:tr>
    </w:tbl>
    <w:sectPr>
      <w:pgSz w:w="11910" w:h="16840"/>
      <w:pgMar w:top="6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91" w:hanging="128"/>
      </w:pPr>
      <w:rPr>
        <w:rFonts w:hint="default"/>
        <w:lang w:val="vi" w:eastAsia="en-US" w:bidi="ar-SA"/>
      </w:rPr>
    </w:lvl>
    <w:lvl w:ilvl="2">
      <w:start w:val="0"/>
      <w:numFmt w:val="bullet"/>
      <w:lvlText w:val="•"/>
      <w:lvlJc w:val="left"/>
      <w:pPr>
        <w:ind w:left="1122" w:hanging="128"/>
      </w:pPr>
      <w:rPr>
        <w:rFonts w:hint="default"/>
        <w:lang w:val="vi" w:eastAsia="en-US" w:bidi="ar-SA"/>
      </w:rPr>
    </w:lvl>
    <w:lvl w:ilvl="3">
      <w:start w:val="0"/>
      <w:numFmt w:val="bullet"/>
      <w:lvlText w:val="•"/>
      <w:lvlJc w:val="left"/>
      <w:pPr>
        <w:ind w:left="1653" w:hanging="128"/>
      </w:pPr>
      <w:rPr>
        <w:rFonts w:hint="default"/>
        <w:lang w:val="vi" w:eastAsia="en-US" w:bidi="ar-SA"/>
      </w:rPr>
    </w:lvl>
    <w:lvl w:ilvl="4">
      <w:start w:val="0"/>
      <w:numFmt w:val="bullet"/>
      <w:lvlText w:val="•"/>
      <w:lvlJc w:val="left"/>
      <w:pPr>
        <w:ind w:left="2184" w:hanging="128"/>
      </w:pPr>
      <w:rPr>
        <w:rFonts w:hint="default"/>
        <w:lang w:val="vi" w:eastAsia="en-US" w:bidi="ar-SA"/>
      </w:rPr>
    </w:lvl>
    <w:lvl w:ilvl="5">
      <w:start w:val="0"/>
      <w:numFmt w:val="bullet"/>
      <w:lvlText w:val="•"/>
      <w:lvlJc w:val="left"/>
      <w:pPr>
        <w:ind w:left="2716" w:hanging="128"/>
      </w:pPr>
      <w:rPr>
        <w:rFonts w:hint="default"/>
        <w:lang w:val="vi" w:eastAsia="en-US" w:bidi="ar-SA"/>
      </w:rPr>
    </w:lvl>
    <w:lvl w:ilvl="6">
      <w:start w:val="0"/>
      <w:numFmt w:val="bullet"/>
      <w:lvlText w:val="•"/>
      <w:lvlJc w:val="left"/>
      <w:pPr>
        <w:ind w:left="3247" w:hanging="128"/>
      </w:pPr>
      <w:rPr>
        <w:rFonts w:hint="default"/>
        <w:lang w:val="vi" w:eastAsia="en-US" w:bidi="ar-SA"/>
      </w:rPr>
    </w:lvl>
    <w:lvl w:ilvl="7">
      <w:start w:val="0"/>
      <w:numFmt w:val="bullet"/>
      <w:lvlText w:val="•"/>
      <w:lvlJc w:val="left"/>
      <w:pPr>
        <w:ind w:left="3778" w:hanging="128"/>
      </w:pPr>
      <w:rPr>
        <w:rFonts w:hint="default"/>
        <w:lang w:val="vi" w:eastAsia="en-US" w:bidi="ar-SA"/>
      </w:rPr>
    </w:lvl>
    <w:lvl w:ilvl="8">
      <w:start w:val="0"/>
      <w:numFmt w:val="bullet"/>
      <w:lvlText w:val="•"/>
      <w:lvlJc w:val="left"/>
      <w:pPr>
        <w:ind w:left="4309" w:hanging="128"/>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58"/>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spacing w:before="120"/>
      <w:ind w:left="851"/>
      <w:jc w:val="both"/>
      <w:outlineLvl w:val="1"/>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Lien</dc:creator>
  <dcterms:created xsi:type="dcterms:W3CDTF">2026-06-29T00:41:57Z</dcterms:created>
  <dcterms:modified xsi:type="dcterms:W3CDTF">2026-06-29T00:41:57Z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Microsoft® Word 2016</vt:lpwstr>
  </property>
  <property fmtid="{D5CDD505-2E9C-101B-9397-08002B2CF9AE}" pid="5" name="LastSaved">
    <vt:filetime>2026-06-29T00:00:00Z</vt:filetime>
  </property>
  <property fmtid="{D5CDD505-2E9C-101B-9397-08002B2CF9AE}" pid="6" name="Producer">
    <vt:lpwstr>Microsoft® Word 2016; modified using eSignature™ 1.0.1.1</vt:lpwstr>
  </property>
</Properties>
</file>