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37" w:type="dxa"/>
        <w:jc w:val="center"/>
        <w:tblBorders/>
        <w:tblLayout w:type="fixed"/>
        <w:tblLook w:val="01E0" w:firstRow="1" w:lastRow="1" w:firstColumn="1" w:lastColumn="1" w:noHBand="0" w:noVBand="0"/>
      </w:tblPr>
      <w:tblGrid>
        <w:gridCol w:w="3339"/>
        <w:gridCol w:w="5998"/>
      </w:tblGrid>
      <w:tr>
        <w:trPr>
          <w:jc w:val="center"/>
        </w:trPr>
        <w:tc>
          <w:tcPr>
            <w:tcBorders/>
            <w:tcW w:w="3339" w:type="dxa"/>
            <w:textDirection w:val="lrTb"/>
            <w:noWrap w:val="false"/>
          </w:tcPr>
          <w:p>
            <w:pPr>
              <w:pBdr/>
              <w:spacing w:before="60"/>
              <w:ind/>
              <w:jc w:val="center"/>
              <w:rPr>
                <w:b/>
                <w:lang w:val="nl-NL"/>
              </w:rPr>
            </w:pPr>
            <w:r>
              <w:rPr>
                <w:b/>
                <w:sz w:val="26"/>
                <w:lang w:val="nl-NL"/>
              </w:rPr>
              <w:t xml:space="preserve">ỦY</w:t>
            </w:r>
            <w:r>
              <w:rPr>
                <w:b/>
                <w:sz w:val="26"/>
                <w:lang w:val="nl-NL"/>
              </w:rPr>
              <w:t xml:space="preserve"> BAN NHÂN DÂN TỈNH </w:t>
            </w:r>
            <w:r>
              <w:rPr>
                <w:b/>
                <w:sz w:val="26"/>
                <w:lang w:val="nl-NL"/>
              </w:rPr>
              <w:t xml:space="preserve">TÂY NINH</w:t>
            </w:r>
            <w:r>
              <w:rPr>
                <w:b/>
                <w:lang w:val="nl-NL"/>
              </w:rPr>
            </w:r>
            <w:r>
              <w:rPr>
                <w:b/>
                <w:lang w:val="nl-NL"/>
              </w:rPr>
            </w:r>
          </w:p>
          <w:p>
            <w:pPr>
              <w:pBdr/>
              <w:spacing/>
              <w:ind/>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517525</wp:posOffset>
                      </wp:positionH>
                      <wp:positionV relativeFrom="paragraph">
                        <wp:posOffset>46990</wp:posOffset>
                      </wp:positionV>
                      <wp:extent cx="711200" cy="0"/>
                      <wp:effectExtent l="10795" t="13335" r="11430" b="5715"/>
                      <wp:wrapNone/>
                      <wp:docPr id="1" name="Line 45"/>
                      <wp:cNvGraphicFramePr/>
                      <a:graphic xmlns:a="http://schemas.openxmlformats.org/drawingml/2006/main">
                        <a:graphicData uri="http://schemas.microsoft.com/office/word/2010/wordprocessingShape">
                          <wps:wsp>
                            <wps:cNvPr id="0" name=""/>
                            <wps:cNvSpPr/>
                            <wps:spPr bwMode="auto">
                              <a:xfrm>
                                <a:off x="0" y="0"/>
                                <a:ext cx="7112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57216;mso-wrap-distance-left:9.00pt;mso-wrap-distance-top:0.00pt;mso-wrap-distance-right:9.00pt;mso-wrap-distance-bottom:0.00pt;visibility:visible;" from="40.8pt,3.7pt" to="96.8pt,3.7pt" filled="f" strokecolor="#000000" strokeweight="0.75pt"/>
                  </w:pict>
                </mc:Fallback>
              </mc:AlternateContent>
            </w:r>
            <w:r>
              <w:rPr>
                <w:sz w:val="26"/>
                <w:szCs w:val="26"/>
              </w:rPr>
            </w:r>
            <w:r>
              <w:rPr>
                <w:sz w:val="26"/>
                <w:szCs w:val="26"/>
              </w:rPr>
            </w:r>
          </w:p>
        </w:tc>
        <w:tc>
          <w:tcPr>
            <w:tcBorders/>
            <w:tcW w:w="5998" w:type="dxa"/>
            <w:textDirection w:val="lrTb"/>
            <w:noWrap w:val="false"/>
          </w:tcPr>
          <w:p>
            <w:pPr>
              <w:pBdr/>
              <w:spacing w:before="60"/>
              <w:ind/>
              <w:jc w:val="center"/>
              <w:rPr>
                <w:b/>
                <w:sz w:val="26"/>
                <w:szCs w:val="26"/>
              </w:rPr>
            </w:pPr>
            <w:r>
              <w:rPr>
                <w:b/>
                <w:sz w:val="26"/>
                <w:lang w:val="nl-NL"/>
              </w:rPr>
              <w:t xml:space="preserve">CỘNG</w:t>
            </w:r>
            <w:r>
              <w:rPr>
                <w:b/>
                <w:sz w:val="26"/>
                <w:szCs w:val="26"/>
              </w:rPr>
              <w:t xml:space="preserve"> HOÀ XÃ HỘI CHỦ NGHĨA VIỆT NAM</w:t>
            </w:r>
            <w:r>
              <w:rPr>
                <w:b/>
                <w:sz w:val="26"/>
                <w:szCs w:val="26"/>
              </w:rPr>
            </w:r>
            <w:r>
              <w:rPr>
                <w:b/>
                <w:sz w:val="26"/>
                <w:szCs w:val="26"/>
              </w:rPr>
            </w:r>
          </w:p>
          <w:p>
            <w:pPr>
              <w:pBdr/>
              <w:spacing/>
              <w:ind/>
              <w:jc w:val="center"/>
              <w:rPr>
                <w:b/>
              </w:rPr>
            </w:pPr>
            <w:r>
              <w:rPr>
                <w:b/>
              </w:rPr>
              <w:t xml:space="preserve">Độc lập - Tự do - Hạnh phúc</w:t>
            </w:r>
            <w:r>
              <w:rPr>
                <w:b/>
              </w:rPr>
            </w:r>
            <w:r>
              <w:rPr>
                <w:b/>
              </w:rPr>
            </w:r>
          </w:p>
          <w:p>
            <w:pPr>
              <w:pBdr/>
              <w:spacing/>
              <w:ind/>
              <w:rPr>
                <w:sz w:val="16"/>
                <w:szCs w:val="16"/>
                <w:lang w:val="nl-NL"/>
              </w:rPr>
            </w:pPr>
            <w:r>
              <w:rPr>
                <w:sz w:val="16"/>
                <w:szCs w:val="16"/>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763270</wp:posOffset>
                      </wp:positionH>
                      <wp:positionV relativeFrom="paragraph">
                        <wp:posOffset>51435</wp:posOffset>
                      </wp:positionV>
                      <wp:extent cx="2155825" cy="0"/>
                      <wp:effectExtent l="5080" t="13335" r="10795" b="5715"/>
                      <wp:wrapNone/>
                      <wp:docPr id="2" name="Line 46"/>
                      <wp:cNvGraphicFramePr/>
                      <a:graphic xmlns:a="http://schemas.openxmlformats.org/drawingml/2006/main">
                        <a:graphicData uri="http://schemas.microsoft.com/office/word/2010/wordprocessingShape">
                          <wps:wsp>
                            <wps:cNvPr id="0" name=""/>
                            <wps:cNvSpPr/>
                            <wps:spPr bwMode="auto">
                              <a:xfrm>
                                <a:off x="0" y="0"/>
                                <a:ext cx="21558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8240;mso-wrap-distance-left:9.00pt;mso-wrap-distance-top:0.00pt;mso-wrap-distance-right:9.00pt;mso-wrap-distance-bottom:0.00pt;visibility:visible;" from="60.1pt,4.0pt" to="229.8pt,4.0pt" filled="f" strokecolor="#000000" strokeweight="0.75pt"/>
                  </w:pict>
                </mc:Fallback>
              </mc:AlternateContent>
            </w:r>
            <w:r>
              <w:rPr>
                <w:sz w:val="16"/>
                <w:szCs w:val="16"/>
                <w:lang w:val="nl-NL"/>
              </w:rPr>
            </w:r>
            <w:r>
              <w:rPr>
                <w:sz w:val="16"/>
                <w:szCs w:val="16"/>
                <w:lang w:val="nl-NL"/>
              </w:rPr>
            </w:r>
          </w:p>
        </w:tc>
      </w:tr>
      <w:tr>
        <w:trPr>
          <w:jc w:val="center"/>
        </w:trPr>
        <w:tc>
          <w:tcPr>
            <w:tcBorders/>
            <w:tcW w:w="3339" w:type="dxa"/>
            <w:textDirection w:val="lrTb"/>
            <w:noWrap w:val="false"/>
          </w:tcPr>
          <w:p>
            <w:pPr>
              <w:pBdr/>
              <w:spacing/>
              <w:ind/>
              <w:jc w:val="center"/>
              <w:rPr>
                <w:sz w:val="26"/>
                <w:szCs w:val="26"/>
                <w:lang w:val="nl-NL"/>
              </w:rPr>
            </w:pPr>
            <w:r>
              <w:rPr>
                <w:sz w:val="26"/>
                <w:szCs w:val="26"/>
                <w:lang w:val="nl-NL"/>
              </w:rPr>
              <w:t xml:space="preserve">   </w:t>
            </w:r>
            <w:r>
              <w:rPr>
                <w:sz w:val="26"/>
                <w:szCs w:val="26"/>
                <w:lang w:val="nl-NL"/>
              </w:rPr>
              <w:t xml:space="preserve">Số:   36</w:t>
            </w:r>
            <w:r>
              <w:rPr>
                <w:sz w:val="26"/>
                <w:szCs w:val="26"/>
                <w:lang w:val="nl-NL"/>
              </w:rPr>
              <w:t xml:space="preserve">  /</w:t>
            </w:r>
            <w:r>
              <w:rPr>
                <w:sz w:val="26"/>
                <w:szCs w:val="26"/>
                <w:lang w:val="nl-NL"/>
              </w:rPr>
              <w:t xml:space="preserve">2026/</w:t>
            </w:r>
            <w:r>
              <w:rPr>
                <w:sz w:val="26"/>
                <w:szCs w:val="26"/>
                <w:lang w:val="nl-NL"/>
              </w:rPr>
              <w:t xml:space="preserve">QĐ-UBND</w:t>
            </w:r>
            <w:r>
              <w:rPr>
                <w:sz w:val="26"/>
                <w:szCs w:val="26"/>
                <w:lang w:val="nl-NL"/>
              </w:rPr>
            </w:r>
            <w:r>
              <w:rPr>
                <w:sz w:val="26"/>
                <w:szCs w:val="26"/>
                <w:lang w:val="nl-NL"/>
              </w:rPr>
            </w:r>
          </w:p>
          <w:p>
            <w:pPr>
              <w:pBdr/>
              <w:spacing/>
              <w:ind/>
              <w:jc w:val="center"/>
              <w:rPr>
                <w:sz w:val="26"/>
                <w:szCs w:val="26"/>
                <w:lang w:val="nl-NL"/>
              </w:rPr>
            </w:pPr>
            <w:r>
              <w:rPr>
                <w:sz w:val="26"/>
                <w:szCs w:val="26"/>
                <w:lang w:val="nl-NL"/>
              </w:rPr>
            </w:r>
            <w:r>
              <w:rPr>
                <w:sz w:val="26"/>
                <w:szCs w:val="26"/>
                <w:lang w:val="nl-NL"/>
              </w:rPr>
            </w:r>
            <w:r>
              <w:rPr>
                <w:sz w:val="26"/>
                <w:szCs w:val="26"/>
                <w:lang w:val="nl-NL"/>
              </w:rPr>
            </w:r>
          </w:p>
        </w:tc>
        <w:tc>
          <w:tcPr>
            <w:tcBorders/>
            <w:tcW w:w="5998" w:type="dxa"/>
            <w:textDirection w:val="lrTb"/>
            <w:noWrap w:val="false"/>
          </w:tcPr>
          <w:p>
            <w:pPr>
              <w:pStyle w:val="913"/>
              <w:pBdr/>
              <w:spacing w:before="0"/>
              <w:ind/>
              <w:jc w:val="center"/>
              <w:rPr>
                <w:rFonts w:ascii="Times New Roman" w:hAnsi="Times New Roman"/>
                <w:b w:val="0"/>
                <w:i/>
                <w:lang w:val="nl-NL"/>
              </w:rPr>
            </w:pPr>
            <w:r>
              <w:rPr>
                <w:rFonts w:ascii="Times New Roman" w:hAnsi="Times New Roman"/>
                <w:b w:val="0"/>
                <w:i/>
                <w:lang w:val="en-US"/>
              </w:rPr>
              <w:t xml:space="preserve">                </w:t>
            </w:r>
            <w:r>
              <w:rPr>
                <w:rFonts w:ascii="Times New Roman" w:hAnsi="Times New Roman"/>
                <w:b w:val="0"/>
                <w:i/>
              </w:rPr>
              <w:t xml:space="preserve">Tây Ninh</w:t>
            </w:r>
            <w:r>
              <w:rPr>
                <w:rFonts w:ascii="Times New Roman" w:hAnsi="Times New Roman"/>
                <w:b w:val="0"/>
                <w:i/>
              </w:rPr>
              <w:t xml:space="preserve">, ngày   16  tháng </w:t>
            </w:r>
            <w:r>
              <w:rPr>
                <w:rFonts w:ascii="Times New Roman" w:hAnsi="Times New Roman"/>
                <w:b w:val="0"/>
                <w:i/>
                <w:lang w:val="nl-NL"/>
              </w:rPr>
              <w:t xml:space="preserve">3</w:t>
            </w:r>
            <w:r>
              <w:rPr>
                <w:rFonts w:ascii="Times New Roman" w:hAnsi="Times New Roman"/>
                <w:b w:val="0"/>
                <w:i/>
              </w:rPr>
              <w:t xml:space="preserve"> năm 202</w:t>
            </w:r>
            <w:r>
              <w:rPr>
                <w:rFonts w:ascii="Times New Roman" w:hAnsi="Times New Roman"/>
                <w:b w:val="0"/>
                <w:i/>
                <w:lang w:val="nl-NL"/>
              </w:rPr>
              <w:t xml:space="preserve">6</w:t>
            </w:r>
            <w:r>
              <w:rPr>
                <w:rFonts w:ascii="Times New Roman" w:hAnsi="Times New Roman"/>
                <w:b w:val="0"/>
                <w:i/>
                <w:lang w:val="nl-NL"/>
              </w:rPr>
            </w:r>
            <w:r>
              <w:rPr>
                <w:rFonts w:ascii="Times New Roman" w:hAnsi="Times New Roman"/>
                <w:b w:val="0"/>
                <w:i/>
                <w:lang w:val="nl-NL"/>
              </w:rPr>
            </w:r>
          </w:p>
        </w:tc>
      </w:tr>
    </w:tbl>
    <w:p>
      <w:pPr>
        <w:pStyle w:val="912"/>
        <w:pBdr/>
        <w:spacing/>
        <w:ind/>
        <w:jc w:val="center"/>
        <w:rPr>
          <w:rFonts w:ascii="Times New Roman" w:hAnsi="Times New Roman"/>
          <w:i w:val="0"/>
        </w:rPr>
      </w:pPr>
      <w:r>
        <w:rPr>
          <w:rFonts w:ascii="Times New Roman" w:hAnsi="Times New Roman"/>
          <w:i w:val="0"/>
        </w:rPr>
        <w:t xml:space="preserve">QUYẾT ĐỊNH</w:t>
      </w:r>
      <w:r>
        <w:rPr>
          <w:rFonts w:ascii="Times New Roman" w:hAnsi="Times New Roman"/>
          <w:i w:val="0"/>
        </w:rPr>
      </w:r>
      <w:r>
        <w:rPr>
          <w:rFonts w:ascii="Times New Roman" w:hAnsi="Times New Roman"/>
          <w:i w:val="0"/>
        </w:rPr>
      </w:r>
    </w:p>
    <w:p>
      <w:pPr>
        <w:pBdr/>
        <w:spacing/>
        <w:ind/>
        <w:jc w:val="center"/>
        <w:rPr>
          <w:b/>
          <w:lang w:val="nl-NL"/>
        </w:rPr>
      </w:pPr>
      <w:r/>
      <w:bookmarkStart w:id="0" w:name="_Hlk211499949"/>
      <w:r/>
      <w:bookmarkStart w:id="1" w:name="_GoBack"/>
      <w:r>
        <w:rPr>
          <w:b/>
          <w:lang w:val="nl-NL"/>
        </w:rPr>
        <w:t xml:space="preserve">Quy định định mức kinh tế - kỹ thuật đối với </w:t>
      </w:r>
      <w:r>
        <w:rPr>
          <w:b/>
          <w:lang w:val="nl-NL"/>
        </w:rPr>
        <w:t xml:space="preserve">các </w:t>
      </w:r>
      <w:r>
        <w:rPr>
          <w:b/>
          <w:lang w:val="nl-NL"/>
        </w:rPr>
        <w:t xml:space="preserve">dịch vụ</w:t>
      </w:r>
      <w:r>
        <w:rPr>
          <w:b/>
          <w:lang w:val="nl-NL"/>
        </w:rPr>
        <w:t xml:space="preserve"> giáo dục mầm non, phổ thông, trung tâm giáo dục nghề nghiệp - giáo dục thường xuyên, trường Cao đẳng Sư phạm trên địa bàn tỉnh Tây Ninh</w:t>
      </w:r>
      <w:bookmarkEnd w:id="0"/>
      <w:r/>
      <w:bookmarkEnd w:id="1"/>
      <w:r>
        <w:rPr>
          <w:b/>
          <w:lang w:val="nl-NL"/>
        </w:rPr>
      </w:r>
      <w:r>
        <w:rPr>
          <w:b/>
          <w:lang w:val="nl-NL"/>
        </w:rPr>
      </w:r>
    </w:p>
    <w:p>
      <w:pPr>
        <w:pBdr/>
        <w:spacing/>
        <w:ind/>
        <w:jc w:val="center"/>
        <w:rPr>
          <w:b/>
          <w:lang w:val="nl-NL"/>
        </w:rPr>
      </w:pPr>
      <w:r>
        <w:rPr>
          <w:b/>
          <w:lang w:val="nl-NL"/>
        </w:rPr>
        <w:t xml:space="preserve">———</w:t>
      </w:r>
      <w:r>
        <w:rPr>
          <w:b/>
          <w:lang w:val="nl-NL"/>
        </w:rPr>
      </w:r>
      <w:r>
        <w:rPr>
          <w:b/>
          <w:lang w:val="nl-NL"/>
        </w:rPr>
      </w:r>
    </w:p>
    <w:p>
      <w:pPr>
        <w:pBdr/>
        <w:spacing w:before="120" w:line="360" w:lineRule="exact"/>
        <w:ind w:firstLine="709"/>
        <w:jc w:val="both"/>
        <w:rPr>
          <w:sz w:val="24"/>
          <w:szCs w:val="24"/>
        </w:rPr>
      </w:pPr>
      <w:r>
        <w:rPr>
          <w:i/>
          <w:iCs/>
        </w:rPr>
        <w:t xml:space="preserve">Căn cứ Luật Tổ chức chính quyền địa phương số 72/2025/QH15;</w:t>
      </w:r>
      <w:r>
        <w:rPr>
          <w:sz w:val="24"/>
          <w:szCs w:val="24"/>
        </w:rPr>
      </w:r>
      <w:r>
        <w:rPr>
          <w:sz w:val="24"/>
          <w:szCs w:val="24"/>
        </w:rPr>
      </w:r>
    </w:p>
    <w:p>
      <w:pPr>
        <w:pBdr/>
        <w:shd w:val="clear" w:color="auto" w:fill="ffffff"/>
        <w:spacing w:before="120" w:line="360" w:lineRule="exact"/>
        <w:ind w:firstLine="709"/>
        <w:jc w:val="both"/>
        <w:rPr>
          <w:sz w:val="24"/>
          <w:szCs w:val="24"/>
        </w:rPr>
      </w:pPr>
      <w:r>
        <w:rPr>
          <w:i/>
          <w:iCs/>
        </w:rPr>
        <w:t xml:space="preserve">Căn cứ Luật Giáo dục số 43/2019/QH14 được sửa đổi, bổ sung bởi Luật số 123/2025/QH15;</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cứ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02/2010/TT-BGDĐT ngày 11 tháng 2 năm 2010 của Bộ trưởng Bộ Giáo dục và Đào tạo ban hành Danh mục Đồ dùng - Đồ chơi - Thiết bị dạy học tối thiểu dùng cho Giáo dục mầm non; </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32/2012/TT-BGDĐT ngày 14 tháng 9 năm 2012 của Bộ trưởng Bộ Giáo dục và Đào tạo ban hành Danh mục thiết bị và đồ chời ngoài trời cho giáo dục mầm non;</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34/2013/TT-BGDĐT ngày 17 tháng 9 năm 2013 của Bộ trưởng Bộ G</w:t>
      </w:r>
      <w:r>
        <w:rPr>
          <w:i/>
          <w:iCs/>
        </w:rPr>
        <w:t xml:space="preserve">iáo dục và Đào tạo sửa đổi, bổ sung một số thiết bị quy định tại Danh mục Đồ dùng - Đồ chơi - Thiết bị dạy học tối thiểu dùng cho giáo dục mầm non ban hành kèm theo Thông tư số 02/2010/TT-BGDĐT ngày 11 tháng 2 năm 2010 của Bộ trưởng Bộ Giáo dục và Đào tạo;</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07/2020/TT-BLĐTBXH ngày 12/10/2020 của Bộ trưởng Bộ Lao động - Thương binh và Xã hội quy định việc xây dựng, thẩm định và ban hành định mức kinh tế - kỹ thuật về đào tạo áp dụng trong lĩnh vực giáo dục nghề nghiệp;</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14/2020/TT-BGDĐT ngày 26 tháng 5 năm 2020 của Bộ trưởng Bộ Giáo dục và Đào tạo ban hành về Quy định phòng học bộ môn của cơ sở giáo dục phổ thông; </w:t>
      </w:r>
      <w:r>
        <w:rPr>
          <w:sz w:val="24"/>
          <w:szCs w:val="24"/>
        </w:rPr>
      </w:r>
      <w:r>
        <w:rPr>
          <w:sz w:val="24"/>
          <w:szCs w:val="24"/>
        </w:rPr>
      </w:r>
    </w:p>
    <w:p>
      <w:pPr>
        <w:pBdr/>
        <w:spacing w:before="120" w:line="360" w:lineRule="exact"/>
        <w:ind w:firstLine="709"/>
        <w:jc w:val="both"/>
        <w:rPr>
          <w:sz w:val="24"/>
          <w:szCs w:val="24"/>
        </w:rPr>
      </w:pPr>
      <w:r>
        <w:rPr>
          <w:i/>
          <w:iCs/>
        </w:rPr>
        <w:t xml:space="preserve">Căn cứ Thông tư số 13/2020/TT-BGDĐT ngày 26 tháng 5 năm 2020 của Bộ trưởng Bộ Giáo dục và Đào tạo ban hành Quy định tiêu chuẩn cơ sở vật chất </w:t>
      </w:r>
      <w:r>
        <w:rPr>
          <w:i/>
          <w:iCs/>
        </w:rPr>
        <w:t xml:space="preserve">các trường mầm non, tiểu học, trung học cơ sở, trung học phổ thông và trường phổ thông có nhiều cấp học; </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36/2020/TT-BGDĐT ngày 05 tháng 10 năm 2020 của Bộ trưởng Bộ Giáo dục và Đào tạo Quy định chế độ làm việc của giảng viên trường cao đẳng sư phạm;</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37/2021/TT-BGDĐT ngày 30 tháng 12 năm 2021 của Bộ trưởng Bộ Giáo dục và Đào tạo ban hành Danh mục thiết bị dạy học tối thiểu cấp Tiểu học; </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38/2021/TT-BGDĐT ngày 30 tháng 12 năm 2021 của Bộ trưởng Bộ Giáo dục và Đào tạo ban hành Danh mục thiết bị dạy học tối thiểu cấp Trung học cơ sở; </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số 39/2021/TT-BGDĐT ngày 30 tháng 12 năm 2021 của Bộ trưởng Bộ Giáo dục và Đào tạo ban hành Danh mục thiết bị dạy học tối thiểu cấp Trung học phổ thông;</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số 19/2022/TT-BGDĐT ngày 22 tháng 12 năm 2022 của Bộ trưởng Bộ Giáo dục và Đào tạo ban hành Dan</w:t>
      </w:r>
      <w:r>
        <w:rPr>
          <w:i/>
          <w:iCs/>
        </w:rPr>
        <w:t xml:space="preserve">h mục thiết bị dạy học tối thiểu môn Giáo dục quốc phòng và an ninh trong các trường tiểu học, trung học cơ sở, trung học phổ thông và trường phổ thông có nhiều cấp học, trường cao đẳng sư phạm và cơ sở giáo dục đại học;</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19</w:t>
      </w:r>
      <w:r>
        <w:rPr>
          <w:i/>
          <w:iCs/>
        </w:rPr>
        <w:t xml:space="preserve">/2023/TT-BGDĐT ngày 30/10/2023 của Bộ trưởng Bộ Giáo dục và Đào tạo hướng dẫn về vị trí việc làm, cơ cấu viên chức theo chức danh nghề nghiệp và định mức số lượng người làm việc trong các cơ sở giáo dục mầm non công lập;</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tư số 20/2023/TT-BGDĐT ngày 30 tháng 10 năm 2023 </w:t>
      </w:r>
      <w:r>
        <w:rPr>
          <w:i/>
          <w:iCs/>
        </w:rPr>
        <w:t xml:space="preserve">của Bộ trưởng Bộ Giáo dục và Đào tạo hướng dẫn về vị trí việc làm, cơ cấu viên chức theo chức danh nghề nghiệp và định mức số lượng người làm việc trong các cơ sở giáo dục phổ thông và các trường chuyên biệt công lập;</w:t>
      </w:r>
      <w:r>
        <w:rPr>
          <w:sz w:val="24"/>
          <w:szCs w:val="24"/>
        </w:rPr>
      </w:r>
      <w:r>
        <w:rPr>
          <w:sz w:val="24"/>
          <w:szCs w:val="24"/>
        </w:rPr>
      </w:r>
    </w:p>
    <w:p>
      <w:pPr>
        <w:widowControl w:val="false"/>
        <w:pBdr/>
        <w:spacing w:before="120" w:line="360" w:lineRule="exact"/>
        <w:ind w:firstLine="709"/>
        <w:jc w:val="both"/>
        <w:rPr>
          <w:sz w:val="24"/>
          <w:szCs w:val="24"/>
        </w:rPr>
      </w:pPr>
      <w:r>
        <w:rPr>
          <w:i/>
          <w:iCs/>
        </w:rPr>
        <w:t xml:space="preserve">Căn cứ Thông </w:t>
      </w:r>
      <w:r>
        <w:rPr>
          <w:i/>
          <w:iCs/>
        </w:rPr>
        <w:t xml:space="preserve">tư số 14/2024/TT-BGDĐT ngày 31 tháng 10 năm 2024 của Bộ trưởng Bộ Giáo dục và Đào tạo hướng dẫn, xây dựng, thẩm định, ban hành định mức kinh tế - kỹ thuật và phương pháp xây dựng giá dịch vụ giáo dục và đào tạo áp dụng trong lĩnh vực giáo dục và đào tạo;</w:t>
      </w:r>
      <w:r>
        <w:rPr>
          <w:sz w:val="24"/>
          <w:szCs w:val="24"/>
        </w:rPr>
      </w:r>
      <w:r>
        <w:rPr>
          <w:sz w:val="24"/>
          <w:szCs w:val="24"/>
        </w:rPr>
      </w:r>
    </w:p>
    <w:p>
      <w:pPr>
        <w:pBdr/>
        <w:spacing w:before="120" w:line="360" w:lineRule="exact"/>
        <w:ind w:firstLine="709"/>
        <w:jc w:val="both"/>
        <w:rPr>
          <w:sz w:val="24"/>
          <w:szCs w:val="24"/>
        </w:rPr>
      </w:pPr>
      <w:r>
        <w:rPr>
          <w:i/>
          <w:iCs/>
        </w:rPr>
        <w:t xml:space="preserve">Căn cứ Thông tư số 23/2024/TT-BGDĐT ngày 16 tháng 12 năm 2024 của Bộ trưởng Bộ Giáo dục và Đào tạo sửa đổi, bổ sung một số đi</w:t>
      </w:r>
      <w:r>
        <w:rPr>
          <w:i/>
          <w:iCs/>
        </w:rPr>
        <w:t xml:space="preserve">ều của Quy định tiêu chuẩn cơ sở vật chất các trường mầm non, tiểu học, trung học cơ sở, trung học phổ thông và trường phổ thông có nhiều cấp học ban hành kèm theo Thông tư số 13/2020/TT-BGDĐT ngày 26 tháng 5 năm 2020 của Bộ trưởng Bộ Giáo dục và Đào tạo; </w:t>
      </w:r>
      <w:r>
        <w:rPr>
          <w:sz w:val="24"/>
          <w:szCs w:val="24"/>
        </w:rPr>
      </w:r>
      <w:r>
        <w:rPr>
          <w:sz w:val="24"/>
          <w:szCs w:val="24"/>
        </w:rPr>
      </w:r>
    </w:p>
    <w:p>
      <w:pPr>
        <w:pBdr/>
        <w:spacing w:before="120" w:line="360" w:lineRule="exact"/>
        <w:ind w:firstLine="709"/>
        <w:jc w:val="both"/>
        <w:rPr>
          <w:sz w:val="24"/>
          <w:szCs w:val="24"/>
        </w:rPr>
      </w:pPr>
      <w:r>
        <w:rPr>
          <w:i/>
          <w:iCs/>
        </w:rPr>
        <w:t xml:space="preserve">Căn cứ Thông tư số 05/2025/TT-BGDĐT ngày 07 tháng 3 năm 2025 của Bộ trưởng Bộ Giáo dục và Đào tạo ban hành Quy định về chế độ làm việc đối với giáo viên phổ thông, dự bị đại học;</w:t>
      </w:r>
      <w:r>
        <w:rPr>
          <w:sz w:val="24"/>
          <w:szCs w:val="24"/>
        </w:rPr>
      </w:r>
      <w:r>
        <w:rPr>
          <w:sz w:val="24"/>
          <w:szCs w:val="24"/>
        </w:rPr>
      </w:r>
    </w:p>
    <w:p>
      <w:pPr>
        <w:pBdr/>
        <w:spacing w:before="120" w:line="360" w:lineRule="exact"/>
        <w:ind w:firstLine="709"/>
        <w:jc w:val="both"/>
        <w:rPr>
          <w:i/>
          <w:iCs/>
          <w:lang w:val="nl-NL"/>
        </w:rPr>
      </w:pPr>
      <w:r>
        <w:rPr>
          <w:i/>
          <w:iCs/>
          <w:lang w:val="nl-NL"/>
        </w:rPr>
        <w:t xml:space="preserve">Theo</w:t>
      </w:r>
      <w:r>
        <w:rPr>
          <w:i/>
          <w:iCs/>
          <w:lang w:val="nl-NL"/>
        </w:rPr>
        <w:t xml:space="preserve"> đề nghị của </w:t>
      </w:r>
      <w:r>
        <w:rPr>
          <w:i/>
          <w:iCs/>
          <w:lang w:val="nl-NL"/>
        </w:rPr>
        <w:t xml:space="preserve">Giám đốc </w:t>
      </w:r>
      <w:r>
        <w:rPr>
          <w:i/>
          <w:iCs/>
          <w:lang w:val="nl-NL"/>
        </w:rPr>
        <w:t xml:space="preserve">Sở Giáo dục</w:t>
      </w:r>
      <w:r>
        <w:rPr>
          <w:i/>
          <w:iCs/>
          <w:lang w:val="nl-NL"/>
        </w:rPr>
        <w:t xml:space="preserve"> và Đào tạo</w:t>
      </w:r>
      <w:r>
        <w:rPr>
          <w:i/>
          <w:iCs/>
          <w:lang w:val="nl-NL"/>
        </w:rPr>
        <w:t xml:space="preserve">;</w:t>
      </w:r>
      <w:r>
        <w:rPr>
          <w:i/>
          <w:iCs/>
          <w:lang w:val="nl-NL"/>
        </w:rPr>
      </w:r>
      <w:r>
        <w:rPr>
          <w:i/>
          <w:iCs/>
          <w:lang w:val="nl-NL"/>
        </w:rPr>
      </w:r>
    </w:p>
    <w:p>
      <w:pPr>
        <w:pBdr/>
        <w:spacing w:before="120" w:line="360" w:lineRule="exact"/>
        <w:ind w:firstLine="709"/>
        <w:jc w:val="both"/>
        <w:rPr>
          <w:i/>
          <w:iCs/>
          <w:lang w:val="nl-NL"/>
        </w:rPr>
      </w:pPr>
      <w:r>
        <w:rPr>
          <w:i/>
          <w:iCs/>
          <w:lang w:val="nl-NL"/>
        </w:rPr>
        <w:t xml:space="preserve">Ủy ban nhân dân ban hành </w:t>
      </w:r>
      <w:r>
        <w:rPr>
          <w:i/>
          <w:iCs/>
          <w:lang w:val="nl-NL"/>
        </w:rPr>
        <w:t xml:space="preserve">Quyết định </w:t>
      </w:r>
      <w:r>
        <w:rPr>
          <w:i/>
          <w:iCs/>
          <w:lang w:val="nl-NL"/>
        </w:rPr>
        <w:t xml:space="preserve">q</w:t>
      </w:r>
      <w:r>
        <w:rPr>
          <w:i/>
          <w:iCs/>
          <w:lang w:val="nl-NL"/>
        </w:rPr>
        <w:t xml:space="preserve">uy định định mức kinh tế - kỹ thuật đối với</w:t>
      </w:r>
      <w:r>
        <w:rPr>
          <w:i/>
          <w:iCs/>
          <w:lang w:val="nl-NL"/>
        </w:rPr>
        <w:t xml:space="preserve"> các</w:t>
      </w:r>
      <w:r>
        <w:rPr>
          <w:i/>
          <w:iCs/>
          <w:lang w:val="nl-NL"/>
        </w:rPr>
        <w:t xml:space="preserve"> </w:t>
      </w:r>
      <w:r>
        <w:rPr>
          <w:i/>
          <w:iCs/>
          <w:lang w:val="nl-NL"/>
        </w:rPr>
        <w:t xml:space="preserve">dịch vụ</w:t>
      </w:r>
      <w:r>
        <w:rPr>
          <w:i/>
          <w:iCs/>
          <w:lang w:val="nl-NL"/>
        </w:rPr>
        <w:t xml:space="preserve"> giáo dục mầm non, phổ thông, trung tâm giáo dục nghề nghiệp - giáo dục thường xuyên, trường cao đẳng sư phạm trên địa bàn tỉnh Tây Ninh.</w:t>
      </w:r>
      <w:r>
        <w:rPr>
          <w:i/>
          <w:iCs/>
          <w:lang w:val="nl-NL"/>
        </w:rPr>
      </w:r>
      <w:r>
        <w:rPr>
          <w:i/>
          <w:iCs/>
          <w:lang w:val="nl-NL"/>
        </w:rPr>
      </w:r>
    </w:p>
    <w:p>
      <w:pPr>
        <w:pBdr/>
        <w:spacing w:before="120" w:line="360" w:lineRule="exact"/>
        <w:ind w:firstLine="709"/>
        <w:jc w:val="both"/>
        <w:rPr>
          <w:b/>
          <w:lang w:val="nl-NL"/>
        </w:rPr>
      </w:pPr>
      <w:r>
        <w:rPr>
          <w:b/>
          <w:lang w:val="nl-NL"/>
        </w:rPr>
        <w:t xml:space="preserve">Điều 1. Phạm vi điều chỉnh và đối tượng áp dụng</w:t>
      </w:r>
      <w:r>
        <w:rPr>
          <w:b/>
          <w:lang w:val="nl-NL"/>
        </w:rPr>
      </w:r>
      <w:r>
        <w:rPr>
          <w:b/>
          <w:lang w:val="nl-NL"/>
        </w:rPr>
      </w:r>
    </w:p>
    <w:p>
      <w:pPr>
        <w:pBdr/>
        <w:spacing w:before="120" w:line="360" w:lineRule="exact"/>
        <w:ind w:firstLine="709"/>
        <w:jc w:val="both"/>
        <w:rPr>
          <w:b/>
          <w:lang w:val="nl-NL"/>
        </w:rPr>
      </w:pPr>
      <w:r>
        <w:rPr>
          <w:b/>
          <w:lang w:val="nl-NL"/>
        </w:rPr>
        <w:t xml:space="preserve">1. Phạm vi điều chỉnh</w:t>
      </w:r>
      <w:r>
        <w:rPr>
          <w:b/>
          <w:lang w:val="nl-NL"/>
        </w:rPr>
      </w:r>
      <w:r>
        <w:rPr>
          <w:b/>
          <w:lang w:val="nl-NL"/>
        </w:rPr>
      </w:r>
    </w:p>
    <w:p>
      <w:pPr>
        <w:pBdr/>
        <w:spacing w:before="120" w:line="360" w:lineRule="exact"/>
        <w:ind w:firstLine="709"/>
        <w:jc w:val="both"/>
        <w:rPr>
          <w:lang w:val="nl-NL"/>
        </w:rPr>
      </w:pPr>
      <w:r>
        <w:rPr>
          <w:lang w:val="nl-NL"/>
        </w:rPr>
        <w:t xml:space="preserve">Quy định định mức kinh tế - kỹ thuật đối với</w:t>
      </w:r>
      <w:r>
        <w:rPr>
          <w:lang w:val="nl-NL"/>
        </w:rPr>
        <w:t xml:space="preserve"> các</w:t>
      </w:r>
      <w:r>
        <w:rPr>
          <w:lang w:val="nl-NL"/>
        </w:rPr>
        <w:t xml:space="preserve"> </w:t>
      </w:r>
      <w:r>
        <w:rPr>
          <w:lang w:val="nl-NL"/>
        </w:rPr>
        <w:t xml:space="preserve">dịch vụ</w:t>
      </w:r>
      <w:r>
        <w:rPr>
          <w:lang w:val="nl-NL"/>
        </w:rPr>
        <w:t xml:space="preserve"> giáo dục mầm non, phổ thông, giáo dục thường xuyên, trường cao đẳng sư phạm trên địa bàn tỉnh Tây Ninh </w:t>
      </w:r>
      <w:r>
        <w:rPr>
          <w:lang w:val="nl-NL"/>
        </w:rPr>
      </w:r>
      <w:r>
        <w:rPr>
          <w:lang w:val="nl-NL"/>
        </w:rPr>
      </w:r>
    </w:p>
    <w:p>
      <w:pPr>
        <w:pBdr/>
        <w:spacing w:before="120" w:line="360" w:lineRule="exact"/>
        <w:ind w:firstLine="709"/>
        <w:jc w:val="both"/>
        <w:rPr>
          <w:b/>
          <w:lang w:val="nl-NL"/>
        </w:rPr>
      </w:pPr>
      <w:r>
        <w:rPr>
          <w:b/>
          <w:lang w:val="nl-NL"/>
        </w:rPr>
        <w:t xml:space="preserve">2. Đối tượng áp dụng</w:t>
      </w:r>
      <w:r>
        <w:rPr>
          <w:b/>
          <w:lang w:val="nl-NL"/>
        </w:rPr>
      </w:r>
      <w:r>
        <w:rPr>
          <w:b/>
          <w:lang w:val="nl-NL"/>
        </w:rPr>
      </w:r>
    </w:p>
    <w:p>
      <w:pPr>
        <w:pBdr/>
        <w:spacing w:before="120" w:line="360" w:lineRule="exact"/>
        <w:ind w:firstLine="709"/>
        <w:jc w:val="both"/>
        <w:rPr>
          <w:lang w:val="nl-NL"/>
        </w:rPr>
      </w:pPr>
      <w:r>
        <w:rPr>
          <w:lang w:val="nl-NL"/>
        </w:rPr>
        <w:t xml:space="preserve">a) Các cơ sở giáo dục công lập thuộc hệ thống gi</w:t>
      </w:r>
      <w:r>
        <w:rPr>
          <w:lang w:val="nl-NL"/>
        </w:rPr>
        <w:t xml:space="preserve">áo dục quốc dân, bao gồm: các dịch vụ </w:t>
      </w:r>
      <w:r>
        <w:rPr>
          <w:lang w:val="nl-NL"/>
        </w:rPr>
        <w:t xml:space="preserve">giáo dục mầm non, giáo dục phổ thông, </w:t>
      </w:r>
      <w:r>
        <w:rPr>
          <w:lang w:val="nl-NL"/>
        </w:rPr>
        <w:t xml:space="preserve">trung tâm giáo dục nghề nghiệp - giáo dục thường xuyên</w:t>
      </w:r>
      <w:r>
        <w:rPr>
          <w:lang w:val="nl-NL"/>
        </w:rPr>
        <w:t xml:space="preserve">, trường </w:t>
      </w:r>
      <w:r>
        <w:rPr>
          <w:lang w:val="nl-NL"/>
        </w:rPr>
        <w:t xml:space="preserve">cao đẳng sư phạm trên địa bàn tỉnh Tây</w:t>
      </w:r>
      <w:r>
        <w:rPr>
          <w:lang w:val="nl-NL"/>
        </w:rPr>
        <w:t xml:space="preserve"> Ninh</w:t>
      </w:r>
      <w:r>
        <w:rPr>
          <w:lang w:val="nl-NL"/>
        </w:rPr>
        <w:t xml:space="preserve">;</w:t>
      </w:r>
      <w:r>
        <w:rPr>
          <w:lang w:val="nl-NL"/>
        </w:rPr>
      </w:r>
      <w:r>
        <w:rPr>
          <w:lang w:val="nl-NL"/>
        </w:rPr>
      </w:r>
    </w:p>
    <w:p>
      <w:pPr>
        <w:pBdr/>
        <w:spacing w:before="120" w:line="360" w:lineRule="exact"/>
        <w:ind w:firstLine="709"/>
        <w:jc w:val="both"/>
        <w:rPr>
          <w:lang w:val="nl-NL"/>
        </w:rPr>
      </w:pPr>
      <w:r>
        <w:rPr>
          <w:lang w:val="nl-NL"/>
        </w:rPr>
        <w:t xml:space="preserve">b) Các đối tượng khác tham gia đấu thầu, đặt hàng, giao nhiệm vụ dịch vụ giáo dục đào tạo từ nguồn kinh phí ngân sách nhà nước;</w:t>
      </w:r>
      <w:r>
        <w:rPr>
          <w:lang w:val="nl-NL"/>
        </w:rPr>
      </w:r>
      <w:r>
        <w:rPr>
          <w:lang w:val="nl-NL"/>
        </w:rPr>
      </w:r>
    </w:p>
    <w:p>
      <w:pPr>
        <w:pBdr/>
        <w:spacing w:before="120" w:line="360" w:lineRule="exact"/>
        <w:ind w:firstLine="709"/>
        <w:jc w:val="both"/>
        <w:rPr>
          <w:lang w:val="nl-NL"/>
        </w:rPr>
      </w:pPr>
      <w:r>
        <w:rPr>
          <w:lang w:val="nl-NL"/>
        </w:rPr>
        <w:t xml:space="preserve">c) </w:t>
      </w:r>
      <w:r>
        <w:rPr>
          <w:lang w:val="nl-NL"/>
        </w:rPr>
        <w:t xml:space="preserve">Các cơ quan, tổ chức cá nhân có liên quan khác</w:t>
      </w:r>
      <w:r>
        <w:rPr>
          <w:lang w:val="nl-NL"/>
        </w:rPr>
      </w:r>
      <w:r>
        <w:rPr>
          <w:lang w:val="nl-NL"/>
        </w:rPr>
      </w:r>
    </w:p>
    <w:p>
      <w:pPr>
        <w:pBdr/>
        <w:spacing w:before="120" w:line="360" w:lineRule="exact"/>
        <w:ind w:firstLine="709"/>
        <w:jc w:val="both"/>
        <w:rPr>
          <w:b/>
          <w:lang w:val="nl-NL"/>
        </w:rPr>
      </w:pPr>
      <w:r>
        <w:rPr>
          <w:b/>
          <w:lang w:val="nl-NL"/>
        </w:rPr>
        <w:t xml:space="preserve">Điều 2. </w:t>
      </w:r>
      <w:r>
        <w:rPr>
          <w:b/>
          <w:lang w:val="nl-NL"/>
        </w:rPr>
        <w:t xml:space="preserve">Nội dung của định mức kinh tế - kỹ thuật đối với </w:t>
      </w:r>
      <w:r>
        <w:rPr>
          <w:b/>
          <w:lang w:val="nl-NL"/>
        </w:rPr>
        <w:t xml:space="preserve">các </w:t>
      </w:r>
      <w:r>
        <w:rPr>
          <w:b/>
          <w:lang w:val="nl-NL"/>
        </w:rPr>
        <w:t xml:space="preserve">dịch vụ</w:t>
      </w:r>
      <w:r>
        <w:rPr>
          <w:b/>
          <w:lang w:val="nl-NL"/>
        </w:rPr>
        <w:t xml:space="preserve"> giáo dục mầm non, phổ thông, trung tâm giáo dục nghề nghiệp - giáo dục thường xuyên, trường cao đẳng sư phạm</w:t>
      </w:r>
      <w:r>
        <w:rPr>
          <w:b/>
          <w:lang w:val="nl-NL"/>
        </w:rPr>
      </w:r>
      <w:r>
        <w:rPr>
          <w:b/>
          <w:lang w:val="nl-NL"/>
        </w:rPr>
      </w:r>
    </w:p>
    <w:p>
      <w:pPr>
        <w:pBdr/>
        <w:spacing w:before="120" w:line="360" w:lineRule="exact"/>
        <w:ind w:firstLine="709"/>
        <w:jc w:val="both"/>
        <w:rPr>
          <w:lang w:val="nl-NL"/>
        </w:rPr>
      </w:pPr>
      <w:r>
        <w:rPr>
          <w:lang w:val="nl-NL"/>
        </w:rPr>
        <w:t xml:space="preserve">1</w:t>
      </w:r>
      <w:r>
        <w:rPr>
          <w:lang w:val="nl-NL"/>
        </w:rPr>
        <w:t xml:space="preserve">. Định mức kinh tế - kỹ thuật đối với </w:t>
      </w:r>
      <w:r>
        <w:rPr>
          <w:lang w:val="nl-NL"/>
        </w:rPr>
        <w:t xml:space="preserve">dịch vụ</w:t>
      </w:r>
      <w:r>
        <w:rPr>
          <w:lang w:val="nl-NL"/>
        </w:rPr>
        <w:t xml:space="preserve"> giáo dục mầm non</w:t>
      </w:r>
      <w:r>
        <w:rPr>
          <w:lang w:val="nl-NL"/>
        </w:rPr>
        <w:t xml:space="preserve"> được quy định tại Phụ lục I kèm theo Quyết định này</w:t>
      </w:r>
      <w:r>
        <w:rPr>
          <w:lang w:val="nl-NL"/>
        </w:rPr>
      </w:r>
      <w:r>
        <w:rPr>
          <w:lang w:val="nl-NL"/>
        </w:rPr>
      </w:r>
    </w:p>
    <w:p>
      <w:pPr>
        <w:pBdr/>
        <w:spacing w:before="120" w:line="360" w:lineRule="exact"/>
        <w:ind w:firstLine="709"/>
        <w:jc w:val="both"/>
        <w:rPr>
          <w:lang w:val="nl-NL"/>
        </w:rPr>
      </w:pPr>
      <w:r>
        <w:rPr>
          <w:lang w:val="nl-NL"/>
        </w:rPr>
        <w:t xml:space="preserve">2. </w:t>
      </w:r>
      <w:bookmarkStart w:id="2" w:name="_Hlk208929418"/>
      <w:r>
        <w:rPr>
          <w:lang w:val="nl-NL"/>
        </w:rPr>
        <w:t xml:space="preserve">Định mức kinh tế - kỹ thuật đối với</w:t>
      </w:r>
      <w:bookmarkEnd w:id="2"/>
      <w:r>
        <w:rPr>
          <w:lang w:val="nl-NL"/>
        </w:rPr>
        <w:t xml:space="preserve"> </w:t>
      </w:r>
      <w:r>
        <w:rPr>
          <w:lang w:val="nl-NL"/>
        </w:rPr>
        <w:t xml:space="preserve">dịch vụ</w:t>
      </w:r>
      <w:r>
        <w:rPr>
          <w:lang w:val="nl-NL"/>
        </w:rPr>
        <w:t xml:space="preserve"> giáo dục</w:t>
      </w:r>
      <w:r>
        <w:rPr>
          <w:lang w:val="nl-NL"/>
        </w:rPr>
        <w:t xml:space="preserve"> phổ thông</w:t>
      </w:r>
      <w:r>
        <w:rPr>
          <w:lang w:val="nl-NL"/>
        </w:rPr>
        <w:t xml:space="preserve"> được quy định </w:t>
      </w:r>
      <w:r>
        <w:rPr>
          <w:lang w:val="nl-NL"/>
        </w:rPr>
        <w:t xml:space="preserve">như sau:</w:t>
      </w:r>
      <w:r>
        <w:rPr>
          <w:lang w:val="nl-NL"/>
        </w:rPr>
      </w:r>
      <w:r>
        <w:rPr>
          <w:lang w:val="nl-NL"/>
        </w:rPr>
      </w:r>
    </w:p>
    <w:p>
      <w:pPr>
        <w:pBdr/>
        <w:spacing w:before="120" w:line="360" w:lineRule="exact"/>
        <w:ind w:firstLine="709"/>
        <w:jc w:val="both"/>
        <w:rPr>
          <w:lang w:val="nl-NL"/>
        </w:rPr>
      </w:pPr>
      <w:r>
        <w:rPr>
          <w:lang w:val="nl-NL"/>
        </w:rPr>
        <w:t xml:space="preserve">a) Định mức kinh tế - kỹ thuật giáo dục Tiểu học được quy định tại Phụ lục II kèm theo Quyết định này;</w:t>
      </w:r>
      <w:r>
        <w:rPr>
          <w:lang w:val="nl-NL"/>
        </w:rPr>
      </w:r>
      <w:r>
        <w:rPr>
          <w:lang w:val="nl-NL"/>
        </w:rPr>
      </w:r>
    </w:p>
    <w:p>
      <w:pPr>
        <w:pBdr/>
        <w:spacing w:before="120" w:line="360" w:lineRule="exact"/>
        <w:ind w:firstLine="709"/>
        <w:jc w:val="both"/>
        <w:rPr>
          <w:lang w:val="nl-NL"/>
        </w:rPr>
      </w:pPr>
      <w:r>
        <w:rPr>
          <w:lang w:val="nl-NL"/>
        </w:rPr>
        <w:t xml:space="preserve">b) Định mức kinh tế - kỹ thuật giáo dục Trung học cơ sở được quy định tại Phụ lục III kèm theo Quyết định này;</w:t>
      </w:r>
      <w:r>
        <w:rPr>
          <w:lang w:val="nl-NL"/>
        </w:rPr>
      </w:r>
      <w:r>
        <w:rPr>
          <w:lang w:val="nl-NL"/>
        </w:rPr>
      </w:r>
    </w:p>
    <w:p>
      <w:pPr>
        <w:pBdr/>
        <w:spacing w:before="120" w:line="360" w:lineRule="exact"/>
        <w:ind w:firstLine="709"/>
        <w:jc w:val="both"/>
        <w:rPr>
          <w:lang w:val="nl-NL"/>
        </w:rPr>
      </w:pPr>
      <w:r>
        <w:rPr>
          <w:lang w:val="nl-NL"/>
        </w:rPr>
        <w:t xml:space="preserve">c) Định mức kinh tế - kỹ thuật giáo dục Trung học phổ thông được quy định tại Phụ lục IV kèm theo Quyết định này.</w:t>
      </w:r>
      <w:r>
        <w:rPr>
          <w:lang w:val="nl-NL"/>
        </w:rPr>
      </w:r>
      <w:r>
        <w:rPr>
          <w:lang w:val="nl-NL"/>
        </w:rPr>
      </w:r>
    </w:p>
    <w:p>
      <w:pPr>
        <w:pBdr/>
        <w:spacing w:before="120" w:line="360" w:lineRule="exact"/>
        <w:ind w:firstLine="709"/>
        <w:jc w:val="both"/>
        <w:rPr>
          <w:lang w:val="nl-NL"/>
        </w:rPr>
      </w:pPr>
      <w:r>
        <w:rPr>
          <w:lang w:val="nl-NL"/>
        </w:rPr>
        <w:t xml:space="preserve">3. Định mức kinh tế - kỹ thuật đối với</w:t>
      </w:r>
      <w:r>
        <w:rPr>
          <w:lang w:val="nl-NL"/>
        </w:rPr>
        <w:t xml:space="preserve"> </w:t>
      </w:r>
      <w:r>
        <w:rPr>
          <w:lang w:val="nl-NL"/>
        </w:rPr>
        <w:t xml:space="preserve">dịch vụ</w:t>
      </w:r>
      <w:r>
        <w:rPr>
          <w:lang w:val="nl-NL"/>
        </w:rPr>
        <w:t xml:space="preserve"> giáo dục nghề nghiệp - giáo dục thường xuyên</w:t>
      </w:r>
      <w:r>
        <w:rPr>
          <w:lang w:val="nl-NL"/>
        </w:rPr>
        <w:t xml:space="preserve"> được quy định tại Phụ lục V kèm theo Quyết định này</w:t>
      </w:r>
      <w:r>
        <w:rPr>
          <w:lang w:val="nl-NL"/>
        </w:rPr>
      </w:r>
      <w:r>
        <w:rPr>
          <w:lang w:val="nl-NL"/>
        </w:rPr>
      </w:r>
    </w:p>
    <w:p>
      <w:pPr>
        <w:pBdr/>
        <w:spacing w:before="120" w:line="360" w:lineRule="exact"/>
        <w:ind w:firstLine="709"/>
        <w:jc w:val="both"/>
        <w:rPr>
          <w:lang w:val="nl-NL"/>
        </w:rPr>
      </w:pPr>
      <w:r>
        <w:rPr>
          <w:lang w:val="nl-NL"/>
        </w:rPr>
        <w:t xml:space="preserve">4. Định mức kinh tế - kỹ thuật đối với </w:t>
      </w:r>
      <w:r>
        <w:rPr>
          <w:lang w:val="nl-NL"/>
        </w:rPr>
        <w:t xml:space="preserve">dịch vụ </w:t>
      </w:r>
      <w:r>
        <w:rPr>
          <w:lang w:val="nl-NL"/>
        </w:rPr>
        <w:t xml:space="preserve">trường Cao đẳng Sư phạm </w:t>
      </w:r>
      <w:r>
        <w:rPr>
          <w:lang w:val="nl-NL"/>
        </w:rPr>
        <w:t xml:space="preserve">ngành giáo dục mầm non </w:t>
      </w:r>
      <w:r>
        <w:rPr>
          <w:lang w:val="nl-NL"/>
        </w:rPr>
        <w:t xml:space="preserve">được quy định tại Phụ lục VI </w:t>
      </w:r>
      <w:bookmarkStart w:id="3" w:name="_Hlk208929466"/>
      <w:r>
        <w:rPr>
          <w:lang w:val="nl-NL"/>
        </w:rPr>
        <w:t xml:space="preserve">kèm theo Quyết định này</w:t>
      </w:r>
      <w:bookmarkEnd w:id="3"/>
      <w:r>
        <w:rPr>
          <w:lang w:val="nl-NL"/>
        </w:rPr>
        <w:t xml:space="preserve">.</w:t>
      </w:r>
      <w:r>
        <w:rPr>
          <w:lang w:val="nl-NL"/>
        </w:rPr>
      </w:r>
      <w:r>
        <w:rPr>
          <w:lang w:val="nl-NL"/>
        </w:rPr>
      </w:r>
    </w:p>
    <w:p>
      <w:pPr>
        <w:pBdr/>
        <w:spacing w:before="120" w:line="360" w:lineRule="exact"/>
        <w:ind w:firstLine="709"/>
        <w:jc w:val="both"/>
        <w:rPr>
          <w:b/>
          <w:lang w:val="nl-NL"/>
        </w:rPr>
      </w:pPr>
      <w:r>
        <w:rPr>
          <w:b/>
          <w:lang w:val="nl-NL"/>
        </w:rPr>
        <w:t xml:space="preserve">Điều 3. Hiệu lực thi hành</w:t>
      </w:r>
      <w:r>
        <w:rPr>
          <w:b/>
          <w:lang w:val="nl-NL"/>
        </w:rPr>
      </w:r>
      <w:r>
        <w:rPr>
          <w:b/>
          <w:lang w:val="nl-NL"/>
        </w:rPr>
      </w:r>
    </w:p>
    <w:p>
      <w:pPr>
        <w:pBdr/>
        <w:spacing w:before="120" w:line="360" w:lineRule="exact"/>
        <w:ind w:firstLine="709"/>
        <w:jc w:val="both"/>
        <w:rPr>
          <w:lang w:val="nl-NL"/>
        </w:rPr>
      </w:pPr>
      <w:r>
        <w:rPr>
          <w:lang w:val="nl-NL"/>
        </w:rPr>
        <w:t xml:space="preserve">Quyết định này có hiệu lực kể từ ngày ký</w:t>
      </w:r>
      <w:r>
        <w:rPr>
          <w:lang w:val="nl-NL"/>
        </w:rPr>
        <w:t xml:space="preserve"> và</w:t>
      </w:r>
      <w:r>
        <w:rPr>
          <w:lang w:val="nl-NL"/>
        </w:rPr>
        <w:t xml:space="preserve"> thay thế</w:t>
      </w:r>
      <w:r>
        <w:rPr>
          <w:lang w:val="nl-NL"/>
        </w:rPr>
        <w:t xml:space="preserve"> </w:t>
      </w:r>
      <w:r>
        <w:rPr>
          <w:lang w:val="nl-NL"/>
        </w:rPr>
        <w:t xml:space="preserve">Quyết định số 37/2022/QĐ-UBND ngày 03 tháng 11 năm 2022 của Uỷ ban nhân dân tỉnh Tây Ninh quy định định mức k</w:t>
      </w:r>
      <w:r>
        <w:rPr>
          <w:lang w:val="nl-NL"/>
        </w:rPr>
        <w:t xml:space="preserve">inh tế - kỹ thuật đối với các dịch vụ </w:t>
      </w:r>
      <w:r>
        <w:rPr>
          <w:lang w:val="nl-NL"/>
        </w:rPr>
        <w:t xml:space="preserve">giáo dục mầm non, phổ thông, trung tâm giáo dục nghề nghiệp - giáo dục thường xuyên, Cao đẳng Sư phạm (ngành giáo dục mầm non) trên địa bàn tỉnh Tây Ninh</w:t>
      </w:r>
      <w:r>
        <w:rPr>
          <w:lang w:val="nl-NL"/>
        </w:rPr>
        <w:t xml:space="preserve">.</w:t>
      </w:r>
      <w:r>
        <w:rPr>
          <w:lang w:val="nl-NL"/>
        </w:rPr>
      </w:r>
      <w:r>
        <w:rPr>
          <w:lang w:val="nl-NL"/>
        </w:rPr>
      </w:r>
    </w:p>
    <w:p>
      <w:pPr>
        <w:pBdr/>
        <w:spacing w:before="120" w:line="360" w:lineRule="exact"/>
        <w:ind w:firstLine="709"/>
        <w:jc w:val="both"/>
        <w:rPr>
          <w:lang w:val="nl-NL"/>
        </w:rPr>
      </w:pPr>
      <w:r>
        <w:rPr>
          <w:b/>
          <w:lang w:val="nl-NL"/>
        </w:rPr>
        <w:t xml:space="preserve">Điều </w:t>
      </w:r>
      <w:r>
        <w:rPr>
          <w:b/>
          <w:lang w:val="nl-NL"/>
        </w:rPr>
        <w:t xml:space="preserve">4</w:t>
      </w:r>
      <w:r>
        <w:rPr>
          <w:b/>
          <w:lang w:val="nl-NL"/>
        </w:rPr>
        <w:t xml:space="preserve">. Tổ chức thực hiện</w:t>
      </w:r>
      <w:r>
        <w:rPr>
          <w:lang w:val="nl-NL"/>
        </w:rPr>
      </w:r>
      <w:r>
        <w:rPr>
          <w:lang w:val="nl-NL"/>
        </w:rPr>
      </w:r>
    </w:p>
    <w:p>
      <w:pPr>
        <w:pBdr/>
        <w:spacing w:before="120" w:line="360" w:lineRule="exact"/>
        <w:ind w:firstLine="709"/>
        <w:jc w:val="both"/>
        <w:rPr>
          <w:lang w:val="nl-NL"/>
        </w:rPr>
      </w:pPr>
      <w:r>
        <w:rPr>
          <w:lang w:val="nl-NL"/>
        </w:rPr>
        <w:t xml:space="preserve">1. </w:t>
      </w:r>
      <w:r>
        <w:rPr>
          <w:lang w:val="nl-NL"/>
        </w:rPr>
        <w:t xml:space="preserve">Giao Sở Giáo dục và Đào tạo chủ trì, phối hợp với các sở, ban, ngành và Ủy ban nhân dân các xã, phường hướng dẫn, kiểm tra việc thực hiện định mức tại các đơn vị.</w:t>
      </w:r>
      <w:r>
        <w:rPr>
          <w:lang w:val="nl-NL"/>
        </w:rPr>
      </w:r>
      <w:r>
        <w:rPr>
          <w:lang w:val="nl-NL"/>
        </w:rPr>
      </w:r>
    </w:p>
    <w:p>
      <w:pPr>
        <w:pBdr/>
        <w:spacing w:before="120" w:line="360" w:lineRule="exact"/>
        <w:ind w:firstLine="709"/>
        <w:jc w:val="both"/>
        <w:rPr>
          <w:lang w:val="nl-NL"/>
        </w:rPr>
      </w:pPr>
      <w:r>
        <w:rPr>
          <w:lang w:val="nl-NL"/>
        </w:rPr>
        <w:t xml:space="preserve">2. Chánh Văn phòng Ủy ban nhân dân tỉnh, Thủ trưởng các sở, ban, ngành, Chủ tịch UBND các </w:t>
      </w:r>
      <w:r>
        <w:rPr>
          <w:lang w:val="nl-NL"/>
        </w:rPr>
        <w:t xml:space="preserve">xã, phường</w:t>
      </w:r>
      <w:r>
        <w:rPr>
          <w:lang w:val="nl-NL"/>
        </w:rPr>
        <w:t xml:space="preserve"> và các tổ chức, cá nhân có liên quan chịu trách nhiệm thi hành Quyết định này. </w:t>
      </w:r>
      <w:r>
        <w:rPr>
          <w:lang w:val="nl-NL"/>
        </w:rPr>
      </w:r>
      <w:r>
        <w:rPr>
          <w:lang w:val="nl-NL"/>
        </w:rPr>
      </w:r>
    </w:p>
    <w:p>
      <w:pPr>
        <w:pBdr/>
        <w:spacing w:before="120" w:line="360" w:lineRule="exact"/>
        <w:ind w:firstLine="709"/>
        <w:jc w:val="both"/>
        <w:rPr>
          <w:lang w:val="nl-NL"/>
        </w:rPr>
      </w:pPr>
      <w:r>
        <w:rPr>
          <w:lang w:val="nl-NL"/>
        </w:rPr>
        <w:t xml:space="preserve">3. Trong quá trình thực hiện nếu có vướng mắc, khó khăn đề nghị các tổ chức, cá nhân có liên quan phản ánh bằng văn bản gửi Sở Giáo dục và Đào tạo để tổng hợp, báo cáo UBND tỉnh xem xét, quyết định./.</w:t>
      </w:r>
      <w:r>
        <w:rPr>
          <w:lang w:val="nl-NL"/>
        </w:rPr>
      </w:r>
      <w:r>
        <w:rPr>
          <w:lang w:val="nl-NL"/>
        </w:rPr>
      </w:r>
    </w:p>
    <w:p>
      <w:pPr>
        <w:pBdr/>
        <w:spacing w:after="60"/>
        <w:ind w:firstLine="720"/>
        <w:jc w:val="both"/>
        <w:rPr>
          <w:lang w:val="nl-NL"/>
        </w:rPr>
      </w:pPr>
      <w:r>
        <w:rPr>
          <w:lang w:val="nl-NL"/>
        </w:rPr>
      </w:r>
      <w:r>
        <w:rPr>
          <w:lang w:val="nl-NL"/>
        </w:rPr>
      </w:r>
      <w:r>
        <w:rPr>
          <w:lang w:val="nl-NL"/>
        </w:rPr>
      </w:r>
    </w:p>
    <w:tbl>
      <w:tblPr>
        <w:tblW w:w="0" w:type="auto"/>
        <w:tblBorders/>
        <w:tblLook w:val="01E0" w:firstRow="1" w:lastRow="1" w:firstColumn="1" w:lastColumn="1" w:noHBand="0" w:noVBand="0"/>
      </w:tblPr>
      <w:tblGrid>
        <w:gridCol w:w="4557"/>
        <w:gridCol w:w="4517"/>
      </w:tblGrid>
      <w:tr>
        <w:trPr/>
        <w:tc>
          <w:tcPr>
            <w:tcBorders/>
            <w:tcW w:w="4693" w:type="dxa"/>
            <w:textDirection w:val="lrTb"/>
            <w:noWrap w:val="false"/>
          </w:tcPr>
          <w:p>
            <w:pPr>
              <w:pBdr/>
              <w:spacing/>
              <w:ind/>
              <w:jc w:val="both"/>
              <w:rPr>
                <w:sz w:val="24"/>
                <w:szCs w:val="24"/>
                <w:lang w:val="nl-NL"/>
              </w:rPr>
            </w:pPr>
            <w:r>
              <w:rPr>
                <w:b/>
                <w:i/>
                <w:sz w:val="24"/>
                <w:szCs w:val="24"/>
                <w:lang w:val="nl-NL"/>
              </w:rPr>
              <w:t xml:space="preserve">Nơi nhận</w:t>
            </w:r>
            <w:r>
              <w:rPr>
                <w:sz w:val="24"/>
                <w:szCs w:val="24"/>
                <w:lang w:val="nl-NL"/>
              </w:rPr>
              <w:t xml:space="preserve">:</w:t>
            </w:r>
            <w:r>
              <w:rPr>
                <w:sz w:val="24"/>
                <w:szCs w:val="24"/>
                <w:lang w:val="nl-NL"/>
              </w:rPr>
            </w:r>
            <w:r>
              <w:rPr>
                <w:sz w:val="24"/>
                <w:szCs w:val="24"/>
                <w:lang w:val="nl-NL"/>
              </w:rPr>
            </w:r>
          </w:p>
          <w:p>
            <w:pPr>
              <w:pBdr/>
              <w:spacing/>
              <w:ind/>
              <w:jc w:val="both"/>
              <w:rPr>
                <w:sz w:val="22"/>
                <w:szCs w:val="24"/>
                <w:lang w:val="nl-NL"/>
              </w:rPr>
            </w:pPr>
            <w:r>
              <w:rPr>
                <w:sz w:val="22"/>
                <w:szCs w:val="24"/>
                <w:lang w:val="nl-NL"/>
              </w:rPr>
              <w:t xml:space="preserve">- Bộ Giáo dục và Đào tạo;</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w:t>
            </w:r>
            <w:r>
              <w:rPr>
                <w:sz w:val="22"/>
                <w:szCs w:val="24"/>
                <w:lang w:val="nl-NL"/>
              </w:rPr>
              <w:t xml:space="preserve">Cục KTVB&amp;TCTHPL</w:t>
            </w:r>
            <w:r>
              <w:rPr>
                <w:sz w:val="22"/>
                <w:szCs w:val="24"/>
                <w:lang w:val="nl-NL"/>
              </w:rPr>
              <w:t xml:space="preserve">-</w:t>
            </w:r>
            <w:r>
              <w:rPr>
                <w:sz w:val="22"/>
                <w:szCs w:val="24"/>
                <w:lang w:val="nl-NL"/>
              </w:rPr>
              <w:t xml:space="preserve">Bộ Tư pháp;</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TT. TU, UBND tỉnh; </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CT và các PCT. UBND tỉnh;</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Như Điều 4;</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MTTQVN tỉnh;</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Trung tâm Công báo - Tin học tỉnh;</w:t>
            </w:r>
            <w:r>
              <w:rPr>
                <w:sz w:val="22"/>
                <w:szCs w:val="24"/>
                <w:lang w:val="nl-NL"/>
              </w:rPr>
            </w:r>
            <w:r>
              <w:rPr>
                <w:sz w:val="22"/>
                <w:szCs w:val="24"/>
                <w:lang w:val="nl-NL"/>
              </w:rPr>
            </w:r>
          </w:p>
          <w:p>
            <w:pPr>
              <w:pBdr/>
              <w:spacing/>
              <w:ind/>
              <w:jc w:val="both"/>
              <w:rPr>
                <w:sz w:val="22"/>
                <w:szCs w:val="24"/>
                <w:lang w:val="nl-NL"/>
              </w:rPr>
            </w:pPr>
            <w:r>
              <w:rPr>
                <w:sz w:val="22"/>
                <w:szCs w:val="24"/>
                <w:lang w:val="nl-NL"/>
              </w:rPr>
              <w:t xml:space="preserve">- Cổng TTĐT tỉnh;</w:t>
            </w:r>
            <w:r>
              <w:rPr>
                <w:sz w:val="22"/>
                <w:szCs w:val="24"/>
                <w:lang w:val="nl-NL"/>
              </w:rPr>
            </w:r>
            <w:r>
              <w:rPr>
                <w:sz w:val="22"/>
                <w:szCs w:val="24"/>
                <w:lang w:val="nl-NL"/>
              </w:rPr>
            </w:r>
          </w:p>
          <w:p>
            <w:pPr>
              <w:pStyle w:val="926"/>
              <w:pBdr/>
              <w:spacing w:after="0" w:afterAutospacing="0" w:before="0" w:beforeAutospacing="0"/>
              <w:ind/>
              <w:rPr>
                <w:sz w:val="22"/>
                <w:lang w:val="nl-NL"/>
              </w:rPr>
            </w:pPr>
            <w:r>
              <w:rPr>
                <w:sz w:val="22"/>
              </w:rPr>
              <w:t xml:space="preserve">- </w:t>
            </w:r>
            <w:r>
              <w:rPr>
                <w:sz w:val="22"/>
                <w:lang w:val="nl-NL"/>
              </w:rPr>
              <w:t xml:space="preserve">Các Sở, ngành tỉnh;</w:t>
            </w:r>
            <w:r>
              <w:rPr>
                <w:sz w:val="22"/>
                <w:lang w:val="nl-NL"/>
              </w:rPr>
            </w:r>
            <w:r>
              <w:rPr>
                <w:sz w:val="22"/>
                <w:lang w:val="nl-NL"/>
              </w:rPr>
            </w:r>
          </w:p>
          <w:p>
            <w:pPr>
              <w:pStyle w:val="926"/>
              <w:pBdr/>
              <w:spacing w:after="0" w:afterAutospacing="0" w:before="0" w:beforeAutospacing="0"/>
              <w:ind/>
              <w:rPr>
                <w:sz w:val="22"/>
              </w:rPr>
            </w:pPr>
            <w:r>
              <w:rPr>
                <w:sz w:val="22"/>
              </w:rPr>
              <w:t xml:space="preserve">- UBND các xã, phường;</w:t>
            </w:r>
            <w:r>
              <w:rPr>
                <w:sz w:val="22"/>
              </w:rPr>
            </w:r>
            <w:r>
              <w:rPr>
                <w:sz w:val="22"/>
              </w:rPr>
            </w:r>
          </w:p>
          <w:p>
            <w:pPr>
              <w:pStyle w:val="926"/>
              <w:pBdr/>
              <w:spacing w:after="0" w:afterAutospacing="0" w:before="0" w:beforeAutospacing="0"/>
              <w:ind/>
              <w:rPr>
                <w:sz w:val="22"/>
              </w:rPr>
            </w:pPr>
            <w:r>
              <w:rPr>
                <w:sz w:val="22"/>
              </w:rPr>
              <w:t xml:space="preserve">- Phòng VHXH;</w:t>
            </w:r>
            <w:r>
              <w:rPr>
                <w:sz w:val="22"/>
              </w:rPr>
            </w:r>
            <w:r>
              <w:rPr>
                <w:sz w:val="22"/>
              </w:rPr>
            </w:r>
          </w:p>
          <w:p>
            <w:pPr>
              <w:pStyle w:val="926"/>
              <w:pBdr/>
              <w:spacing w:after="0" w:afterAutospacing="0" w:before="0" w:beforeAutospacing="0"/>
              <w:ind/>
              <w:rPr>
                <w:sz w:val="22"/>
              </w:rPr>
            </w:pPr>
            <w:r>
              <w:rPr>
                <w:sz w:val="22"/>
              </w:rPr>
              <w:t xml:space="preserve">- Lưu: VT</w:t>
            </w:r>
            <w:r>
              <w:rPr>
                <w:sz w:val="22"/>
              </w:rPr>
              <w:t xml:space="preserve">.</w:t>
            </w:r>
            <w:r>
              <w:rPr>
                <w:sz w:val="22"/>
              </w:rPr>
            </w:r>
            <w:r>
              <w:rPr>
                <w:sz w:val="22"/>
              </w:rPr>
            </w:r>
          </w:p>
          <w:p>
            <w:pPr>
              <w:pStyle w:val="926"/>
              <w:pBdr/>
              <w:spacing w:after="0" w:afterAutospacing="0" w:before="0" w:beforeAutospacing="0"/>
              <w:ind/>
              <w:rPr>
                <w:lang w:val="en-US"/>
              </w:rPr>
            </w:pPr>
            <w:r>
              <w:rPr>
                <w:lang w:val="en-US"/>
              </w:rPr>
            </w:r>
            <w:r>
              <w:rPr>
                <w:lang w:val="en-US"/>
              </w:rPr>
            </w:r>
            <w:r>
              <w:rPr>
                <w:lang w:val="en-US"/>
              </w:rPr>
            </w:r>
          </w:p>
        </w:tc>
        <w:tc>
          <w:tcPr>
            <w:tcBorders/>
            <w:tcW w:w="4694" w:type="dxa"/>
            <w:textDirection w:val="lrTb"/>
            <w:noWrap w:val="false"/>
          </w:tcPr>
          <w:p>
            <w:pPr>
              <w:pBdr/>
              <w:spacing/>
              <w:ind/>
              <w:jc w:val="center"/>
              <w:rPr>
                <w:b/>
              </w:rPr>
            </w:pPr>
            <w:r>
              <w:rPr>
                <w:b/>
              </w:rPr>
              <w:t xml:space="preserve">TM. ỦY BAN NHÂN DÂN</w:t>
            </w:r>
            <w:r>
              <w:rPr>
                <w:b/>
              </w:rPr>
            </w:r>
            <w:r>
              <w:rPr>
                <w:b/>
              </w:rPr>
            </w:r>
          </w:p>
          <w:p>
            <w:pPr>
              <w:pBdr/>
              <w:spacing/>
              <w:ind/>
              <w:jc w:val="center"/>
              <w:rPr>
                <w:b/>
              </w:rPr>
            </w:pPr>
            <w:r>
              <w:rPr>
                <w:b/>
              </w:rPr>
              <w:t xml:space="preserve">KT. CHỦ TỊCH</w:t>
            </w:r>
            <w:r>
              <w:rPr>
                <w:b/>
              </w:rPr>
            </w:r>
            <w:r>
              <w:rPr>
                <w:b/>
              </w:rPr>
            </w:r>
          </w:p>
          <w:p>
            <w:pPr>
              <w:pBdr/>
              <w:spacing/>
              <w:ind/>
              <w:jc w:val="center"/>
              <w:rPr>
                <w:b/>
              </w:rPr>
            </w:pPr>
            <w:r>
              <w:rPr>
                <w:b/>
              </w:rPr>
              <w:t xml:space="preserve">PHÓ CHỦ TỊCH</w:t>
            </w:r>
            <w:r>
              <w:rPr>
                <w:b/>
              </w:rPr>
            </w:r>
            <w:r>
              <w:rPr>
                <w:b/>
              </w:rPr>
            </w:r>
          </w:p>
          <w:p>
            <w:pPr>
              <w:pBdr/>
              <w:spacing/>
              <w:ind/>
              <w:jc w:val="center"/>
              <w:rPr>
                <w:b/>
              </w:rPr>
            </w:pPr>
            <w:r>
              <w:rPr>
                <w:b/>
              </w:rPr>
            </w:r>
            <w:r>
              <w:rPr>
                <w:b/>
              </w:rPr>
            </w:r>
            <w:r>
              <w:rPr>
                <w:b/>
              </w:rPr>
            </w:r>
          </w:p>
          <w:p>
            <w:pPr>
              <w:pBdr/>
              <w:spacing w:after="120" w:before="120"/>
              <w:ind/>
              <w:jc w:val="center"/>
              <w:rPr>
                <w:b/>
              </w:rPr>
            </w:pPr>
            <w:r>
              <w:rPr>
                <w:b/>
              </w:rPr>
            </w:r>
            <w:r>
              <w:rPr>
                <w:b/>
              </w:rPr>
            </w:r>
            <w:r>
              <w:rPr>
                <w:b/>
              </w:rPr>
            </w:r>
          </w:p>
          <w:p>
            <w:pPr>
              <w:pBdr/>
              <w:spacing w:after="120" w:before="120"/>
              <w:ind/>
              <w:jc w:val="center"/>
              <w:rPr>
                <w:b/>
              </w:rPr>
            </w:pPr>
            <w:r>
              <w:rPr>
                <w:b/>
              </w:rPr>
            </w:r>
            <w:r>
              <w:rPr>
                <w:b/>
              </w:rPr>
            </w:r>
            <w:r>
              <w:rPr>
                <w:b/>
              </w:rPr>
            </w:r>
          </w:p>
          <w:p>
            <w:pPr>
              <w:pBdr/>
              <w:spacing w:after="120" w:before="120"/>
              <w:ind/>
              <w:jc w:val="center"/>
              <w:rPr>
                <w:b/>
              </w:rPr>
            </w:pPr>
            <w:r>
              <w:rPr>
                <w:b/>
              </w:rPr>
            </w:r>
            <w:r>
              <w:rPr>
                <w:b/>
              </w:rPr>
            </w:r>
            <w:r>
              <w:rPr>
                <w:b/>
              </w:rPr>
            </w:r>
          </w:p>
          <w:p>
            <w:pPr>
              <w:pBdr/>
              <w:spacing w:after="120" w:before="120"/>
              <w:ind/>
              <w:jc w:val="center"/>
              <w:rPr>
                <w:b/>
              </w:rPr>
            </w:pPr>
            <w:r>
              <w:rPr>
                <w:b/>
              </w:rPr>
              <w:t xml:space="preserve">Đoàn Trung Kiên</w:t>
            </w:r>
            <w:r>
              <w:rPr>
                <w:b/>
              </w:rPr>
            </w:r>
            <w:r>
              <w:rPr>
                <w:b/>
              </w:rPr>
            </w:r>
          </w:p>
        </w:tc>
      </w:tr>
    </w:tbl>
    <w:p>
      <w:pPr>
        <w:pBdr/>
        <w:spacing w:after="120" w:before="60" w:line="380" w:lineRule="exact"/>
        <w:ind w:firstLine="720"/>
        <w:jc w:val="both"/>
        <w:rPr/>
      </w:pPr>
      <w:r/>
      <w:r/>
    </w:p>
    <w:sectPr>
      <w:headerReference w:type="default" r:id="rId9"/>
      <w:footnotePr/>
      <w:endnotePr/>
      <w:type w:val="nextPage"/>
      <w:pgSz w:h="16834" w:orient="portrait" w:w="11909"/>
      <w:pgMar w:top="1134" w:right="1134" w:bottom="1134" w:left="1701" w:header="680" w:footer="68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alibri">
    <w:panose1 w:val="020F0502020204030204"/>
  </w:font>
  <w:font w:name="Courier New">
    <w:panose1 w:val="02070309020205020404"/>
  </w:font>
  <w:font w:name=".VnTime">
    <w:panose1 w:val="05040102010807070707"/>
  </w:font>
  <w:font w:name="Times New Roman">
    <w:panose1 w:val="02020603050405020304"/>
  </w:font>
  <w:font w:name="MS Mincho">
    <w:panose1 w:val="02020603050405090304"/>
  </w:font>
  <w:font w:name="Tahoma">
    <w:panose1 w:val="020B0604030504040204"/>
  </w:font>
  <w:font w:name="SimSun">
    <w:panose1 w:val="02010600030101010101"/>
  </w:font>
  <w:font w:name="Cambria">
    <w:panose1 w:val="02040503050406030204"/>
  </w:font>
  <w:font w:name="Calibri Light">
    <w:panose1 w:val="020F030202020403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jc w:val="center"/>
      <w:rPr>
        <w:lang w:val="en-US"/>
      </w:rPr>
    </w:pPr>
    <w:r>
      <w:fldChar w:fldCharType="begin"/>
    </w:r>
    <w:r>
      <w:instrText xml:space="preserve"> PAGE   \* MERGEFORMAT </w:instrText>
    </w:r>
    <w:r>
      <w:fldChar w:fldCharType="separate"/>
    </w:r>
    <w:r>
      <w:t xml:space="preserve">3</w:t>
    </w:r>
    <w:r>
      <w:fldChar w:fldCharType="end"/>
    </w:r>
    <w:r>
      <w:rPr>
        <w:lang w:val="en-US"/>
      </w:rPr>
    </w:r>
    <w:r>
      <w:rPr>
        <w:lang w:val="en-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840" w:left="1407"/>
      </w:pPr>
      <w:rPr>
        <w:rFonts w:ascii="Times New Roman" w:hAnsi="Times New Roman" w:eastAsia="Calibri" w:cs="Times New Roman"/>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shd w:val="clear" w:color="auto" w:fill="auto"/>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3">
    <w:lvl w:ilvl="0">
      <w:isLgl w:val="false"/>
      <w:lvlJc w:val="left"/>
      <w:lvlText w:val="-"/>
      <w:numFmt w:val="bullet"/>
      <w:pPr>
        <w:pBdr/>
        <w:tabs>
          <w:tab w:val="num" w:leader="none" w:pos="2955"/>
        </w:tabs>
        <w:spacing/>
        <w:ind w:hanging="360" w:left="2955"/>
      </w:pPr>
      <w:rPr>
        <w:rFonts w:hint="default" w:ascii="Times New Roman" w:hAnsi="Times New Roman" w:eastAsia="Times New Roman" w:cs="Times New Roman"/>
        <w:b/>
      </w:rPr>
      <w:start w:val="3"/>
      <w:suff w:val="tab"/>
    </w:lvl>
    <w:lvl w:ilvl="1">
      <w:isLgl w:val="false"/>
      <w:lvlJc w:val="left"/>
      <w:lvlText w:val="o"/>
      <w:numFmt w:val="bullet"/>
      <w:pPr>
        <w:pBdr/>
        <w:tabs>
          <w:tab w:val="num" w:leader="none" w:pos="3675"/>
        </w:tabs>
        <w:spacing/>
        <w:ind w:hanging="360" w:left="3675"/>
      </w:pPr>
      <w:rPr>
        <w:rFonts w:hint="default" w:ascii="Courier New" w:hAnsi="Courier New" w:cs="Courier New"/>
      </w:rPr>
      <w:start w:val="1"/>
      <w:suff w:val="tab"/>
    </w:lvl>
    <w:lvl w:ilvl="2">
      <w:isLgl w:val="false"/>
      <w:lvlJc w:val="left"/>
      <w:lvlText w:val=""/>
      <w:numFmt w:val="bullet"/>
      <w:pPr>
        <w:pBdr/>
        <w:tabs>
          <w:tab w:val="num" w:leader="none" w:pos="4395"/>
        </w:tabs>
        <w:spacing/>
        <w:ind w:hanging="360" w:left="4395"/>
      </w:pPr>
      <w:rPr>
        <w:rFonts w:hint="default" w:ascii="Wingdings" w:hAnsi="Wingdings"/>
      </w:rPr>
      <w:start w:val="1"/>
      <w:suff w:val="tab"/>
    </w:lvl>
    <w:lvl w:ilvl="3">
      <w:isLgl w:val="false"/>
      <w:lvlJc w:val="left"/>
      <w:lvlText w:val=""/>
      <w:numFmt w:val="bullet"/>
      <w:pPr>
        <w:pBdr/>
        <w:tabs>
          <w:tab w:val="num" w:leader="none" w:pos="5115"/>
        </w:tabs>
        <w:spacing/>
        <w:ind w:hanging="360" w:left="5115"/>
      </w:pPr>
      <w:rPr>
        <w:rFonts w:hint="default" w:ascii="Symbol" w:hAnsi="Symbol"/>
      </w:rPr>
      <w:start w:val="1"/>
      <w:suff w:val="tab"/>
    </w:lvl>
    <w:lvl w:ilvl="4">
      <w:isLgl w:val="false"/>
      <w:lvlJc w:val="left"/>
      <w:lvlText w:val="o"/>
      <w:numFmt w:val="bullet"/>
      <w:pPr>
        <w:pBdr/>
        <w:tabs>
          <w:tab w:val="num" w:leader="none" w:pos="5835"/>
        </w:tabs>
        <w:spacing/>
        <w:ind w:hanging="360" w:left="5835"/>
      </w:pPr>
      <w:rPr>
        <w:rFonts w:hint="default" w:ascii="Courier New" w:hAnsi="Courier New" w:cs="Courier New"/>
      </w:rPr>
      <w:start w:val="1"/>
      <w:suff w:val="tab"/>
    </w:lvl>
    <w:lvl w:ilvl="5">
      <w:isLgl w:val="false"/>
      <w:lvlJc w:val="left"/>
      <w:lvlText w:val=""/>
      <w:numFmt w:val="bullet"/>
      <w:pPr>
        <w:pBdr/>
        <w:tabs>
          <w:tab w:val="num" w:leader="none" w:pos="6555"/>
        </w:tabs>
        <w:spacing/>
        <w:ind w:hanging="360" w:left="6555"/>
      </w:pPr>
      <w:rPr>
        <w:rFonts w:hint="default" w:ascii="Wingdings" w:hAnsi="Wingdings"/>
      </w:rPr>
      <w:start w:val="1"/>
      <w:suff w:val="tab"/>
    </w:lvl>
    <w:lvl w:ilvl="6">
      <w:isLgl w:val="false"/>
      <w:lvlJc w:val="left"/>
      <w:lvlText w:val=""/>
      <w:numFmt w:val="bullet"/>
      <w:pPr>
        <w:pBdr/>
        <w:tabs>
          <w:tab w:val="num" w:leader="none" w:pos="7275"/>
        </w:tabs>
        <w:spacing/>
        <w:ind w:hanging="360" w:left="7275"/>
      </w:pPr>
      <w:rPr>
        <w:rFonts w:hint="default" w:ascii="Symbol" w:hAnsi="Symbol"/>
      </w:rPr>
      <w:start w:val="1"/>
      <w:suff w:val="tab"/>
    </w:lvl>
    <w:lvl w:ilvl="7">
      <w:isLgl w:val="false"/>
      <w:lvlJc w:val="left"/>
      <w:lvlText w:val="o"/>
      <w:numFmt w:val="bullet"/>
      <w:pPr>
        <w:pBdr/>
        <w:tabs>
          <w:tab w:val="num" w:leader="none" w:pos="7995"/>
        </w:tabs>
        <w:spacing/>
        <w:ind w:hanging="360" w:left="7995"/>
      </w:pPr>
      <w:rPr>
        <w:rFonts w:hint="default" w:ascii="Courier New" w:hAnsi="Courier New" w:cs="Courier New"/>
      </w:rPr>
      <w:start w:val="1"/>
      <w:suff w:val="tab"/>
    </w:lvl>
    <w:lvl w:ilvl="8">
      <w:isLgl w:val="false"/>
      <w:lvlJc w:val="left"/>
      <w:lvlText w:val=""/>
      <w:numFmt w:val="bullet"/>
      <w:pPr>
        <w:pBdr/>
        <w:tabs>
          <w:tab w:val="num" w:leader="none" w:pos="8715"/>
        </w:tabs>
        <w:spacing/>
        <w:ind w:hanging="360" w:left="8715"/>
      </w:pPr>
      <w:rPr>
        <w:rFonts w:hint="default" w:ascii="Wingdings" w:hAnsi="Wingdings"/>
      </w:rPr>
      <w:start w:val="1"/>
      <w:suff w:val="tab"/>
    </w:lvl>
  </w:abstractNum>
  <w:abstractNum w:abstractNumId="4">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7">
    <w:lvl w:ilvl="0">
      <w:isLgl w:val="false"/>
      <w:lvlJc w:val="left"/>
      <w:lvlText w:val="%1."/>
      <w:numFmt w:val="decimal"/>
      <w:pPr>
        <w:pBdr/>
        <w:tabs>
          <w:tab w:val="num" w:leader="none" w:pos="1080"/>
        </w:tabs>
        <w:spacing/>
        <w:ind w:hanging="360" w:left="108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shd w:val="clear" w:color="auto" w:fill="auto"/>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abstractNum w:abstractNumId="9">
    <w:lvl w:ilvl="0">
      <w:isLgl w:val="false"/>
      <w:lvlJc w:val="left"/>
      <w:lvlText w:val="-"/>
      <w:numFmt w:val="bullet"/>
      <w:pPr>
        <w:pBdr/>
        <w:spacing/>
        <w:ind w:hanging="360" w:left="927"/>
      </w:pPr>
      <w:rPr>
        <w:rFonts w:hint="default" w:ascii="Times New Roman" w:hAnsi="Times New Roman" w:eastAsia="Calibri" w:cs="Times New Roman"/>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0">
    <w:lvl w:ilvl="0">
      <w:isLgl w:val="false"/>
      <w:lvlJc w:val="left"/>
      <w:lvlText w:val="%1."/>
      <w:numFmt w:val="decimal"/>
      <w:pPr>
        <w:pBdr/>
        <w:tabs>
          <w:tab w:val="num" w:leader="none" w:pos="1386"/>
        </w:tabs>
        <w:spacing/>
        <w:ind w:hanging="825" w:left="1386"/>
      </w:pPr>
      <w:rPr>
        <w:rFonts w:ascii="Times New Roman" w:hAnsi="Times New Roman" w:eastAsia="Times New Roman" w:cs="Times New Roman"/>
      </w:rPr>
      <w:start w:val="1"/>
      <w:suff w:val="tab"/>
    </w:lvl>
    <w:lvl w:ilvl="1">
      <w:isLgl w:val="false"/>
      <w:lvlJc w:val="left"/>
      <w:lvlText w:val="%2."/>
      <w:numFmt w:val="lowerLetter"/>
      <w:pPr>
        <w:pBdr/>
        <w:tabs>
          <w:tab w:val="num" w:leader="none" w:pos="1641"/>
        </w:tabs>
        <w:spacing/>
        <w:ind w:hanging="360" w:left="1641"/>
      </w:pPr>
      <w:rPr/>
      <w:start w:val="1"/>
      <w:suff w:val="tab"/>
    </w:lvl>
    <w:lvl w:ilvl="2">
      <w:isLgl w:val="false"/>
      <w:lvlJc w:val="right"/>
      <w:lvlText w:val="%3."/>
      <w:numFmt w:val="lowerRoman"/>
      <w:pPr>
        <w:pBdr/>
        <w:tabs>
          <w:tab w:val="num" w:leader="none" w:pos="2361"/>
        </w:tabs>
        <w:spacing/>
        <w:ind w:hanging="180" w:left="2361"/>
      </w:pPr>
      <w:rPr/>
      <w:start w:val="1"/>
      <w:suff w:val="tab"/>
    </w:lvl>
    <w:lvl w:ilvl="3">
      <w:isLgl w:val="false"/>
      <w:lvlJc w:val="left"/>
      <w:lvlText w:val="%4."/>
      <w:numFmt w:val="decimal"/>
      <w:pPr>
        <w:pBdr/>
        <w:tabs>
          <w:tab w:val="num" w:leader="none" w:pos="3081"/>
        </w:tabs>
        <w:spacing/>
        <w:ind w:hanging="360" w:left="3081"/>
      </w:pPr>
      <w:rPr/>
      <w:start w:val="1"/>
      <w:suff w:val="tab"/>
    </w:lvl>
    <w:lvl w:ilvl="4">
      <w:isLgl w:val="false"/>
      <w:lvlJc w:val="left"/>
      <w:lvlText w:val="%5."/>
      <w:numFmt w:val="lowerLetter"/>
      <w:pPr>
        <w:pBdr/>
        <w:tabs>
          <w:tab w:val="num" w:leader="none" w:pos="3801"/>
        </w:tabs>
        <w:spacing/>
        <w:ind w:hanging="360" w:left="3801"/>
      </w:pPr>
      <w:rPr/>
      <w:start w:val="1"/>
      <w:suff w:val="tab"/>
    </w:lvl>
    <w:lvl w:ilvl="5">
      <w:isLgl w:val="false"/>
      <w:lvlJc w:val="right"/>
      <w:lvlText w:val="%6."/>
      <w:numFmt w:val="lowerRoman"/>
      <w:pPr>
        <w:pBdr/>
        <w:tabs>
          <w:tab w:val="num" w:leader="none" w:pos="4521"/>
        </w:tabs>
        <w:spacing/>
        <w:ind w:hanging="180" w:left="4521"/>
      </w:pPr>
      <w:rPr/>
      <w:start w:val="1"/>
      <w:suff w:val="tab"/>
    </w:lvl>
    <w:lvl w:ilvl="6">
      <w:isLgl w:val="false"/>
      <w:lvlJc w:val="left"/>
      <w:lvlText w:val="%7."/>
      <w:numFmt w:val="decimal"/>
      <w:pPr>
        <w:pBdr/>
        <w:tabs>
          <w:tab w:val="num" w:leader="none" w:pos="5241"/>
        </w:tabs>
        <w:spacing/>
        <w:ind w:hanging="360" w:left="5241"/>
      </w:pPr>
      <w:rPr/>
      <w:start w:val="1"/>
      <w:suff w:val="tab"/>
    </w:lvl>
    <w:lvl w:ilvl="7">
      <w:isLgl w:val="false"/>
      <w:lvlJc w:val="left"/>
      <w:lvlText w:val="%8."/>
      <w:numFmt w:val="lowerLetter"/>
      <w:pPr>
        <w:pBdr/>
        <w:tabs>
          <w:tab w:val="num" w:leader="none" w:pos="5961"/>
        </w:tabs>
        <w:spacing/>
        <w:ind w:hanging="360" w:left="5961"/>
      </w:pPr>
      <w:rPr/>
      <w:start w:val="1"/>
      <w:suff w:val="tab"/>
    </w:lvl>
    <w:lvl w:ilvl="8">
      <w:isLgl w:val="false"/>
      <w:lvlJc w:val="right"/>
      <w:lvlText w:val="%9."/>
      <w:numFmt w:val="lowerRoman"/>
      <w:pPr>
        <w:pBdr/>
        <w:tabs>
          <w:tab w:val="num" w:leader="none" w:pos="6681"/>
        </w:tabs>
        <w:spacing/>
        <w:ind w:hanging="180" w:left="6681"/>
      </w:pPr>
      <w:rPr/>
      <w:start w:val="1"/>
      <w:suff w:val="tab"/>
    </w:lvl>
  </w:abstractNum>
  <w:abstractNum w:abstractNumId="11">
    <w:lvl w:ilvl="0">
      <w:isLgl w:val="false"/>
      <w:lvlJc w:val="left"/>
      <w:lvlText w:val="-"/>
      <w:numFmt w:val="bullet"/>
      <w:pPr>
        <w:pBdr/>
        <w:spacing/>
        <w:ind w:hanging="360" w:left="927"/>
      </w:pPr>
      <w:rPr>
        <w:rFonts w:hint="default" w:ascii="Times New Roman" w:hAnsi="Times New Roman" w:eastAsia="Times New Roman" w:cs="Times New Roman"/>
      </w:rPr>
      <w:start w:val="1"/>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lvl w:ilvl="0">
      <w:isLgl w:val="false"/>
      <w:lvlJc w:val="left"/>
      <w:lvlText w:val="%1."/>
      <w:numFmt w:val="decimal"/>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14">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shd w:val="clear" w:color="auto" w:fill="auto"/>
      </w:rPr>
      <w:start w:val="1"/>
      <w:suff w:val="tab"/>
    </w:lvl>
    <w:lvl w:ilvl="1">
      <w:isLgl w:val="false"/>
      <w:lvlJc w:val="left"/>
      <w:lvlText/>
      <w:numFmt w:val="decimal"/>
      <w:pPr>
        <w:pBdr/>
        <w:spacing/>
        <w:ind/>
      </w:pPr>
      <w:rPr/>
      <w:start w:val="0"/>
      <w:suff w:val="tab"/>
    </w:lvl>
    <w:lvl w:ilvl="2">
      <w:isLgl w:val="false"/>
      <w:lvlJc w:val="left"/>
      <w:lvlText/>
      <w:numFmt w:val="decimal"/>
      <w:pPr>
        <w:pBdr/>
        <w:spacing/>
        <w:ind/>
      </w:pPr>
      <w:rPr/>
      <w:start w:val="0"/>
      <w:suff w:val="tab"/>
    </w:lvl>
    <w:lvl w:ilvl="3">
      <w:isLgl w:val="false"/>
      <w:lvlJc w:val="left"/>
      <w:lvlText/>
      <w:numFmt w:val="decimal"/>
      <w:pPr>
        <w:pBdr/>
        <w:spacing/>
        <w:ind/>
      </w:pPr>
      <w:rPr/>
      <w:start w:val="0"/>
      <w:suff w:val="tab"/>
    </w:lvl>
    <w:lvl w:ilvl="4">
      <w:isLgl w:val="false"/>
      <w:lvlJc w:val="left"/>
      <w:lvlText/>
      <w:numFmt w:val="decimal"/>
      <w:pPr>
        <w:pBdr/>
        <w:spacing/>
        <w:ind/>
      </w:pPr>
      <w:rPr/>
      <w:start w:val="0"/>
      <w:suff w:val="tab"/>
    </w:lvl>
    <w:lvl w:ilvl="5">
      <w:isLgl w:val="false"/>
      <w:lvlJc w:val="left"/>
      <w:lvlText/>
      <w:numFmt w:val="decimal"/>
      <w:pPr>
        <w:pBdr/>
        <w:spacing/>
        <w:ind/>
      </w:pPr>
      <w:rPr/>
      <w:start w:val="0"/>
      <w:suff w:val="tab"/>
    </w:lvl>
    <w:lvl w:ilvl="6">
      <w:isLgl w:val="false"/>
      <w:lvlJc w:val="left"/>
      <w:lvlText/>
      <w:numFmt w:val="decimal"/>
      <w:pPr>
        <w:pBdr/>
        <w:spacing/>
        <w:ind/>
      </w:pPr>
      <w:rPr/>
      <w:start w:val="0"/>
      <w:suff w:val="tab"/>
    </w:lvl>
    <w:lvl w:ilvl="7">
      <w:isLgl w:val="false"/>
      <w:lvlJc w:val="left"/>
      <w:lvlText/>
      <w:numFmt w:val="decimal"/>
      <w:pPr>
        <w:pBdr/>
        <w:spacing/>
        <w:ind/>
      </w:pPr>
      <w:rPr/>
      <w:start w:val="0"/>
      <w:suff w:val="tab"/>
    </w:lvl>
    <w:lvl w:ilvl="8">
      <w:isLgl w:val="false"/>
      <w:lvlJc w:val="left"/>
      <w:lvlText/>
      <w:numFmt w:val="decimal"/>
      <w:pPr>
        <w:pBdr/>
        <w:spacing/>
        <w:ind/>
      </w:pPr>
      <w:rPr/>
      <w:start w:val="0"/>
      <w:suff w:val="tab"/>
    </w:lvl>
  </w:abstractNum>
  <w:num w:numId="1">
    <w:abstractNumId w:val="13"/>
  </w:num>
  <w:num w:numId="2">
    <w:abstractNumId w:val="3"/>
  </w:num>
  <w:num w:numId="3">
    <w:abstractNumId w:val="7"/>
  </w:num>
  <w:num w:numId="4">
    <w:abstractNumId w:val="10"/>
  </w:num>
  <w:num w:numId="5">
    <w:abstractNumId w:val="5"/>
  </w:num>
  <w:num w:numId="6">
    <w:abstractNumId w:val="4"/>
  </w:num>
  <w:num w:numId="7">
    <w:abstractNumId w:val="9"/>
  </w:num>
  <w:num w:numId="8">
    <w:abstractNumId w:val="0"/>
  </w:num>
  <w:num w:numId="9">
    <w:abstractNumId w:val="1"/>
  </w:num>
  <w:num w:numId="10">
    <w:abstractNumId w:val="6"/>
  </w:num>
  <w:num w:numId="11">
    <w:abstractNumId w:val="11"/>
  </w:num>
  <w:num w:numId="12">
    <w:abstractNumId w:val="8"/>
  </w:num>
  <w:num w:numId="13">
    <w:abstractNumId w:val="14"/>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name w:val="Table Grid Light"/>
    <w:basedOn w:val="9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9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91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2">
    <w:name w:val="List Table 7 Colorful - Accent 2"/>
    <w:basedOn w:val="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3">
    <w:name w:val="List Table 7 Colorful - Accent 3"/>
    <w:basedOn w:val="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4">
    <w:name w:val="List Table 7 Colorful - Accent 4"/>
    <w:basedOn w:val="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5">
    <w:name w:val="List Table 7 Colorful - Accent 5"/>
    <w:basedOn w:val="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6">
    <w:name w:val="List Table 7 Colorful - Accent 6"/>
    <w:basedOn w:val="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7">
    <w:name w:val="Lined - Accent"/>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Heading 4"/>
    <w:basedOn w:val="910"/>
    <w:next w:val="910"/>
    <w:link w:val="8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9">
    <w:name w:val="Heading 5"/>
    <w:basedOn w:val="910"/>
    <w:next w:val="910"/>
    <w:link w:val="8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0">
    <w:name w:val="Heading 6"/>
    <w:basedOn w:val="910"/>
    <w:next w:val="910"/>
    <w:link w:val="8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1">
    <w:name w:val="Heading 7"/>
    <w:basedOn w:val="910"/>
    <w:next w:val="910"/>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910"/>
    <w:next w:val="910"/>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910"/>
    <w:next w:val="910"/>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name w:val="Heading 4 Char"/>
    <w:basedOn w:val="914"/>
    <w:link w:val="868"/>
    <w:uiPriority w:val="9"/>
    <w:pPr>
      <w:pBdr/>
      <w:spacing/>
      <w:ind/>
    </w:pPr>
    <w:rPr>
      <w:rFonts w:ascii="Arial" w:hAnsi="Arial" w:eastAsia="Arial" w:cs="Arial"/>
      <w:i/>
      <w:iCs/>
      <w:color w:val="0f4761" w:themeColor="accent1" w:themeShade="BF"/>
    </w:rPr>
  </w:style>
  <w:style w:type="character" w:styleId="875">
    <w:name w:val="Heading 5 Char"/>
    <w:basedOn w:val="914"/>
    <w:link w:val="869"/>
    <w:uiPriority w:val="9"/>
    <w:pPr>
      <w:pBdr/>
      <w:spacing/>
      <w:ind/>
    </w:pPr>
    <w:rPr>
      <w:rFonts w:ascii="Arial" w:hAnsi="Arial" w:eastAsia="Arial" w:cs="Arial"/>
      <w:color w:val="0f4761" w:themeColor="accent1" w:themeShade="BF"/>
    </w:rPr>
  </w:style>
  <w:style w:type="character" w:styleId="876">
    <w:name w:val="Heading 6 Char"/>
    <w:basedOn w:val="914"/>
    <w:link w:val="870"/>
    <w:uiPriority w:val="9"/>
    <w:pPr>
      <w:pBdr/>
      <w:spacing/>
      <w:ind/>
    </w:pPr>
    <w:rPr>
      <w:rFonts w:ascii="Arial" w:hAnsi="Arial" w:eastAsia="Arial" w:cs="Arial"/>
      <w:i/>
      <w:iCs/>
      <w:color w:val="595959" w:themeColor="text1" w:themeTint="A6"/>
    </w:rPr>
  </w:style>
  <w:style w:type="character" w:styleId="877">
    <w:name w:val="Heading 7 Char"/>
    <w:basedOn w:val="914"/>
    <w:link w:val="871"/>
    <w:uiPriority w:val="9"/>
    <w:pPr>
      <w:pBdr/>
      <w:spacing/>
      <w:ind/>
    </w:pPr>
    <w:rPr>
      <w:rFonts w:ascii="Arial" w:hAnsi="Arial" w:eastAsia="Arial" w:cs="Arial"/>
      <w:color w:val="595959" w:themeColor="text1" w:themeTint="A6"/>
    </w:rPr>
  </w:style>
  <w:style w:type="character" w:styleId="878">
    <w:name w:val="Heading 8 Char"/>
    <w:basedOn w:val="914"/>
    <w:link w:val="872"/>
    <w:uiPriority w:val="9"/>
    <w:pPr>
      <w:pBdr/>
      <w:spacing/>
      <w:ind/>
    </w:pPr>
    <w:rPr>
      <w:rFonts w:ascii="Arial" w:hAnsi="Arial" w:eastAsia="Arial" w:cs="Arial"/>
      <w:i/>
      <w:iCs/>
      <w:color w:val="272727" w:themeColor="text1" w:themeTint="D8"/>
    </w:rPr>
  </w:style>
  <w:style w:type="character" w:styleId="879">
    <w:name w:val="Heading 9 Char"/>
    <w:basedOn w:val="914"/>
    <w:link w:val="873"/>
    <w:uiPriority w:val="9"/>
    <w:pPr>
      <w:pBdr/>
      <w:spacing/>
      <w:ind/>
    </w:pPr>
    <w:rPr>
      <w:rFonts w:ascii="Arial" w:hAnsi="Arial" w:eastAsia="Arial" w:cs="Arial"/>
      <w:i/>
      <w:iCs/>
      <w:color w:val="272727" w:themeColor="text1" w:themeTint="D8"/>
    </w:rPr>
  </w:style>
  <w:style w:type="paragraph" w:styleId="880">
    <w:name w:val="Title"/>
    <w:basedOn w:val="910"/>
    <w:next w:val="910"/>
    <w:link w:val="881"/>
    <w:uiPriority w:val="10"/>
    <w:qFormat/>
    <w:pPr>
      <w:pBdr/>
      <w:spacing w:after="80" w:line="240" w:lineRule="auto"/>
      <w:ind/>
      <w:contextualSpacing w:val="true"/>
    </w:pPr>
    <w:rPr>
      <w:rFonts w:ascii="Arial" w:hAnsi="Arial" w:eastAsia="Arial" w:cs="Arial"/>
      <w:spacing w:val="-10"/>
      <w:sz w:val="56"/>
      <w:szCs w:val="56"/>
    </w:rPr>
  </w:style>
  <w:style w:type="character" w:styleId="881">
    <w:name w:val="Title Char"/>
    <w:basedOn w:val="914"/>
    <w:link w:val="880"/>
    <w:uiPriority w:val="10"/>
    <w:pPr>
      <w:pBdr/>
      <w:spacing/>
      <w:ind/>
    </w:pPr>
    <w:rPr>
      <w:rFonts w:ascii="Arial" w:hAnsi="Arial" w:eastAsia="Arial" w:cs="Arial"/>
      <w:spacing w:val="-10"/>
      <w:sz w:val="56"/>
      <w:szCs w:val="56"/>
    </w:rPr>
  </w:style>
  <w:style w:type="paragraph" w:styleId="882">
    <w:name w:val="Subtitle"/>
    <w:basedOn w:val="910"/>
    <w:next w:val="910"/>
    <w:link w:val="883"/>
    <w:uiPriority w:val="11"/>
    <w:qFormat/>
    <w:pPr>
      <w:numPr>
        <w:ilvl w:val="1"/>
      </w:numPr>
      <w:pBdr/>
      <w:spacing/>
      <w:ind/>
    </w:pPr>
    <w:rPr>
      <w:color w:val="595959" w:themeColor="text1" w:themeTint="A6"/>
      <w:spacing w:val="15"/>
      <w:sz w:val="28"/>
      <w:szCs w:val="28"/>
    </w:rPr>
  </w:style>
  <w:style w:type="character" w:styleId="883">
    <w:name w:val="Subtitle Char"/>
    <w:basedOn w:val="914"/>
    <w:link w:val="882"/>
    <w:uiPriority w:val="11"/>
    <w:pPr>
      <w:pBdr/>
      <w:spacing/>
      <w:ind/>
    </w:pPr>
    <w:rPr>
      <w:color w:val="595959" w:themeColor="text1" w:themeTint="A6"/>
      <w:spacing w:val="15"/>
      <w:sz w:val="28"/>
      <w:szCs w:val="28"/>
    </w:rPr>
  </w:style>
  <w:style w:type="paragraph" w:styleId="884">
    <w:name w:val="Quote"/>
    <w:basedOn w:val="910"/>
    <w:next w:val="910"/>
    <w:link w:val="885"/>
    <w:uiPriority w:val="29"/>
    <w:qFormat/>
    <w:pPr>
      <w:pBdr/>
      <w:spacing w:before="160"/>
      <w:ind/>
      <w:jc w:val="center"/>
    </w:pPr>
    <w:rPr>
      <w:i/>
      <w:iCs/>
      <w:color w:val="404040" w:themeColor="text1" w:themeTint="BF"/>
    </w:rPr>
  </w:style>
  <w:style w:type="character" w:styleId="885">
    <w:name w:val="Quote Char"/>
    <w:basedOn w:val="914"/>
    <w:link w:val="884"/>
    <w:uiPriority w:val="29"/>
    <w:pPr>
      <w:pBdr/>
      <w:spacing/>
      <w:ind/>
    </w:pPr>
    <w:rPr>
      <w:i/>
      <w:iCs/>
      <w:color w:val="404040" w:themeColor="text1" w:themeTint="BF"/>
    </w:rPr>
  </w:style>
  <w:style w:type="character" w:styleId="886">
    <w:name w:val="Intense Emphasis"/>
    <w:basedOn w:val="914"/>
    <w:uiPriority w:val="21"/>
    <w:qFormat/>
    <w:pPr>
      <w:pBdr/>
      <w:spacing/>
      <w:ind/>
    </w:pPr>
    <w:rPr>
      <w:i/>
      <w:iCs/>
      <w:color w:val="0f4761" w:themeColor="accent1" w:themeShade="BF"/>
    </w:rPr>
  </w:style>
  <w:style w:type="paragraph" w:styleId="887">
    <w:name w:val="Intense Quote"/>
    <w:basedOn w:val="910"/>
    <w:next w:val="910"/>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914"/>
    <w:link w:val="887"/>
    <w:uiPriority w:val="30"/>
    <w:pPr>
      <w:pBdr/>
      <w:spacing/>
      <w:ind/>
    </w:pPr>
    <w:rPr>
      <w:i/>
      <w:iCs/>
      <w:color w:val="0f4761" w:themeColor="accent1" w:themeShade="BF"/>
    </w:rPr>
  </w:style>
  <w:style w:type="character" w:styleId="889">
    <w:name w:val="Intense Reference"/>
    <w:basedOn w:val="914"/>
    <w:uiPriority w:val="32"/>
    <w:qFormat/>
    <w:pPr>
      <w:pBdr/>
      <w:spacing/>
      <w:ind/>
    </w:pPr>
    <w:rPr>
      <w:b/>
      <w:bCs/>
      <w:smallCaps/>
      <w:color w:val="0f4761" w:themeColor="accent1" w:themeShade="BF"/>
      <w:spacing w:val="5"/>
    </w:rPr>
  </w:style>
  <w:style w:type="paragraph" w:styleId="890">
    <w:name w:val="No Spacing"/>
    <w:basedOn w:val="910"/>
    <w:uiPriority w:val="1"/>
    <w:qFormat/>
    <w:pPr>
      <w:pBdr/>
      <w:spacing w:after="0" w:line="240" w:lineRule="auto"/>
      <w:ind/>
    </w:pPr>
  </w:style>
  <w:style w:type="character" w:styleId="891">
    <w:name w:val="Subtle Emphasis"/>
    <w:basedOn w:val="914"/>
    <w:uiPriority w:val="19"/>
    <w:qFormat/>
    <w:pPr>
      <w:pBdr/>
      <w:spacing/>
      <w:ind/>
    </w:pPr>
    <w:rPr>
      <w:i/>
      <w:iCs/>
      <w:color w:val="404040" w:themeColor="text1" w:themeTint="BF"/>
    </w:rPr>
  </w:style>
  <w:style w:type="character" w:styleId="892">
    <w:name w:val="Subtle Reference"/>
    <w:basedOn w:val="914"/>
    <w:uiPriority w:val="31"/>
    <w:qFormat/>
    <w:pPr>
      <w:pBdr/>
      <w:spacing/>
      <w:ind/>
    </w:pPr>
    <w:rPr>
      <w:smallCaps/>
      <w:color w:val="5a5a5a" w:themeColor="text1" w:themeTint="A5"/>
    </w:rPr>
  </w:style>
  <w:style w:type="character" w:styleId="893">
    <w:name w:val="Book Title"/>
    <w:basedOn w:val="914"/>
    <w:uiPriority w:val="33"/>
    <w:qFormat/>
    <w:pPr>
      <w:pBdr/>
      <w:spacing/>
      <w:ind/>
    </w:pPr>
    <w:rPr>
      <w:b/>
      <w:bCs/>
      <w:i/>
      <w:iCs/>
      <w:spacing w:val="5"/>
    </w:rPr>
  </w:style>
  <w:style w:type="paragraph" w:styleId="894">
    <w:name w:val="Caption"/>
    <w:basedOn w:val="910"/>
    <w:next w:val="910"/>
    <w:uiPriority w:val="35"/>
    <w:unhideWhenUsed/>
    <w:qFormat/>
    <w:pPr>
      <w:pBdr/>
      <w:spacing w:after="200" w:line="240" w:lineRule="auto"/>
      <w:ind/>
    </w:pPr>
    <w:rPr>
      <w:i/>
      <w:iCs/>
      <w:color w:val="0e2841" w:themeColor="text2"/>
      <w:sz w:val="18"/>
      <w:szCs w:val="18"/>
    </w:rPr>
  </w:style>
  <w:style w:type="paragraph" w:styleId="895">
    <w:name w:val="endnote text"/>
    <w:basedOn w:val="910"/>
    <w:link w:val="896"/>
    <w:uiPriority w:val="99"/>
    <w:semiHidden/>
    <w:unhideWhenUsed/>
    <w:pPr>
      <w:pBdr/>
      <w:spacing w:after="0" w:line="240" w:lineRule="auto"/>
      <w:ind/>
    </w:pPr>
    <w:rPr>
      <w:sz w:val="20"/>
      <w:szCs w:val="20"/>
    </w:rPr>
  </w:style>
  <w:style w:type="character" w:styleId="896">
    <w:name w:val="Endnote Text Char"/>
    <w:basedOn w:val="914"/>
    <w:link w:val="895"/>
    <w:uiPriority w:val="99"/>
    <w:semiHidden/>
    <w:pPr>
      <w:pBdr/>
      <w:spacing/>
      <w:ind/>
    </w:pPr>
    <w:rPr>
      <w:sz w:val="20"/>
      <w:szCs w:val="20"/>
    </w:rPr>
  </w:style>
  <w:style w:type="character" w:styleId="897">
    <w:name w:val="endnote reference"/>
    <w:basedOn w:val="914"/>
    <w:uiPriority w:val="99"/>
    <w:semiHidden/>
    <w:unhideWhenUsed/>
    <w:pPr>
      <w:pBdr/>
      <w:spacing/>
      <w:ind/>
    </w:pPr>
    <w:rPr>
      <w:vertAlign w:val="superscript"/>
    </w:rPr>
  </w:style>
  <w:style w:type="character" w:styleId="898">
    <w:name w:val="FollowedHyperlink"/>
    <w:basedOn w:val="914"/>
    <w:uiPriority w:val="99"/>
    <w:semiHidden/>
    <w:unhideWhenUsed/>
    <w:pPr>
      <w:pBdr/>
      <w:spacing/>
      <w:ind/>
    </w:pPr>
    <w:rPr>
      <w:color w:val="954f72" w:themeColor="followedHyperlink"/>
      <w:u w:val="single"/>
    </w:rPr>
  </w:style>
  <w:style w:type="paragraph" w:styleId="899">
    <w:name w:val="toc 1"/>
    <w:basedOn w:val="910"/>
    <w:next w:val="910"/>
    <w:uiPriority w:val="39"/>
    <w:unhideWhenUsed/>
    <w:pPr>
      <w:pBdr/>
      <w:spacing w:after="100"/>
      <w:ind/>
    </w:pPr>
  </w:style>
  <w:style w:type="paragraph" w:styleId="900">
    <w:name w:val="toc 2"/>
    <w:basedOn w:val="910"/>
    <w:next w:val="910"/>
    <w:uiPriority w:val="39"/>
    <w:unhideWhenUsed/>
    <w:pPr>
      <w:pBdr/>
      <w:spacing w:after="100"/>
      <w:ind w:left="220"/>
    </w:pPr>
  </w:style>
  <w:style w:type="paragraph" w:styleId="901">
    <w:name w:val="toc 3"/>
    <w:basedOn w:val="910"/>
    <w:next w:val="910"/>
    <w:uiPriority w:val="39"/>
    <w:unhideWhenUsed/>
    <w:pPr>
      <w:pBdr/>
      <w:spacing w:after="100"/>
      <w:ind w:left="440"/>
    </w:pPr>
  </w:style>
  <w:style w:type="paragraph" w:styleId="902">
    <w:name w:val="toc 4"/>
    <w:basedOn w:val="910"/>
    <w:next w:val="910"/>
    <w:uiPriority w:val="39"/>
    <w:unhideWhenUsed/>
    <w:pPr>
      <w:pBdr/>
      <w:spacing w:after="100"/>
      <w:ind w:left="660"/>
    </w:pPr>
  </w:style>
  <w:style w:type="paragraph" w:styleId="903">
    <w:name w:val="toc 5"/>
    <w:basedOn w:val="910"/>
    <w:next w:val="910"/>
    <w:uiPriority w:val="39"/>
    <w:unhideWhenUsed/>
    <w:pPr>
      <w:pBdr/>
      <w:spacing w:after="100"/>
      <w:ind w:left="880"/>
    </w:pPr>
  </w:style>
  <w:style w:type="paragraph" w:styleId="904">
    <w:name w:val="toc 6"/>
    <w:basedOn w:val="910"/>
    <w:next w:val="910"/>
    <w:uiPriority w:val="39"/>
    <w:unhideWhenUsed/>
    <w:pPr>
      <w:pBdr/>
      <w:spacing w:after="100"/>
      <w:ind w:left="1100"/>
    </w:pPr>
  </w:style>
  <w:style w:type="paragraph" w:styleId="905">
    <w:name w:val="toc 7"/>
    <w:basedOn w:val="910"/>
    <w:next w:val="910"/>
    <w:uiPriority w:val="39"/>
    <w:unhideWhenUsed/>
    <w:pPr>
      <w:pBdr/>
      <w:spacing w:after="100"/>
      <w:ind w:left="1320"/>
    </w:pPr>
  </w:style>
  <w:style w:type="paragraph" w:styleId="906">
    <w:name w:val="toc 8"/>
    <w:basedOn w:val="910"/>
    <w:next w:val="910"/>
    <w:uiPriority w:val="39"/>
    <w:unhideWhenUsed/>
    <w:pPr>
      <w:pBdr/>
      <w:spacing w:after="100"/>
      <w:ind w:left="1540"/>
    </w:pPr>
  </w:style>
  <w:style w:type="paragraph" w:styleId="907">
    <w:name w:val="toc 9"/>
    <w:basedOn w:val="910"/>
    <w:next w:val="910"/>
    <w:uiPriority w:val="39"/>
    <w:unhideWhenUsed/>
    <w:pPr>
      <w:pBdr/>
      <w:spacing w:after="100"/>
      <w:ind w:left="1760"/>
    </w:p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rPr>
      <w:sz w:val="28"/>
      <w:szCs w:val="28"/>
    </w:rPr>
  </w:style>
  <w:style w:type="paragraph" w:styleId="911">
    <w:name w:val="Heading 1"/>
    <w:basedOn w:val="910"/>
    <w:next w:val="910"/>
    <w:link w:val="960"/>
    <w:qFormat/>
    <w:pPr>
      <w:keepNext w:val="true"/>
      <w:pBdr/>
      <w:spacing w:after="60" w:before="240"/>
      <w:ind/>
      <w:outlineLvl w:val="0"/>
    </w:pPr>
    <w:rPr>
      <w:rFonts w:ascii="Calibri Light" w:hAnsi="Calibri Light"/>
      <w:b/>
      <w:bCs/>
      <w:sz w:val="32"/>
      <w:szCs w:val="32"/>
    </w:rPr>
  </w:style>
  <w:style w:type="paragraph" w:styleId="912">
    <w:name w:val="Heading 2"/>
    <w:basedOn w:val="910"/>
    <w:next w:val="910"/>
    <w:link w:val="931"/>
    <w:qFormat/>
    <w:pPr>
      <w:keepNext w:val="true"/>
      <w:pBdr/>
      <w:spacing w:after="60" w:before="240"/>
      <w:ind/>
      <w:outlineLvl w:val="1"/>
    </w:pPr>
    <w:rPr>
      <w:rFonts w:ascii="Arial" w:hAnsi="Arial"/>
      <w:b/>
      <w:bCs/>
      <w:i/>
      <w:iCs/>
    </w:rPr>
  </w:style>
  <w:style w:type="paragraph" w:styleId="913">
    <w:name w:val="Heading 3"/>
    <w:basedOn w:val="910"/>
    <w:next w:val="910"/>
    <w:link w:val="935"/>
    <w:qFormat/>
    <w:pPr>
      <w:keepNext w:val="true"/>
      <w:pBdr/>
      <w:spacing w:after="60" w:before="240"/>
      <w:ind/>
      <w:outlineLvl w:val="2"/>
    </w:pPr>
    <w:rPr>
      <w:rFonts w:ascii="Cambria" w:hAnsi="Cambria"/>
      <w:b/>
      <w:bCs/>
      <w:sz w:val="26"/>
      <w:szCs w:val="26"/>
    </w:rPr>
  </w:style>
  <w:style w:type="character" w:styleId="914" w:default="1">
    <w:name w:val="Default Paragraph Font"/>
    <w:uiPriority w:val="1"/>
    <w:semiHidden/>
    <w:unhideWhenUsed/>
    <w:pPr>
      <w:pBdr/>
      <w:spacing/>
      <w:ind/>
    </w:pPr>
  </w:style>
  <w:style w:type="table" w:styleId="9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6" w:default="1">
    <w:name w:val="No List"/>
    <w:uiPriority w:val="99"/>
    <w:semiHidden/>
    <w:unhideWhenUsed/>
    <w:pPr>
      <w:pBdr/>
      <w:spacing/>
      <w:ind/>
    </w:pPr>
  </w:style>
  <w:style w:type="paragraph" w:styleId="917" w:customStyle="1">
    <w:name w:val="StGen0"/>
    <w:basedOn w:val="910"/>
    <w:pPr>
      <w:widowControl w:val="false"/>
      <w:pBdr/>
      <w:spacing/>
      <w:ind/>
      <w:jc w:val="both"/>
    </w:pPr>
    <w:rPr>
      <w:rFonts w:eastAsia="SimSun"/>
      <w:sz w:val="24"/>
      <w:szCs w:val="24"/>
      <w:lang w:eastAsia="zh-CN"/>
    </w:rPr>
  </w:style>
  <w:style w:type="paragraph" w:styleId="918">
    <w:name w:val="Footer"/>
    <w:basedOn w:val="910"/>
    <w:link w:val="951"/>
    <w:uiPriority w:val="99"/>
    <w:pPr>
      <w:pBdr/>
      <w:tabs>
        <w:tab w:val="center" w:leader="none" w:pos="4320"/>
        <w:tab w:val="right" w:leader="none" w:pos="8640"/>
      </w:tabs>
      <w:spacing/>
      <w:ind/>
    </w:pPr>
  </w:style>
  <w:style w:type="character" w:styleId="919">
    <w:name w:val="page number"/>
    <w:basedOn w:val="914"/>
    <w:pPr>
      <w:pBdr/>
      <w:spacing/>
      <w:ind/>
    </w:pPr>
  </w:style>
  <w:style w:type="paragraph" w:styleId="920" w:customStyle="1">
    <w:name w:val="Char1 Char Char Char Char Char Char Char Char Char Char Char Char Char Char Char Char1 Char Char Char"/>
    <w:basedOn w:val="910"/>
    <w:pPr>
      <w:widowControl w:val="false"/>
      <w:pBdr/>
      <w:spacing/>
      <w:ind/>
      <w:jc w:val="both"/>
    </w:pPr>
    <w:rPr>
      <w:rFonts w:eastAsia="SimSun"/>
      <w:sz w:val="24"/>
      <w:szCs w:val="24"/>
      <w:lang w:eastAsia="zh-CN"/>
    </w:rPr>
  </w:style>
  <w:style w:type="paragraph" w:styleId="921">
    <w:name w:val="Header"/>
    <w:basedOn w:val="910"/>
    <w:link w:val="932"/>
    <w:uiPriority w:val="99"/>
    <w:pPr>
      <w:pBdr/>
      <w:tabs>
        <w:tab w:val="center" w:leader="none" w:pos="4320"/>
        <w:tab w:val="right" w:leader="none" w:pos="8640"/>
      </w:tabs>
      <w:spacing/>
      <w:ind/>
    </w:pPr>
  </w:style>
  <w:style w:type="paragraph" w:styleId="922" w:customStyle="1">
    <w:name w:val="Default Paragraph Font Para Char Char Char Char Char"/>
    <w:pPr>
      <w:pBdr/>
      <w:tabs>
        <w:tab w:val="left" w:leader="none" w:pos="1152"/>
      </w:tabs>
      <w:spacing w:after="120" w:before="120" w:line="312" w:lineRule="auto"/>
      <w:ind/>
    </w:pPr>
    <w:rPr>
      <w:rFonts w:ascii="Arial" w:hAnsi="Arial" w:cs="Arial"/>
      <w:sz w:val="26"/>
      <w:szCs w:val="26"/>
    </w:rPr>
  </w:style>
  <w:style w:type="character" w:styleId="923">
    <w:name w:val="Hyperlink"/>
    <w:pPr>
      <w:pBdr/>
      <w:spacing/>
      <w:ind/>
    </w:pPr>
    <w:rPr>
      <w:color w:val="0000ff"/>
      <w:u w:val="single"/>
    </w:rPr>
  </w:style>
  <w:style w:type="table" w:styleId="924">
    <w:name w:val="Table Grid"/>
    <w:basedOn w:val="91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customStyle="1">
    <w:name w:val="Char Char Char Char Char Char Char"/>
    <w:basedOn w:val="910"/>
    <w:pPr>
      <w:pageBreakBefore w:val="true"/>
      <w:pBdr/>
      <w:tabs>
        <w:tab w:val="left" w:leader="none" w:pos="850"/>
        <w:tab w:val="left" w:leader="none" w:pos="1191"/>
        <w:tab w:val="left" w:leader="none" w:pos="1531"/>
      </w:tabs>
      <w:spacing w:after="120"/>
      <w:ind/>
      <w:jc w:val="center"/>
    </w:pPr>
    <w:rPr>
      <w:rFonts w:ascii="Tahoma" w:hAnsi="Tahoma" w:eastAsia="MS Mincho" w:cs="Tahoma"/>
      <w:b/>
      <w:bCs/>
      <w:color w:val="ffffff"/>
      <w:spacing w:val="20"/>
      <w:sz w:val="22"/>
      <w:szCs w:val="22"/>
      <w:lang w:val="en-GB" w:eastAsia="zh-CN"/>
    </w:rPr>
  </w:style>
  <w:style w:type="paragraph" w:styleId="926">
    <w:name w:val="Normal (Web)"/>
    <w:basedOn w:val="910"/>
    <w:link w:val="959"/>
    <w:uiPriority w:val="99"/>
    <w:pPr>
      <w:pBdr/>
      <w:spacing w:after="100" w:afterAutospacing="1" w:before="100" w:beforeAutospacing="1"/>
      <w:ind/>
    </w:pPr>
    <w:rPr>
      <w:sz w:val="24"/>
      <w:szCs w:val="24"/>
      <w:lang w:val="vi-VN" w:eastAsia="vi-VN"/>
    </w:rPr>
  </w:style>
  <w:style w:type="paragraph" w:styleId="927" w:customStyle="1">
    <w:name w:val="Char Char Char"/>
    <w:basedOn w:val="910"/>
    <w:semiHidden/>
    <w:pPr>
      <w:pBdr/>
      <w:spacing w:after="160" w:line="240" w:lineRule="exact"/>
      <w:ind/>
    </w:pPr>
    <w:rPr>
      <w:rFonts w:ascii="Arial" w:hAnsi="Arial"/>
      <w:sz w:val="22"/>
      <w:szCs w:val="22"/>
    </w:rPr>
  </w:style>
  <w:style w:type="paragraph" w:styleId="928" w:customStyle="1">
    <w:name w:val="1 Char"/>
    <w:basedOn w:val="929"/>
    <w:pPr>
      <w:widowControl w:val="false"/>
      <w:pBdr/>
      <w:shd w:val="clear" w:color="auto" w:fill="000080"/>
      <w:spacing/>
      <w:ind/>
      <w:jc w:val="both"/>
    </w:pPr>
    <w:rPr>
      <w:rFonts w:eastAsia="SimSun"/>
      <w:sz w:val="24"/>
      <w:szCs w:val="24"/>
      <w:lang w:eastAsia="zh-CN"/>
    </w:rPr>
  </w:style>
  <w:style w:type="paragraph" w:styleId="929">
    <w:name w:val="Document Map"/>
    <w:basedOn w:val="910"/>
    <w:link w:val="930"/>
    <w:pPr>
      <w:pBdr/>
      <w:spacing/>
      <w:ind/>
    </w:pPr>
    <w:rPr>
      <w:rFonts w:ascii="Tahoma" w:hAnsi="Tahoma"/>
      <w:sz w:val="16"/>
      <w:szCs w:val="16"/>
    </w:rPr>
  </w:style>
  <w:style w:type="character" w:styleId="930" w:customStyle="1">
    <w:name w:val="Document Map Char"/>
    <w:link w:val="929"/>
    <w:pPr>
      <w:pBdr/>
      <w:spacing/>
      <w:ind/>
    </w:pPr>
    <w:rPr>
      <w:rFonts w:ascii="Tahoma" w:hAnsi="Tahoma" w:cs="Tahoma"/>
      <w:sz w:val="16"/>
      <w:szCs w:val="16"/>
    </w:rPr>
  </w:style>
  <w:style w:type="character" w:styleId="931" w:customStyle="1">
    <w:name w:val="Heading 2 Char"/>
    <w:link w:val="912"/>
    <w:pPr>
      <w:pBdr/>
      <w:spacing/>
      <w:ind/>
    </w:pPr>
    <w:rPr>
      <w:rFonts w:ascii="Arial" w:hAnsi="Arial" w:cs="Arial"/>
      <w:b/>
      <w:bCs/>
      <w:i/>
      <w:iCs/>
      <w:sz w:val="28"/>
      <w:szCs w:val="28"/>
    </w:rPr>
  </w:style>
  <w:style w:type="character" w:styleId="932" w:customStyle="1">
    <w:name w:val="Header Char"/>
    <w:link w:val="921"/>
    <w:uiPriority w:val="99"/>
    <w:pPr>
      <w:pBdr/>
      <w:spacing/>
      <w:ind/>
    </w:pPr>
    <w:rPr>
      <w:sz w:val="28"/>
      <w:szCs w:val="28"/>
    </w:rPr>
  </w:style>
  <w:style w:type="paragraph" w:styleId="933">
    <w:name w:val="Balloon Text"/>
    <w:basedOn w:val="910"/>
    <w:link w:val="934"/>
    <w:pPr>
      <w:pBdr/>
      <w:spacing/>
      <w:ind/>
    </w:pPr>
    <w:rPr>
      <w:rFonts w:ascii="Tahoma" w:hAnsi="Tahoma"/>
      <w:sz w:val="16"/>
      <w:szCs w:val="16"/>
    </w:rPr>
  </w:style>
  <w:style w:type="character" w:styleId="934" w:customStyle="1">
    <w:name w:val="Balloon Text Char"/>
    <w:link w:val="933"/>
    <w:pPr>
      <w:pBdr/>
      <w:spacing/>
      <w:ind/>
    </w:pPr>
    <w:rPr>
      <w:rFonts w:ascii="Tahoma" w:hAnsi="Tahoma" w:cs="Tahoma"/>
      <w:sz w:val="16"/>
      <w:szCs w:val="16"/>
    </w:rPr>
  </w:style>
  <w:style w:type="character" w:styleId="935" w:customStyle="1">
    <w:name w:val="Heading 3 Char"/>
    <w:link w:val="913"/>
    <w:semiHidden/>
    <w:pPr>
      <w:pBdr/>
      <w:spacing/>
      <w:ind/>
    </w:pPr>
    <w:rPr>
      <w:rFonts w:ascii="Cambria" w:hAnsi="Cambria" w:eastAsia="Times New Roman" w:cs="Times New Roman"/>
      <w:b/>
      <w:bCs/>
      <w:sz w:val="26"/>
      <w:szCs w:val="26"/>
    </w:rPr>
  </w:style>
  <w:style w:type="paragraph" w:styleId="936" w:customStyle="1">
    <w:name w:val="n-dieund"/>
    <w:basedOn w:val="910"/>
    <w:uiPriority w:val="99"/>
    <w:pPr>
      <w:pBdr/>
      <w:spacing w:after="120"/>
      <w:ind w:firstLine="709"/>
      <w:jc w:val="both"/>
    </w:pPr>
    <w:rPr>
      <w:rFonts w:ascii=".VnTime" w:hAnsi=".VnTime" w:cs=".VnTime"/>
    </w:rPr>
  </w:style>
  <w:style w:type="paragraph" w:styleId="937" w:customStyle="1">
    <w:name w:val="Char"/>
    <w:basedOn w:val="910"/>
    <w:pPr>
      <w:pBdr/>
      <w:spacing/>
      <w:ind/>
    </w:pPr>
    <w:rPr>
      <w:rFonts w:ascii="Arial" w:hAnsi="Arial"/>
      <w:sz w:val="22"/>
      <w:szCs w:val="20"/>
      <w:lang w:val="en-AU"/>
    </w:rPr>
  </w:style>
  <w:style w:type="paragraph" w:styleId="938">
    <w:name w:val="Body Text"/>
    <w:basedOn w:val="910"/>
    <w:link w:val="939"/>
    <w:uiPriority w:val="99"/>
    <w:pPr>
      <w:pBdr/>
      <w:spacing/>
      <w:ind/>
      <w:jc w:val="center"/>
    </w:pPr>
    <w:rPr>
      <w:b/>
      <w:bCs/>
      <w:sz w:val="26"/>
    </w:rPr>
  </w:style>
  <w:style w:type="character" w:styleId="939" w:customStyle="1">
    <w:name w:val="Body Text Char"/>
    <w:link w:val="938"/>
    <w:uiPriority w:val="99"/>
    <w:pPr>
      <w:pBdr/>
      <w:spacing/>
      <w:ind/>
    </w:pPr>
    <w:rPr>
      <w:b/>
      <w:bCs/>
      <w:sz w:val="26"/>
      <w:szCs w:val="28"/>
    </w:rPr>
  </w:style>
  <w:style w:type="paragraph" w:styleId="940">
    <w:name w:val="Body Text Indent 3"/>
    <w:basedOn w:val="910"/>
    <w:link w:val="941"/>
    <w:pPr>
      <w:pBdr/>
      <w:spacing w:after="120"/>
      <w:ind w:left="283"/>
    </w:pPr>
    <w:rPr>
      <w:sz w:val="16"/>
      <w:szCs w:val="16"/>
    </w:rPr>
  </w:style>
  <w:style w:type="character" w:styleId="941" w:customStyle="1">
    <w:name w:val="Body Text Indent 3 Char"/>
    <w:link w:val="940"/>
    <w:pPr>
      <w:pBdr/>
      <w:spacing/>
      <w:ind/>
    </w:pPr>
    <w:rPr>
      <w:sz w:val="16"/>
      <w:szCs w:val="16"/>
      <w:lang w:val="en-US" w:eastAsia="en-US"/>
    </w:rPr>
  </w:style>
  <w:style w:type="paragraph" w:styleId="942">
    <w:name w:val="Body Text 2"/>
    <w:basedOn w:val="910"/>
    <w:link w:val="943"/>
    <w:pPr>
      <w:pBdr/>
      <w:spacing w:after="120" w:line="480" w:lineRule="auto"/>
      <w:ind/>
    </w:pPr>
  </w:style>
  <w:style w:type="character" w:styleId="943" w:customStyle="1">
    <w:name w:val="Body Text 2 Char"/>
    <w:link w:val="942"/>
    <w:pPr>
      <w:pBdr/>
      <w:spacing/>
      <w:ind/>
    </w:pPr>
    <w:rPr>
      <w:sz w:val="28"/>
      <w:szCs w:val="28"/>
      <w:lang w:val="en-US" w:eastAsia="en-US"/>
    </w:rPr>
  </w:style>
  <w:style w:type="paragraph" w:styleId="944">
    <w:name w:val="footnote text"/>
    <w:basedOn w:val="910"/>
    <w:link w:val="945"/>
    <w:pPr>
      <w:pBdr/>
      <w:spacing/>
      <w:ind/>
    </w:pPr>
    <w:rPr>
      <w:sz w:val="20"/>
      <w:szCs w:val="20"/>
    </w:rPr>
  </w:style>
  <w:style w:type="character" w:styleId="945" w:customStyle="1">
    <w:name w:val="Footnote Text Char"/>
    <w:link w:val="944"/>
    <w:pPr>
      <w:pBdr/>
      <w:spacing/>
      <w:ind/>
    </w:pPr>
    <w:rPr>
      <w:lang w:val="en-US" w:eastAsia="en-US"/>
    </w:rPr>
  </w:style>
  <w:style w:type="character" w:styleId="946">
    <w:name w:val="footnote reference"/>
    <w:pPr>
      <w:pBdr/>
      <w:spacing/>
      <w:ind/>
    </w:pPr>
    <w:rPr>
      <w:vertAlign w:val="superscript"/>
    </w:rPr>
  </w:style>
  <w:style w:type="character" w:styleId="947">
    <w:name w:val="Strong"/>
    <w:qFormat/>
    <w:pPr>
      <w:pBdr/>
      <w:spacing/>
      <w:ind/>
    </w:pPr>
    <w:rPr>
      <w:b/>
      <w:bCs/>
    </w:rPr>
  </w:style>
  <w:style w:type="character" w:styleId="948" w:customStyle="1">
    <w:name w:val="Body text_"/>
    <w:link w:val="949"/>
    <w:pPr>
      <w:pBdr/>
      <w:spacing/>
      <w:ind/>
    </w:pPr>
    <w:rPr>
      <w:spacing w:val="4"/>
      <w:sz w:val="25"/>
      <w:szCs w:val="25"/>
      <w:shd w:val="clear" w:color="auto" w:fill="ffffff"/>
    </w:rPr>
  </w:style>
  <w:style w:type="paragraph" w:styleId="949" w:customStyle="1">
    <w:name w:val="Body Text1"/>
    <w:basedOn w:val="910"/>
    <w:link w:val="948"/>
    <w:pPr>
      <w:widowControl w:val="false"/>
      <w:pBdr/>
      <w:shd w:val="clear" w:color="auto" w:fill="ffffff"/>
      <w:spacing w:before="780" w:line="360" w:lineRule="exact"/>
      <w:ind/>
      <w:jc w:val="both"/>
    </w:pPr>
    <w:rPr>
      <w:spacing w:val="4"/>
      <w:sz w:val="25"/>
      <w:szCs w:val="25"/>
    </w:rPr>
  </w:style>
  <w:style w:type="paragraph" w:styleId="950" w:customStyle="1">
    <w:name w:val="Body text1"/>
    <w:basedOn w:val="910"/>
    <w:pPr>
      <w:widowControl w:val="false"/>
      <w:pBdr/>
      <w:shd w:val="clear" w:color="auto" w:fill="ffffff"/>
      <w:spacing w:after="300" w:line="324" w:lineRule="exact"/>
      <w:ind/>
    </w:pPr>
    <w:rPr>
      <w:rFonts w:eastAsia="Courier New"/>
      <w:lang w:val="vi-VN"/>
    </w:rPr>
  </w:style>
  <w:style w:type="character" w:styleId="951" w:customStyle="1">
    <w:name w:val="Footer Char"/>
    <w:link w:val="918"/>
    <w:uiPriority w:val="99"/>
    <w:pPr>
      <w:pBdr/>
      <w:spacing/>
      <w:ind/>
    </w:pPr>
    <w:rPr>
      <w:sz w:val="28"/>
      <w:szCs w:val="28"/>
    </w:rPr>
  </w:style>
  <w:style w:type="character" w:styleId="952" w:customStyle="1">
    <w:name w:val="apple-converted-space"/>
    <w:basedOn w:val="914"/>
    <w:pPr>
      <w:pBdr/>
      <w:spacing/>
      <w:ind/>
    </w:pPr>
  </w:style>
  <w:style w:type="character" w:styleId="953" w:customStyle="1">
    <w:name w:val="Văn bản nội dung_"/>
    <w:link w:val="956"/>
    <w:pPr>
      <w:pBdr/>
      <w:spacing/>
      <w:ind/>
    </w:pPr>
    <w:rPr>
      <w:sz w:val="26"/>
      <w:szCs w:val="26"/>
    </w:rPr>
  </w:style>
  <w:style w:type="character" w:styleId="954" w:customStyle="1">
    <w:name w:val="Văn bản nội dung (2)_"/>
    <w:link w:val="957"/>
    <w:pPr>
      <w:pBdr/>
      <w:spacing/>
      <w:ind/>
    </w:pPr>
    <w:rPr>
      <w:sz w:val="22"/>
      <w:szCs w:val="22"/>
    </w:rPr>
  </w:style>
  <w:style w:type="character" w:styleId="955" w:customStyle="1">
    <w:name w:val="Văn bản nội dung (3)_"/>
    <w:link w:val="958"/>
    <w:pPr>
      <w:pBdr/>
      <w:spacing/>
      <w:ind/>
    </w:pPr>
    <w:rPr>
      <w:rFonts w:ascii="Arial" w:hAnsi="Arial" w:eastAsia="Arial" w:cs="Arial"/>
      <w:b/>
      <w:bCs/>
      <w:sz w:val="14"/>
      <w:szCs w:val="14"/>
      <w:u w:val="single"/>
    </w:rPr>
  </w:style>
  <w:style w:type="paragraph" w:styleId="956" w:customStyle="1">
    <w:name w:val="Văn bản nội dung"/>
    <w:basedOn w:val="910"/>
    <w:link w:val="953"/>
    <w:pPr>
      <w:widowControl w:val="false"/>
      <w:pBdr/>
      <w:spacing w:after="80" w:line="286" w:lineRule="auto"/>
      <w:ind w:firstLine="400"/>
    </w:pPr>
    <w:rPr>
      <w:sz w:val="26"/>
      <w:szCs w:val="26"/>
    </w:rPr>
  </w:style>
  <w:style w:type="paragraph" w:styleId="957" w:customStyle="1">
    <w:name w:val="Văn bản nội dung (2)"/>
    <w:basedOn w:val="910"/>
    <w:link w:val="954"/>
    <w:pPr>
      <w:widowControl w:val="false"/>
      <w:pBdr/>
      <w:spacing/>
      <w:ind w:firstLine="920"/>
    </w:pPr>
    <w:rPr>
      <w:sz w:val="22"/>
      <w:szCs w:val="22"/>
    </w:rPr>
  </w:style>
  <w:style w:type="paragraph" w:styleId="958" w:customStyle="1">
    <w:name w:val="Văn bản nội dung (3)"/>
    <w:basedOn w:val="910"/>
    <w:link w:val="955"/>
    <w:pPr>
      <w:widowControl w:val="false"/>
      <w:pBdr/>
      <w:spacing w:after="300"/>
      <w:ind/>
    </w:pPr>
    <w:rPr>
      <w:rFonts w:ascii="Arial" w:hAnsi="Arial" w:eastAsia="Arial" w:cs="Arial"/>
      <w:b/>
      <w:bCs/>
      <w:sz w:val="14"/>
      <w:szCs w:val="14"/>
      <w:u w:val="single"/>
    </w:rPr>
  </w:style>
  <w:style w:type="character" w:styleId="959" w:customStyle="1">
    <w:name w:val="Normal (Web) Char1"/>
    <w:link w:val="926"/>
    <w:pPr>
      <w:pBdr/>
      <w:spacing/>
      <w:ind/>
    </w:pPr>
    <w:rPr>
      <w:sz w:val="24"/>
      <w:szCs w:val="24"/>
      <w:lang w:val="vi-VN" w:eastAsia="vi-VN"/>
    </w:rPr>
  </w:style>
  <w:style w:type="character" w:styleId="960" w:customStyle="1">
    <w:name w:val="Heading 1 Char"/>
    <w:link w:val="911"/>
    <w:pPr>
      <w:pBdr/>
      <w:spacing/>
      <w:ind/>
    </w:pPr>
    <w:rPr>
      <w:rFonts w:ascii="Calibri Light" w:hAnsi="Calibri Light" w:eastAsia="Times New Roman" w:cs="Times New Roman"/>
      <w:b/>
      <w:bCs/>
      <w:sz w:val="32"/>
      <w:szCs w:val="32"/>
    </w:rPr>
  </w:style>
  <w:style w:type="paragraph" w:styleId="961">
    <w:name w:val="List Paragraph"/>
    <w:basedOn w:val="910"/>
    <w:uiPriority w:val="34"/>
    <w:qFormat/>
    <w:pPr>
      <w:pBdr/>
      <w:spacing w:after="120" w:before="120" w:line="360" w:lineRule="exact"/>
      <w:ind w:firstLine="720" w:left="720"/>
      <w:contextualSpacing w:val="true"/>
      <w:jc w:val="both"/>
    </w:pPr>
    <w:rPr>
      <w:rFonts w:eastAsia="Calibri"/>
    </w:rPr>
  </w:style>
  <w:style w:type="character" w:styleId="962">
    <w:name w:val="Emphasis"/>
    <w:qFormat/>
    <w:pPr>
      <w:pBdr/>
      <w:spacing/>
      <w:ind/>
    </w:pPr>
    <w:rPr>
      <w:i/>
      <w:iCs/>
    </w:rPr>
  </w:style>
  <w:style w:type="paragraph" w:styleId="963" w:customStyle="1">
    <w:name w:val="Char Char4"/>
    <w:basedOn w:val="910"/>
    <w:semiHidden/>
    <w:pPr>
      <w:pBdr/>
      <w:spacing w:after="160" w:line="240" w:lineRule="exact"/>
      <w:ind/>
    </w:pPr>
    <w:rPr>
      <w:rFonts w:ascii="Arial" w:hAnsi="Arial"/>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FCB28B-76AB-4560-97FF-A5A438F1D22F}"/>
</file>

<file path=customXml/itemProps2.xml><?xml version="1.0" encoding="utf-8"?>
<ds:datastoreItem xmlns:ds="http://schemas.openxmlformats.org/officeDocument/2006/customXml" ds:itemID="{E0EB8950-563B-4995-9DFF-4BA5F0540F04}"/>
</file>

<file path=customXml/itemProps3.xml><?xml version="1.0" encoding="utf-8"?>
<ds:datastoreItem xmlns:ds="http://schemas.openxmlformats.org/officeDocument/2006/customXml" ds:itemID="{E9D4DE87-4DB8-4B6D-9803-209DE20F3642}"/>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Manager>Hải</Manager>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Tây Ninh</dc:title>
  <dc:subject/>
  <dc:creator>HAU-LKCD</dc:creator>
  <cp:keywords/>
  <dc:description>Bùi Tuấn Hải viết</dc:description>
  <cp:lastModifiedBy>Lưu Hương Xuân</cp:lastModifiedBy>
  <cp:revision>11</cp:revision>
  <dcterms:created xsi:type="dcterms:W3CDTF">2026-03-05T08:11:00Z</dcterms:created>
  <dcterms:modified xsi:type="dcterms:W3CDTF">2026-03-16T09:26:06Z</dcterms:modified>
</cp:coreProperties>
</file>