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40" w:type="dxa"/>
        <w:jc w:val="center"/>
        <w:tblBorders/>
        <w:tblLook w:val="01E0" w:firstRow="1" w:lastRow="1" w:firstColumn="1" w:lastColumn="1" w:noHBand="0" w:noVBand="0"/>
      </w:tblPr>
      <w:tblGrid>
        <w:gridCol w:w="3800"/>
        <w:gridCol w:w="5440"/>
      </w:tblGrid>
      <w:tr>
        <w:trPr>
          <w:jc w:val="center"/>
          <w:trHeight w:val="898"/>
        </w:trPr>
        <w:tc>
          <w:tcPr>
            <w:tcBorders/>
            <w:tcW w:w="3800" w:type="dxa"/>
            <w:textDirection w:val="lrTb"/>
            <w:noWrap w:val="false"/>
          </w:tcPr>
          <w:p>
            <w:pPr>
              <w:pBdr/>
              <w:spacing w:after="0" w:before="0"/>
              <w:ind w:firstLine="6" w:left="-20"/>
              <w:jc w:val="center"/>
              <w:rPr>
                <w:rFonts w:ascii="Times New Roman" w:hAnsi="Times New Roman"/>
                <w:b/>
                <w:bCs/>
                <w:sz w:val="26"/>
                <w:szCs w:val="26"/>
              </w:rPr>
            </w:pPr>
            <w:r>
              <w:rPr>
                <w:rFonts w:ascii="Times New Roman" w:hAnsi="Times New Roman"/>
                <w:b/>
                <w:sz w:val="26"/>
                <w:szCs w:val="26"/>
              </w:rPr>
              <w:br w:type="page" w:clear="all"/>
            </w:r>
            <w:r>
              <w:rPr>
                <w:rFonts w:ascii="Times New Roman" w:hAnsi="Times New Roman"/>
                <w:b/>
                <w:bCs/>
                <w:sz w:val="26"/>
                <w:szCs w:val="26"/>
              </w:rPr>
              <w:t xml:space="preserve">HỘI ĐỒNG NHÂN DÂN</w:t>
            </w:r>
            <w:r>
              <w:rPr>
                <w:rFonts w:ascii="Times New Roman" w:hAnsi="Times New Roman"/>
                <w:b/>
                <w:bCs/>
                <w:sz w:val="26"/>
                <w:szCs w:val="26"/>
              </w:rPr>
            </w:r>
          </w:p>
          <w:p>
            <w:pPr>
              <w:pBdr/>
              <w:spacing w:after="0" w:before="0"/>
              <w:ind w:firstLine="6" w:left="-20"/>
              <w:jc w:val="center"/>
              <w:rPr>
                <w:rFonts w:ascii="Times New Roman" w:hAnsi="Times New Roman"/>
                <w:b/>
                <w:bCs/>
                <w:spacing w:val="-10"/>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0288" behindDoc="0" locked="0" layoutInCell="1" allowOverlap="1">
                      <wp:simplePos x="0" y="0"/>
                      <wp:positionH relativeFrom="column">
                        <wp:posOffset>809625</wp:posOffset>
                      </wp:positionH>
                      <wp:positionV relativeFrom="paragraph">
                        <wp:posOffset>252730</wp:posOffset>
                      </wp:positionV>
                      <wp:extent cx="619125" cy="0"/>
                      <wp:effectExtent l="0" t="0" r="28575" b="19050"/>
                      <wp:wrapNone/>
                      <wp:docPr id="1" name="Line 44"/>
                      <wp:cNvGraphicFramePr/>
                      <a:graphic xmlns:a="http://schemas.openxmlformats.org/drawingml/2006/main">
                        <a:graphicData uri="http://schemas.microsoft.com/office/word/2010/wordprocessingShape">
                          <wps:wsp>
                            <wps:cNvPr id="0" name=""/>
                            <wps:cNvSpPr/>
                            <wps:spPr bwMode="auto">
                              <a:xfrm flipV="1">
                                <a:off x="0" y="0"/>
                                <a:ext cx="61912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0288;mso-wrap-distance-left:9.00pt;mso-wrap-distance-top:0.00pt;mso-wrap-distance-right:9.00pt;mso-wrap-distance-bottom:-169093.20pt;flip:y;visibility:visible;" from="63.8pt,19.9pt" to="112.5pt,19.9pt" filled="f" strokecolor="#000000" strokeweight="0.75pt"/>
                  </w:pict>
                </mc:Fallback>
              </mc:AlternateContent>
            </w:r>
            <w:r>
              <w:rPr>
                <w:rFonts w:ascii="Times New Roman" w:hAnsi="Times New Roman"/>
                <w:b/>
                <w:bCs/>
                <w:sz w:val="26"/>
                <w:szCs w:val="26"/>
              </w:rPr>
              <w:t xml:space="preserve">TỈNH TÂY NINH</w:t>
            </w:r>
            <w:r>
              <w:rPr>
                <w:rFonts w:ascii="Times New Roman" w:hAnsi="Times New Roman"/>
                <w:b/>
                <w:bCs/>
                <w:spacing w:val="-10"/>
                <w:sz w:val="26"/>
                <w:szCs w:val="26"/>
              </w:rPr>
            </w:r>
          </w:p>
        </w:tc>
        <w:tc>
          <w:tcPr>
            <w:tcBorders/>
            <w:tcW w:w="5440" w:type="dxa"/>
            <w:textDirection w:val="lrTb"/>
            <w:noWrap w:val="false"/>
          </w:tcPr>
          <w:p>
            <w:pPr>
              <w:pBdr/>
              <w:spacing w:after="0" w:before="0"/>
              <w:ind w:firstLine="0"/>
              <w:jc w:val="center"/>
              <w:rPr>
                <w:rFonts w:ascii="Times New Roman" w:hAnsi="Times New Roman"/>
                <w:b/>
                <w:bCs/>
                <w:spacing w:val="-10"/>
                <w:sz w:val="26"/>
                <w:szCs w:val="26"/>
              </w:rPr>
            </w:pPr>
            <w:r>
              <w:rPr>
                <w:rFonts w:ascii="Times New Roman" w:hAnsi="Times New Roman"/>
                <w:b/>
                <w:bCs/>
                <w:spacing w:val="-10"/>
                <w:sz w:val="26"/>
                <w:szCs w:val="26"/>
              </w:rPr>
              <w:t xml:space="preserve">CỘNG HÒA XÃ HỘI CHỦ NGHĨA VIỆT NAM</w:t>
            </w:r>
            <w:r>
              <w:rPr>
                <w:rFonts w:ascii="Times New Roman" w:hAnsi="Times New Roman"/>
                <w:b/>
                <w:bCs/>
                <w:spacing w:val="-10"/>
                <w:sz w:val="26"/>
                <w:szCs w:val="26"/>
              </w:rPr>
            </w:r>
          </w:p>
          <w:p>
            <w:pPr>
              <w:pBdr/>
              <w:spacing w:after="0" w:before="0"/>
              <w:ind w:firstLine="0"/>
              <w:jc w:val="center"/>
              <w:rPr>
                <w:rFonts w:ascii="Times New Roman" w:hAnsi="Times New Roman"/>
                <w:b/>
                <w:bCs/>
                <w:sz w:val="28"/>
                <w:szCs w:val="28"/>
              </w:rPr>
            </w:pPr>
            <w:r>
              <w:rPr>
                <w:rFonts w:hint="eastAsia" w:ascii="Times New Roman" w:hAnsi="Times New Roman"/>
                <w:b/>
                <w:bCs/>
                <w:sz w:val="28"/>
                <w:szCs w:val="28"/>
              </w:rPr>
              <w:t xml:space="preserve">Đ</w:t>
            </w:r>
            <w:r>
              <w:rPr>
                <w:rFonts w:ascii="Times New Roman" w:hAnsi="Times New Roman"/>
                <w:b/>
                <w:bCs/>
                <w:sz w:val="28"/>
                <w:szCs w:val="28"/>
              </w:rPr>
              <w:t xml:space="preserve">ộc lập - Tự do - Hạnh phúc</w:t>
            </w:r>
            <w:r>
              <w:rPr>
                <w:rFonts w:ascii="Times New Roman" w:hAnsi="Times New Roman"/>
                <w:b/>
                <w:bCs/>
                <w:sz w:val="28"/>
                <w:szCs w:val="28"/>
              </w:rPr>
            </w:r>
          </w:p>
          <w:p>
            <w:pPr>
              <w:pBdr/>
              <w:spacing w:after="0" w:before="0"/>
              <w:ind w:firstLine="0"/>
              <w:jc w:val="center"/>
              <w:rPr>
                <w:rFonts w:ascii="Times New Roman" w:hAnsi="Times New Roman"/>
                <w:bCs/>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59264" behindDoc="0" locked="0" layoutInCell="1" allowOverlap="1">
                      <wp:simplePos x="0" y="0"/>
                      <wp:positionH relativeFrom="column">
                        <wp:posOffset>591185</wp:posOffset>
                      </wp:positionH>
                      <wp:positionV relativeFrom="paragraph">
                        <wp:posOffset>77153</wp:posOffset>
                      </wp:positionV>
                      <wp:extent cx="2162175" cy="0"/>
                      <wp:effectExtent l="0" t="0" r="28575" b="19050"/>
                      <wp:wrapNone/>
                      <wp:docPr id="2" name="Line 43"/>
                      <wp:cNvGraphicFramePr/>
                      <a:graphic xmlns:a="http://schemas.openxmlformats.org/drawingml/2006/main">
                        <a:graphicData uri="http://schemas.microsoft.com/office/word/2010/wordprocessingShape">
                          <wps:wsp>
                            <wps:cNvPr id="0" name=""/>
                            <wps:cNvSpPr/>
                            <wps:spPr bwMode="auto">
                              <a:xfrm>
                                <a:off x="0" y="0"/>
                                <a:ext cx="216217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9264;mso-wrap-distance-left:9.00pt;mso-wrap-distance-top:0.00pt;mso-wrap-distance-right:9.00pt;mso-wrap-distance-bottom:-169093.20pt;visibility:visible;" from="46.5pt,6.1pt" to="216.8pt,6.1pt" filled="f" strokecolor="#000000" strokeweight="0.75pt"/>
                  </w:pict>
                </mc:Fallback>
              </mc:AlternateContent>
            </w:r>
            <w:r>
              <w:rPr>
                <w:rFonts w:ascii="Times New Roman" w:hAnsi="Times New Roman"/>
                <w:bCs/>
                <w:sz w:val="26"/>
                <w:szCs w:val="26"/>
              </w:rPr>
            </w:r>
          </w:p>
        </w:tc>
      </w:tr>
      <w:tr>
        <w:trPr>
          <w:jc w:val="center"/>
          <w:trHeight w:val="60"/>
        </w:trPr>
        <w:tc>
          <w:tcPr>
            <w:tcBorders/>
            <w:tcW w:w="3800" w:type="dxa"/>
            <w:textDirection w:val="lrTb"/>
            <w:noWrap w:val="false"/>
          </w:tcPr>
          <w:p>
            <w:pPr>
              <w:pBdr/>
              <w:spacing w:after="0" w:before="0"/>
              <w:ind w:firstLine="6" w:left="-20"/>
              <w:jc w:val="center"/>
              <w:rPr>
                <w:rFonts w:ascii="Times New Roman" w:hAnsi="Times New Roman"/>
                <w:bCs/>
                <w:sz w:val="28"/>
                <w:szCs w:val="28"/>
              </w:rPr>
            </w:pPr>
            <w:r>
              <w:rPr>
                <w:rFonts w:ascii="Times New Roman" w:hAnsi="Times New Roman"/>
                <w:sz w:val="28"/>
                <w:szCs w:val="28"/>
              </w:rPr>
              <w:t xml:space="preserve">Số: 37</w:t>
            </w:r>
            <w:r>
              <w:rPr>
                <w:rFonts w:ascii="Times New Roman" w:hAnsi="Times New Roman"/>
                <w:sz w:val="28"/>
                <w:szCs w:val="28"/>
              </w:rPr>
              <w:t xml:space="preserve">/2025/NQ-HĐND</w:t>
            </w:r>
            <w:r>
              <w:rPr>
                <w:rFonts w:ascii="Times New Roman" w:hAnsi="Times New Roman"/>
                <w:bCs/>
                <w:sz w:val="28"/>
                <w:szCs w:val="28"/>
              </w:rPr>
            </w:r>
          </w:p>
        </w:tc>
        <w:tc>
          <w:tcPr>
            <w:tcBorders/>
            <w:tcW w:w="5440" w:type="dxa"/>
            <w:textDirection w:val="lrTb"/>
            <w:noWrap w:val="false"/>
          </w:tcPr>
          <w:p>
            <w:pPr>
              <w:pBdr/>
              <w:spacing w:after="0" w:before="0"/>
              <w:ind w:firstLine="0"/>
              <w:jc w:val="center"/>
              <w:rPr>
                <w:rFonts w:ascii="Times New Roman" w:hAnsi="Times New Roman"/>
                <w:i/>
                <w:iCs/>
                <w:sz w:val="28"/>
                <w:szCs w:val="28"/>
              </w:rPr>
            </w:pPr>
            <w:r>
              <w:rPr>
                <w:rFonts w:ascii="Times New Roman" w:hAnsi="Times New Roman"/>
                <w:i/>
                <w:iCs/>
                <w:sz w:val="28"/>
                <w:szCs w:val="28"/>
              </w:rPr>
              <w:t xml:space="preserve">Tây Ninh, ngày</w:t>
            </w:r>
            <w:r>
              <w:rPr>
                <w:rFonts w:ascii="Times New Roman" w:hAnsi="Times New Roman"/>
                <w:i/>
                <w:iCs/>
                <w:sz w:val="28"/>
                <w:szCs w:val="28"/>
              </w:rPr>
              <w:t xml:space="preserve"> 10</w:t>
            </w:r>
            <w:r>
              <w:rPr>
                <w:rFonts w:ascii="Times New Roman" w:hAnsi="Times New Roman"/>
                <w:i/>
                <w:iCs/>
                <w:sz w:val="28"/>
                <w:szCs w:val="28"/>
              </w:rPr>
              <w:t xml:space="preserve"> tháng </w:t>
            </w:r>
            <w:r>
              <w:rPr>
                <w:rFonts w:ascii="Times New Roman" w:hAnsi="Times New Roman"/>
                <w:i/>
                <w:iCs/>
                <w:sz w:val="28"/>
                <w:szCs w:val="28"/>
              </w:rPr>
              <w:t xml:space="preserve">12</w:t>
            </w:r>
            <w:r>
              <w:rPr>
                <w:rFonts w:ascii="Times New Roman" w:hAnsi="Times New Roman"/>
                <w:i/>
                <w:iCs/>
                <w:sz w:val="28"/>
                <w:szCs w:val="28"/>
              </w:rPr>
              <w:t xml:space="preserve"> n</w:t>
            </w:r>
            <w:r>
              <w:rPr>
                <w:rFonts w:hint="eastAsia" w:ascii="Times New Roman" w:hAnsi="Times New Roman"/>
                <w:i/>
                <w:iCs/>
                <w:sz w:val="28"/>
                <w:szCs w:val="28"/>
              </w:rPr>
              <w:t xml:space="preserve">ă</w:t>
            </w:r>
            <w:r>
              <w:rPr>
                <w:rFonts w:ascii="Times New Roman" w:hAnsi="Times New Roman"/>
                <w:i/>
                <w:iCs/>
                <w:sz w:val="28"/>
                <w:szCs w:val="28"/>
              </w:rPr>
              <w:t xml:space="preserve">m 2025</w:t>
            </w:r>
            <w:r>
              <w:rPr>
                <w:rFonts w:ascii="Times New Roman" w:hAnsi="Times New Roman"/>
                <w:i/>
                <w:iCs/>
                <w:sz w:val="28"/>
                <w:szCs w:val="28"/>
              </w:rPr>
            </w:r>
          </w:p>
        </w:tc>
      </w:tr>
    </w:tbl>
    <w:p>
      <w:pPr>
        <w:pStyle w:val="717"/>
        <w:pBdr/>
        <w:spacing w:after="0" w:before="0"/>
        <w:ind w:firstLine="0"/>
        <w:rPr>
          <w:rFonts w:ascii="Times New Roman" w:hAnsi="Times New Roman"/>
          <w:b/>
          <w:bCs/>
          <w:sz w:val="20"/>
          <w:szCs w:val="28"/>
          <w:u w:val="none"/>
        </w:rPr>
      </w:pPr>
      <w:r>
        <w:rPr>
          <w:rFonts w:ascii="Times New Roman" w:hAnsi="Times New Roman"/>
          <w:b/>
          <w:bCs/>
          <w:sz w:val="20"/>
          <w:szCs w:val="28"/>
          <w:u w:val="none"/>
        </w:rPr>
      </w:r>
      <w:r>
        <w:rPr>
          <w:rFonts w:ascii="Times New Roman" w:hAnsi="Times New Roman"/>
          <w:b/>
          <w:bCs/>
          <w:sz w:val="20"/>
          <w:szCs w:val="28"/>
          <w:u w:val="none"/>
        </w:rPr>
      </w:r>
    </w:p>
    <w:p>
      <w:pPr>
        <w:pStyle w:val="717"/>
        <w:pBdr/>
        <w:spacing w:after="0" w:before="0"/>
        <w:ind w:firstLine="0"/>
        <w:jc w:val="both"/>
        <w:rPr>
          <w:rFonts w:ascii="Times New Roman" w:hAnsi="Times New Roman"/>
          <w:b/>
          <w:bCs/>
          <w:sz w:val="22"/>
          <w:szCs w:val="28"/>
          <w:u w:val="none"/>
        </w:rPr>
      </w:pPr>
      <w:r>
        <w:rPr>
          <w:rFonts w:ascii="Times New Roman" w:hAnsi="Times New Roman"/>
          <w:b/>
          <w:bCs/>
          <w:sz w:val="22"/>
          <w:szCs w:val="28"/>
          <w:u w:val="none"/>
        </w:rPr>
      </w:r>
      <w:r>
        <w:rPr>
          <w:rFonts w:ascii="Times New Roman" w:hAnsi="Times New Roman"/>
          <w:b/>
          <w:bCs/>
          <w:sz w:val="22"/>
          <w:szCs w:val="28"/>
          <w:u w:val="none"/>
        </w:rPr>
      </w:r>
    </w:p>
    <w:p>
      <w:pPr>
        <w:pStyle w:val="717"/>
        <w:pBdr/>
        <w:spacing w:after="0" w:before="0"/>
        <w:ind w:firstLine="0"/>
        <w:rPr>
          <w:rFonts w:ascii="Times New Roman" w:hAnsi="Times New Roman"/>
          <w:b/>
          <w:bCs/>
          <w:szCs w:val="28"/>
          <w:u w:val="none"/>
        </w:rPr>
      </w:pPr>
      <w:r>
        <w:rPr>
          <w:rFonts w:ascii="Times New Roman" w:hAnsi="Times New Roman"/>
          <w:b/>
          <w:bCs/>
          <w:szCs w:val="28"/>
          <w:u w:val="none"/>
        </w:rPr>
        <w:t xml:space="preserve">NGHỊ QUYẾT</w:t>
      </w:r>
      <w:r>
        <w:rPr>
          <w:rFonts w:ascii="Times New Roman" w:hAnsi="Times New Roman"/>
          <w:b/>
          <w:bCs/>
          <w:szCs w:val="28"/>
          <w:u w:val="none"/>
        </w:rPr>
      </w:r>
    </w:p>
    <w:p>
      <w:pPr>
        <w:pBdr/>
        <w:spacing w:after="0" w:before="0"/>
        <w:ind w:firstLine="14" w:left="270"/>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B</w:t>
      </w:r>
      <w:r>
        <w:rPr>
          <w:rFonts w:ascii="Times New Roman" w:hAnsi="Times New Roman"/>
          <w:b/>
          <w:color w:val="000000" w:themeColor="text1"/>
          <w:sz w:val="28"/>
          <w:szCs w:val="28"/>
        </w:rPr>
        <w:t xml:space="preserve">ãi bỏ các Nghị quyết quy phạm pháp luật</w:t>
      </w:r>
      <w:r>
        <w:rPr>
          <w:rFonts w:ascii="Times New Roman" w:hAnsi="Times New Roman"/>
          <w:b/>
          <w:color w:val="000000" w:themeColor="text1"/>
          <w:sz w:val="28"/>
          <w:szCs w:val="28"/>
        </w:rPr>
        <w:t xml:space="preserve"> của Hội đồng nhân dân </w:t>
      </w:r>
      <w:r>
        <w:rPr>
          <w:rFonts w:ascii="Times New Roman" w:hAnsi="Times New Roman"/>
          <w:b/>
          <w:color w:val="000000" w:themeColor="text1"/>
          <w:sz w:val="28"/>
          <w:szCs w:val="28"/>
        </w:rPr>
        <w:t xml:space="preserve">tỉnh trên địa bàn tỉnh Tây Ninh</w:t>
      </w:r>
      <w:r>
        <w:rPr>
          <w:rFonts w:ascii="Times New Roman" w:hAnsi="Times New Roman"/>
          <w:b/>
          <w:color w:val="000000" w:themeColor="text1"/>
          <w:sz w:val="28"/>
          <w:szCs w:val="28"/>
        </w:rPr>
        <w:t xml:space="preserve"> </w:t>
      </w:r>
      <w:r>
        <w:rPr>
          <w:rFonts w:ascii="Times New Roman" w:hAnsi="Times New Roman"/>
          <w:b/>
          <w:bCs/>
          <w:iCs/>
          <w:sz w:val="28"/>
          <w:szCs w:val="28"/>
        </w:rPr>
        <w:t xml:space="preserve">lĩnh vực nông nghiệp và môi trường</w:t>
      </w:r>
      <w:r>
        <w:rPr>
          <w:rFonts w:ascii="Times New Roman" w:hAnsi="Times New Roman"/>
          <w:b/>
          <w:color w:val="000000" w:themeColor="text1"/>
          <w:sz w:val="28"/>
          <w:szCs w:val="28"/>
        </w:rPr>
      </w:r>
    </w:p>
    <w:p>
      <w:pPr>
        <w:pStyle w:val="724"/>
        <w:pBdr/>
        <w:spacing w:after="0" w:before="0"/>
        <w:ind w:firstLine="0"/>
        <w:rPr>
          <w:rFonts w:ascii="Times New Roman" w:hAnsi="Times New Roman"/>
          <w:sz w:val="24"/>
          <w:szCs w:val="28"/>
          <w:lang w:val="en-GB"/>
        </w:rPr>
      </w:pPr>
      <w:r>
        <w:rPr>
          <w:rFonts w:ascii="Times New Roman" w:hAnsi="Times New Roman"/>
          <w:sz w:val="24"/>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posOffset>2551747</wp:posOffset>
                </wp:positionH>
                <wp:positionV relativeFrom="paragraph">
                  <wp:posOffset>86360</wp:posOffset>
                </wp:positionV>
                <wp:extent cx="614363" cy="0"/>
                <wp:effectExtent l="0" t="0" r="33655" b="19050"/>
                <wp:wrapNone/>
                <wp:docPr id="3" name="Straight Connector 1"/>
                <wp:cNvGraphicFramePr/>
                <a:graphic xmlns:a="http://schemas.openxmlformats.org/drawingml/2006/main">
                  <a:graphicData uri="http://schemas.microsoft.com/office/word/2010/wordprocessingShape">
                    <wps:wsp>
                      <wps:cNvPr id="0" name=""/>
                      <wps:cNvSpPr/>
                      <wps:spPr bwMode="auto">
                        <a:xfrm flipV="1">
                          <a:off x="0" y="0"/>
                          <a:ext cx="614363"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 o:spid="_x0000_s2" style="position:absolute;left:0;text-align:left;z-index:251661312;mso-wrap-distance-left:9.00pt;mso-wrap-distance-top:0.00pt;mso-wrap-distance-right:9.00pt;mso-wrap-distance-bottom:0.00pt;flip:y;visibility:visible;" from="200.9pt,6.8pt" to="249.3pt,6.8pt" filled="f" strokecolor="#000000" strokeweight="0.50pt">
                <v:stroke dashstyle="solid"/>
              </v:line>
            </w:pict>
          </mc:Fallback>
        </mc:AlternateContent>
      </w:r>
      <w:r>
        <w:rPr>
          <w:rFonts w:ascii="Times New Roman" w:hAnsi="Times New Roman"/>
          <w:sz w:val="24"/>
          <w:szCs w:val="28"/>
          <w:lang w:val="en-GB"/>
        </w:rPr>
      </w:r>
    </w:p>
    <w:p>
      <w:pPr>
        <w:pStyle w:val="734"/>
        <w:pBdr/>
        <w:spacing w:before="60"/>
        <w:ind w:firstLine="706" w:left="0"/>
        <w:jc w:val="both"/>
        <w:rPr>
          <w:rFonts w:ascii="Times New Roman" w:hAnsi="Times New Roman" w:cs="Times New Roman"/>
          <w:i/>
          <w:lang w:val="nl-NL"/>
        </w:rPr>
      </w:pPr>
      <w:r>
        <w:rPr>
          <w:rFonts w:ascii="Times New Roman" w:hAnsi="Times New Roman" w:cs="Times New Roman"/>
          <w:i/>
          <w:lang w:val="nl-NL"/>
        </w:rPr>
        <w:t xml:space="preserve">Căn cứ Luật Tổ chức chính quyền địa phương số 72/2025/QH15;</w:t>
      </w:r>
      <w:r>
        <w:rPr>
          <w:rFonts w:ascii="Times New Roman" w:hAnsi="Times New Roman" w:cs="Times New Roman"/>
          <w:i/>
          <w:lang w:val="nl-NL"/>
        </w:rPr>
      </w:r>
    </w:p>
    <w:p>
      <w:pPr>
        <w:pStyle w:val="729"/>
        <w:pBdr/>
        <w:shd w:val="clear" w:color="auto" w:fill="ffffff"/>
        <w:spacing w:after="0" w:afterAutospacing="0" w:before="60" w:beforeAutospacing="0"/>
        <w:ind w:firstLine="709"/>
        <w:jc w:val="both"/>
        <w:rPr>
          <w:rFonts w:ascii="Times New Roman" w:hAnsi="Times New Roman"/>
          <w:i/>
          <w:iCs/>
          <w:sz w:val="28"/>
          <w:szCs w:val="28"/>
          <w:highlight w:val="white"/>
        </w:rPr>
      </w:pPr>
      <w:r>
        <w:rPr>
          <w:rFonts w:ascii="Times New Roman" w:hAnsi="Times New Roman"/>
          <w:i/>
          <w:iCs/>
          <w:sz w:val="28"/>
          <w:szCs w:val="28"/>
          <w:highlight w:val="white"/>
        </w:rPr>
        <w:t xml:space="preserve">Căn cứ Luật Ban hành văn bản quy phạm pháp luật số 64/2025/QH15; Luật Sửa đổi, bổ sung một số điều của Luật Ban hành văn bản quy phạm pháp luật số 87/2025/QH15;</w:t>
      </w:r>
      <w:r>
        <w:rPr>
          <w:rFonts w:ascii="Times New Roman" w:hAnsi="Times New Roman"/>
          <w:i/>
          <w:iCs/>
          <w:sz w:val="28"/>
          <w:szCs w:val="28"/>
          <w:highlight w:val="white"/>
        </w:rPr>
      </w:r>
    </w:p>
    <w:p>
      <w:pPr>
        <w:pStyle w:val="729"/>
        <w:pBdr/>
        <w:shd w:val="clear" w:color="auto" w:fill="ffffff"/>
        <w:spacing w:after="0" w:afterAutospacing="0" w:before="60" w:beforeAutospacing="0"/>
        <w:ind w:firstLine="709"/>
        <w:jc w:val="both"/>
        <w:rPr>
          <w:rFonts w:ascii="Times New Roman" w:hAnsi="Times New Roman"/>
          <w:i/>
          <w:iCs/>
          <w:sz w:val="28"/>
          <w:szCs w:val="28"/>
          <w:highlight w:val="white"/>
        </w:rPr>
      </w:pPr>
      <w:r>
        <w:rPr>
          <w:rFonts w:ascii="Times New Roman" w:hAnsi="Times New Roman"/>
          <w:i/>
          <w:iCs/>
          <w:sz w:val="28"/>
          <w:szCs w:val="28"/>
          <w:highlight w:val="white"/>
        </w:rPr>
        <w:t xml:space="preserve">Căn cứ Nghị định số 78/2025/NĐ-CP ngày 01 tháng 4 năm 2025 của Chính phủ quy định chi tiết một số điều và biện pháp để tổ chức, hướng dẫn thi hành Luật Ban hành văn bản quy phạm pháp luật;</w:t>
      </w:r>
      <w:r>
        <w:rPr>
          <w:rFonts w:ascii="Times New Roman" w:hAnsi="Times New Roman"/>
          <w:i/>
          <w:iCs/>
          <w:sz w:val="28"/>
          <w:szCs w:val="28"/>
          <w:highlight w:val="white"/>
        </w:rPr>
      </w:r>
    </w:p>
    <w:p>
      <w:pPr>
        <w:pStyle w:val="729"/>
        <w:pBdr/>
        <w:shd w:val="clear" w:color="auto" w:fill="ffffff"/>
        <w:spacing w:after="0" w:afterAutospacing="0" w:before="60" w:beforeAutospacing="0"/>
        <w:ind w:firstLine="709"/>
        <w:jc w:val="both"/>
        <w:rPr>
          <w:rFonts w:ascii="Times New Roman" w:hAnsi="Times New Roman"/>
          <w:i/>
          <w:iCs/>
          <w:sz w:val="28"/>
          <w:szCs w:val="28"/>
          <w:highlight w:val="white"/>
        </w:rPr>
      </w:pPr>
      <w:r>
        <w:rPr>
          <w:rFonts w:ascii="Times New Roman" w:hAnsi="Times New Roman"/>
          <w:i/>
          <w:iCs/>
          <w:sz w:val="28"/>
          <w:szCs w:val="28"/>
          <w:highlight w:val="white"/>
        </w:rPr>
        <w:t xml:space="preserve">Căn cứ Nghị định số 79/2025/NĐ-CP ngày 01 tháng 4 năm 2025 của Chính phủ về kiểm tra, rà soát, hệ thống hóa và xử lý văn bản quy phạm pháp luật;</w:t>
      </w:r>
      <w:r>
        <w:rPr>
          <w:rFonts w:ascii="Times New Roman" w:hAnsi="Times New Roman"/>
          <w:i/>
          <w:iCs/>
          <w:sz w:val="28"/>
          <w:szCs w:val="28"/>
          <w:highlight w:val="white"/>
        </w:rPr>
      </w:r>
    </w:p>
    <w:p>
      <w:pPr>
        <w:pStyle w:val="729"/>
        <w:pBdr/>
        <w:shd w:val="clear" w:color="auto" w:fill="ffffff"/>
        <w:spacing w:after="0" w:afterAutospacing="0" w:before="60" w:beforeAutospacing="0"/>
        <w:ind w:firstLine="709"/>
        <w:jc w:val="both"/>
        <w:rPr>
          <w:rFonts w:ascii="Times New Roman" w:hAnsi="Times New Roman"/>
          <w:i/>
          <w:iCs/>
          <w:sz w:val="28"/>
          <w:szCs w:val="28"/>
          <w:highlight w:val="white"/>
        </w:rPr>
      </w:pPr>
      <w:r>
        <w:rPr>
          <w:rFonts w:ascii="Times New Roman" w:hAnsi="Times New Roman"/>
          <w:i/>
          <w:iCs/>
          <w:sz w:val="28"/>
          <w:szCs w:val="28"/>
          <w:highlight w:val="white"/>
        </w:rPr>
        <w:t xml:space="preserve">Căn cứ Nghị</w:t>
      </w:r>
      <w:r>
        <w:rPr>
          <w:rFonts w:ascii="Times New Roman" w:hAnsi="Times New Roman"/>
          <w:i/>
          <w:iCs/>
          <w:sz w:val="28"/>
          <w:szCs w:val="28"/>
          <w:highlight w:val="white"/>
        </w:rPr>
        <w:t xml:space="preserve"> định số 187/2025/NĐ-CP ngày 01 tháng 7 năm </w:t>
      </w:r>
      <w:r>
        <w:rPr>
          <w:rFonts w:ascii="Times New Roman" w:hAnsi="Times New Roman"/>
          <w:i/>
          <w:iCs/>
          <w:sz w:val="28"/>
          <w:szCs w:val="28"/>
          <w:highlight w:val="white"/>
        </w:rPr>
        <w:t xml:space="preserve">2025 của Chính phủ sửa đổi, bổ sung một số điều của Nghị định số 78/2025/NĐ-CP ngày 01 tháng 4 năm 2025 của Chính phủ</w:t>
      </w:r>
      <w:r>
        <w:rPr>
          <w:rFonts w:ascii="Times New Roman" w:hAnsi="Times New Roman"/>
          <w:i/>
          <w:iCs/>
          <w:sz w:val="28"/>
          <w:szCs w:val="28"/>
          <w:highlight w:val="white"/>
        </w:rPr>
        <w:t xml:space="preserve">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Pr>
          <w:rFonts w:ascii="Times New Roman" w:hAnsi="Times New Roman"/>
          <w:i/>
          <w:iCs/>
          <w:sz w:val="28"/>
          <w:szCs w:val="28"/>
          <w:highlight w:val="white"/>
        </w:rPr>
      </w:r>
    </w:p>
    <w:p>
      <w:pPr>
        <w:pStyle w:val="729"/>
        <w:pBdr/>
        <w:shd w:val="clear" w:color="auto" w:fill="ffffff"/>
        <w:spacing w:after="0" w:afterAutospacing="0" w:before="60" w:beforeAutospacing="0"/>
        <w:ind w:firstLine="709"/>
        <w:jc w:val="both"/>
        <w:rPr>
          <w:rFonts w:ascii="Times New Roman" w:hAnsi="Times New Roman"/>
          <w:bCs/>
          <w:i/>
          <w:iCs/>
          <w:sz w:val="28"/>
          <w:szCs w:val="28"/>
        </w:rPr>
      </w:pPr>
      <w:r>
        <w:rPr>
          <w:rFonts w:ascii="Times New Roman" w:hAnsi="Times New Roman"/>
          <w:i/>
          <w:iCs/>
          <w:sz w:val="28"/>
          <w:szCs w:val="28"/>
          <w:highlight w:val="white"/>
        </w:rPr>
        <w:t xml:space="preserve">Xét Tờ trình số</w:t>
      </w:r>
      <w:r>
        <w:rPr>
          <w:szCs w:val="28"/>
          <w:lang w:val="sq-AL"/>
        </w:rPr>
        <w:t xml:space="preserve"> </w:t>
      </w:r>
      <w:r>
        <w:rPr>
          <w:rFonts w:ascii="Times New Roman" w:hAnsi="Times New Roman"/>
          <w:i/>
          <w:sz w:val="28"/>
          <w:szCs w:val="28"/>
          <w:lang w:val="sq-AL"/>
        </w:rPr>
        <w:t xml:space="preserve">2415/TTr-UBND ngày 26</w:t>
      </w:r>
      <w:r>
        <w:rPr>
          <w:rFonts w:ascii="Times New Roman" w:hAnsi="Times New Roman"/>
          <w:i/>
          <w:sz w:val="28"/>
          <w:szCs w:val="28"/>
          <w:lang w:val="sq-AL"/>
        </w:rPr>
        <w:t xml:space="preserve"> tháng </w:t>
      </w:r>
      <w:r>
        <w:rPr>
          <w:rFonts w:ascii="Times New Roman" w:hAnsi="Times New Roman"/>
          <w:i/>
          <w:sz w:val="28"/>
          <w:szCs w:val="28"/>
          <w:lang w:val="sq-AL"/>
        </w:rPr>
        <w:t xml:space="preserve">11</w:t>
      </w:r>
      <w:r>
        <w:rPr>
          <w:rFonts w:ascii="Times New Roman" w:hAnsi="Times New Roman"/>
          <w:i/>
          <w:sz w:val="28"/>
          <w:szCs w:val="28"/>
          <w:lang w:val="sq-AL"/>
        </w:rPr>
        <w:t xml:space="preserve"> năm </w:t>
      </w:r>
      <w:r>
        <w:rPr>
          <w:rFonts w:ascii="Times New Roman" w:hAnsi="Times New Roman"/>
          <w:i/>
          <w:sz w:val="28"/>
          <w:szCs w:val="28"/>
          <w:lang w:val="sq-AL"/>
        </w:rPr>
        <w:t xml:space="preserve">2025 của Ủy ban nhân dân </w:t>
      </w:r>
      <w:r>
        <w:rPr>
          <w:rFonts w:ascii="Times New Roman" w:hAnsi="Times New Roman"/>
          <w:i/>
          <w:sz w:val="28"/>
          <w:szCs w:val="28"/>
          <w:lang w:val="sq-AL"/>
        </w:rPr>
        <w:t xml:space="preserve">tỉnh về việc ban hành </w:t>
      </w:r>
      <w:r>
        <w:rPr>
          <w:rFonts w:ascii="Times New Roman" w:hAnsi="Times New Roman"/>
          <w:i/>
          <w:sz w:val="28"/>
          <w:szCs w:val="28"/>
        </w:rPr>
        <w:t xml:space="preserve">Nghị quyết </w:t>
      </w:r>
      <w:r>
        <w:rPr>
          <w:rFonts w:ascii="Times New Roman" w:hAnsi="Times New Roman"/>
          <w:i/>
          <w:color w:val="000000" w:themeColor="text1"/>
          <w:sz w:val="28"/>
          <w:szCs w:val="28"/>
        </w:rPr>
        <w:t xml:space="preserve">bãi bỏ các Nghị quyết quy phạm pháp luật của Hội đồng nhân dân tỉnh </w:t>
      </w:r>
      <w:r>
        <w:rPr>
          <w:rFonts w:ascii="Times New Roman" w:hAnsi="Times New Roman"/>
          <w:bCs/>
          <w:i/>
          <w:color w:val="000000" w:themeColor="text1"/>
          <w:sz w:val="28"/>
          <w:szCs w:val="28"/>
          <w:lang w:val="nb-NO"/>
        </w:rPr>
        <w:t xml:space="preserve">trên địa bàn tỉnh Tây Ninh lĩnh vực nông nghiệp và môi trường</w:t>
      </w:r>
      <w:r>
        <w:rPr>
          <w:rFonts w:ascii="Times New Roman" w:hAnsi="Times New Roman"/>
          <w:i/>
          <w:sz w:val="28"/>
          <w:szCs w:val="28"/>
        </w:rPr>
        <w:t xml:space="preserve">;</w:t>
      </w:r>
      <w:r>
        <w:rPr>
          <w:rFonts w:ascii="Times New Roman" w:hAnsi="Times New Roman"/>
          <w:bCs/>
          <w:i/>
          <w:iCs/>
          <w:sz w:val="28"/>
          <w:szCs w:val="28"/>
          <w:lang w:val="nl-NL"/>
        </w:rPr>
        <w:t xml:space="preserve"> Báo cáo thẩm tra số 657/BC-HĐND ngày 05 tháng </w:t>
      </w:r>
      <w:r>
        <w:rPr>
          <w:rFonts w:ascii="Times New Roman" w:hAnsi="Times New Roman"/>
          <w:bCs/>
          <w:i/>
          <w:iCs/>
          <w:sz w:val="28"/>
          <w:szCs w:val="28"/>
        </w:rPr>
        <w:t xml:space="preserve">12</w:t>
      </w:r>
      <w:r>
        <w:rPr>
          <w:rFonts w:ascii="Times New Roman" w:hAnsi="Times New Roman"/>
          <w:bCs/>
          <w:i/>
          <w:iCs/>
          <w:sz w:val="28"/>
          <w:szCs w:val="28"/>
          <w:lang w:val="nl-NL"/>
        </w:rPr>
        <w:t xml:space="preserve"> năm </w:t>
      </w:r>
      <w:r>
        <w:rPr>
          <w:rFonts w:ascii="Times New Roman" w:hAnsi="Times New Roman"/>
          <w:bCs/>
          <w:i/>
          <w:iCs/>
          <w:sz w:val="28"/>
          <w:szCs w:val="28"/>
          <w:lang w:val="nl-NL"/>
        </w:rPr>
        <w:t xml:space="preserve">2025 của Ban </w:t>
      </w:r>
      <w:r>
        <w:rPr>
          <w:rFonts w:ascii="Times New Roman" w:hAnsi="Times New Roman"/>
          <w:bCs/>
          <w:i/>
          <w:iCs/>
          <w:sz w:val="28"/>
          <w:szCs w:val="28"/>
        </w:rPr>
        <w:t xml:space="preserve">Kinh tế - Ngân sách</w:t>
      </w:r>
      <w:r>
        <w:rPr>
          <w:rFonts w:ascii="Times New Roman" w:hAnsi="Times New Roman"/>
          <w:bCs/>
          <w:i/>
          <w:iCs/>
          <w:sz w:val="28"/>
          <w:szCs w:val="28"/>
          <w:lang w:val="nl-NL"/>
        </w:rPr>
        <w:t xml:space="preserve"> Hội đồng nhân dân tỉnh và ý kiến thảo luận của đại biểu Hội đồng nhân dân tỉnh tại kỳ họp</w:t>
      </w:r>
      <w:r>
        <w:rPr>
          <w:rFonts w:ascii="Times New Roman" w:hAnsi="Times New Roman"/>
          <w:bCs/>
          <w:i/>
          <w:iCs/>
          <w:sz w:val="28"/>
          <w:szCs w:val="28"/>
        </w:rPr>
        <w:t xml:space="preserve">,</w:t>
      </w:r>
      <w:r>
        <w:rPr>
          <w:rFonts w:ascii="Times New Roman" w:hAnsi="Times New Roman"/>
          <w:bCs/>
          <w:i/>
          <w:iCs/>
          <w:sz w:val="28"/>
          <w:szCs w:val="28"/>
        </w:rPr>
      </w:r>
    </w:p>
    <w:p>
      <w:pPr>
        <w:pBdr/>
        <w:spacing w:after="0" w:before="60"/>
        <w:ind w:firstLine="709" w:left="34"/>
        <w:rPr>
          <w:rFonts w:ascii="Times New Roman" w:hAnsi="Times New Roman"/>
          <w:bCs/>
          <w:i/>
          <w:iCs/>
          <w:spacing w:val="-4"/>
          <w:sz w:val="28"/>
          <w:szCs w:val="28"/>
        </w:rPr>
      </w:pPr>
      <w:r>
        <w:rPr>
          <w:rFonts w:ascii="Times New Roman" w:hAnsi="Times New Roman"/>
          <w:i/>
          <w:sz w:val="28"/>
          <w:szCs w:val="28"/>
          <w:lang w:val="vi-VN"/>
        </w:rPr>
        <w:t xml:space="preserve">Hội đồng nhân dân </w:t>
      </w:r>
      <w:r>
        <w:rPr>
          <w:rFonts w:ascii="Times New Roman" w:hAnsi="Times New Roman"/>
          <w:i/>
          <w:sz w:val="28"/>
          <w:szCs w:val="28"/>
          <w:lang w:val="en-US"/>
        </w:rPr>
        <w:t xml:space="preserve">tỉnh </w:t>
      </w:r>
      <w:r>
        <w:rPr>
          <w:rFonts w:ascii="Times New Roman" w:hAnsi="Times New Roman"/>
          <w:i/>
          <w:sz w:val="28"/>
          <w:szCs w:val="28"/>
          <w:lang w:val="vi-VN"/>
        </w:rPr>
        <w:t xml:space="preserve">ban hành Nghị quyết </w:t>
      </w:r>
      <w:r>
        <w:rPr>
          <w:rFonts w:ascii="Times New Roman" w:hAnsi="Times New Roman"/>
          <w:bCs/>
          <w:i/>
          <w:iCs/>
          <w:spacing w:val="-4"/>
          <w:sz w:val="28"/>
          <w:szCs w:val="28"/>
        </w:rPr>
        <w:t xml:space="preserve">bãi bỏ các Nghị quyết quy phạm pháp luật của Hội đồng nhân dân tỉnh thuộc lĩnh vực nông nghiệp và môi trường</w:t>
      </w:r>
      <w:r>
        <w:rPr>
          <w:rFonts w:ascii="Times New Roman" w:hAnsi="Times New Roman"/>
          <w:bCs/>
          <w:i/>
          <w:iCs/>
          <w:spacing w:val="-4"/>
          <w:sz w:val="28"/>
          <w:szCs w:val="28"/>
        </w:rPr>
        <w:t xml:space="preserve">.</w:t>
      </w:r>
      <w:r>
        <w:rPr>
          <w:rFonts w:ascii="Times New Roman" w:hAnsi="Times New Roman"/>
          <w:bCs/>
          <w:i/>
          <w:iCs/>
          <w:spacing w:val="-4"/>
          <w:sz w:val="28"/>
          <w:szCs w:val="28"/>
        </w:rPr>
      </w:r>
    </w:p>
    <w:p>
      <w:pPr>
        <w:pBdr/>
        <w:spacing w:after="0" w:before="60"/>
        <w:ind w:firstLine="709"/>
        <w:rPr>
          <w:rFonts w:ascii="Times New Roman" w:hAnsi="Times New Roman" w:eastAsia="Calibri"/>
          <w:sz w:val="28"/>
          <w:szCs w:val="28"/>
          <w14:ligatures w14:val="standardContextual"/>
        </w:rPr>
      </w:pPr>
      <w:r/>
      <w:bookmarkStart w:id="0" w:name="_Hlk202726210"/>
      <w:r>
        <w:rPr>
          <w:rFonts w:ascii="Times New Roman" w:hAnsi="Times New Roman"/>
          <w:b/>
          <w:sz w:val="28"/>
          <w:szCs w:val="28"/>
          <w:lang w:val="nl-NL"/>
        </w:rPr>
        <w:t xml:space="preserve">Điều 1.</w:t>
      </w:r>
      <w:bookmarkEnd w:id="0"/>
      <w:r>
        <w:rPr>
          <w:rFonts w:ascii="Times New Roman" w:hAnsi="Times New Roman"/>
          <w:sz w:val="28"/>
          <w:szCs w:val="28"/>
        </w:rPr>
        <w:t xml:space="preserve"> </w:t>
      </w:r>
      <w:r>
        <w:rPr>
          <w:rFonts w:ascii="Times New Roman" w:hAnsi="Times New Roman"/>
          <w:sz w:val="28"/>
          <w:szCs w:val="28"/>
        </w:rPr>
        <w:t xml:space="preserve">Bãi bỏ toàn bộ các </w:t>
      </w:r>
      <w:r>
        <w:rPr>
          <w:rFonts w:ascii="Times New Roman" w:hAnsi="Times New Roman"/>
          <w:sz w:val="28"/>
          <w:szCs w:val="28"/>
          <w:lang w:val="vi-VN"/>
        </w:rPr>
        <w:t xml:space="preserve">Nghị quyết </w:t>
      </w:r>
      <w:r>
        <w:rPr>
          <w:rFonts w:ascii="Times New Roman" w:hAnsi="Times New Roman" w:eastAsia="Calibri"/>
          <w:sz w:val="28"/>
          <w:szCs w:val="28"/>
          <w14:ligatures w14:val="standardContextual"/>
        </w:rPr>
        <w:t xml:space="preserve">của Hội đồng nhân dân tỉnh </w:t>
      </w:r>
      <w:r>
        <w:rPr>
          <w:rFonts w:ascii="Times New Roman" w:hAnsi="Times New Roman" w:eastAsia="Calibri"/>
          <w:i/>
          <w:sz w:val="28"/>
          <w:szCs w:val="28"/>
          <w14:ligatures w14:val="standardContextual"/>
        </w:rPr>
        <w:t xml:space="preserve">(lĩnh vực nông nghiệp</w:t>
      </w:r>
      <w:r>
        <w:rPr>
          <w:rFonts w:ascii="Times New Roman" w:hAnsi="Times New Roman" w:eastAsia="Calibri"/>
          <w:i/>
          <w:sz w:val="28"/>
          <w:szCs w:val="28"/>
          <w14:ligatures w14:val="standardContextual"/>
        </w:rPr>
        <w:t xml:space="preserve"> và</w:t>
      </w:r>
      <w:r>
        <w:rPr>
          <w:rFonts w:ascii="Times New Roman" w:hAnsi="Times New Roman" w:eastAsia="Calibri"/>
          <w:i/>
          <w:sz w:val="28"/>
          <w:szCs w:val="28"/>
          <w14:ligatures w14:val="standardContextual"/>
        </w:rPr>
        <w:t xml:space="preserve"> môi trường)</w:t>
      </w:r>
      <w:r>
        <w:rPr>
          <w:rFonts w:ascii="Times New Roman" w:hAnsi="Times New Roman" w:eastAsia="Calibri"/>
          <w:sz w:val="28"/>
          <w:szCs w:val="28"/>
          <w14:ligatures w14:val="standardContextual"/>
        </w:rPr>
        <w:t xml:space="preserve"> sau đây:</w:t>
      </w:r>
      <w:r>
        <w:rPr>
          <w:rFonts w:ascii="Times New Roman" w:hAnsi="Times New Roman" w:eastAsia="Calibri"/>
          <w:sz w:val="28"/>
          <w:szCs w:val="28"/>
          <w14:ligatures w14:val="standardContextual"/>
        </w:rPr>
      </w:r>
    </w:p>
    <w:p>
      <w:pPr>
        <w:pBdr/>
        <w:spacing w:after="0" w:before="60"/>
        <w:ind w:firstLine="709"/>
        <w:rPr>
          <w:rFonts w:ascii="Times New Roman" w:hAnsi="Times New Roman"/>
          <w:sz w:val="28"/>
          <w:szCs w:val="28"/>
        </w:rPr>
      </w:pPr>
      <w:r>
        <w:rPr>
          <w:rFonts w:ascii="Times New Roman" w:hAnsi="Times New Roman"/>
          <w:b/>
          <w:bCs/>
          <w:sz w:val="28"/>
          <w:szCs w:val="28"/>
        </w:rPr>
        <w:t xml:space="preserve">1.</w:t>
      </w:r>
      <w:r>
        <w:rPr>
          <w:rFonts w:ascii="Times New Roman" w:hAnsi="Times New Roman"/>
          <w:sz w:val="28"/>
          <w:szCs w:val="28"/>
        </w:rPr>
        <w:t xml:space="preserve"> Nghị quyết số 26/2016/NQ-HĐND ngày 22 tháng 9 năm 2016 của Hội đồng nhân dân tỉnh Tây Ninh về mức hỗ trợ đầu tư công trình cấp nước sạch nông thôn trên địa bàn tỉnh Tây Ninh.</w:t>
      </w:r>
      <w:r>
        <w:rPr>
          <w:rFonts w:ascii="Times New Roman" w:hAnsi="Times New Roman"/>
          <w:sz w:val="28"/>
          <w:szCs w:val="28"/>
        </w:rPr>
      </w:r>
    </w:p>
    <w:p>
      <w:pPr>
        <w:pBdr/>
        <w:spacing w:after="0" w:before="60"/>
        <w:ind w:firstLine="709"/>
        <w:rPr>
          <w:rFonts w:ascii="Times New Roman" w:hAnsi="Times New Roman"/>
          <w:sz w:val="28"/>
          <w:szCs w:val="28"/>
        </w:rPr>
      </w:pPr>
      <w:r>
        <w:rPr>
          <w:rFonts w:ascii="Times New Roman" w:hAnsi="Times New Roman"/>
          <w:b/>
          <w:bCs/>
          <w:sz w:val="28"/>
          <w:szCs w:val="28"/>
        </w:rPr>
        <w:t xml:space="preserve">2. </w:t>
      </w:r>
      <w:r>
        <w:rPr>
          <w:rFonts w:ascii="Times New Roman" w:hAnsi="Times New Roman"/>
          <w:sz w:val="28"/>
          <w:szCs w:val="28"/>
        </w:rPr>
        <w:t xml:space="preserve">Nghị quyết số 01/2019/</w:t>
      </w:r>
      <w:r>
        <w:rPr>
          <w:rFonts w:ascii="Times New Roman" w:hAnsi="Times New Roman"/>
          <w:sz w:val="28"/>
          <w:szCs w:val="28"/>
        </w:rPr>
        <w:t xml:space="preserve">NQ-HĐND ngày 12 tháng 4 năm 1019 của Hội đồng nhân dân tỉnh Tây Ninh quy định về chính sách hỗ trợ lãi vay phát triển thực hành sản xuất nông nghiệp tốt, nông nghiệp ứng dụng công nghệ cao, nông nghiệp hữu cơ trên địa bàn tỉnh Tây Ninh giai đoạn 2019-2025.</w:t>
      </w:r>
      <w:r>
        <w:rPr>
          <w:rFonts w:ascii="Times New Roman" w:hAnsi="Times New Roman"/>
          <w:sz w:val="28"/>
          <w:szCs w:val="28"/>
        </w:rPr>
      </w:r>
    </w:p>
    <w:p>
      <w:pPr>
        <w:pBdr/>
        <w:spacing w:after="0" w:before="60"/>
        <w:ind w:firstLine="709"/>
        <w:rPr>
          <w:rFonts w:ascii="Times New Roman" w:hAnsi="Times New Roman"/>
          <w:sz w:val="28"/>
          <w:szCs w:val="28"/>
        </w:rPr>
      </w:pPr>
      <w:r>
        <w:rPr>
          <w:rFonts w:ascii="Times New Roman" w:hAnsi="Times New Roman"/>
          <w:b/>
          <w:bCs/>
          <w:sz w:val="28"/>
          <w:szCs w:val="28"/>
        </w:rPr>
        <w:t xml:space="preserve">3.</w:t>
      </w:r>
      <w:r>
        <w:rPr>
          <w:rFonts w:ascii="Times New Roman" w:hAnsi="Times New Roman"/>
          <w:sz w:val="28"/>
          <w:szCs w:val="28"/>
        </w:rPr>
        <w:t xml:space="preserve"> </w:t>
      </w:r>
      <w:r>
        <w:rPr>
          <w:rFonts w:ascii="Times New Roman" w:hAnsi="Times New Roman"/>
          <w:bCs/>
          <w:sz w:val="28"/>
          <w:szCs w:val="28"/>
        </w:rPr>
        <w:t xml:space="preserve">Nghị q</w:t>
      </w:r>
      <w:r>
        <w:rPr>
          <w:rFonts w:ascii="Times New Roman" w:hAnsi="Times New Roman"/>
          <w:bCs/>
          <w:sz w:val="28"/>
          <w:szCs w:val="28"/>
        </w:rPr>
        <w:t xml:space="preserve">uyết số 15/2019/NQ-HĐND ngày 06 tháng 12 năm </w:t>
      </w:r>
      <w:r>
        <w:rPr>
          <w:rFonts w:ascii="Times New Roman" w:hAnsi="Times New Roman"/>
          <w:bCs/>
          <w:sz w:val="28"/>
          <w:szCs w:val="28"/>
        </w:rPr>
        <w:t xml:space="preserve">2019 của Hội đồng nhân dân tỉnh Tây Ninh </w:t>
      </w:r>
      <w:r>
        <w:rPr>
          <w:rFonts w:ascii="Times New Roman" w:hAnsi="Times New Roman"/>
          <w:bCs/>
          <w:sz w:val="28"/>
          <w:szCs w:val="28"/>
        </w:rPr>
        <w:t xml:space="preserve">về </w:t>
      </w:r>
      <w:r>
        <w:rPr>
          <w:rFonts w:ascii="Times New Roman" w:hAnsi="Times New Roman"/>
          <w:bCs/>
          <w:sz w:val="28"/>
          <w:szCs w:val="28"/>
        </w:rPr>
        <w:t xml:space="preserve">chính sách đặc thù khuyến khích doanh nghiệp </w:t>
      </w:r>
      <w:r>
        <w:rPr>
          <w:rFonts w:ascii="Times New Roman" w:hAnsi="Times New Roman"/>
          <w:bCs/>
          <w:sz w:val="28"/>
          <w:szCs w:val="28"/>
        </w:rPr>
        <w:t xml:space="preserve">đầu tư vào nông nghiệp, nông thôn trên địa bàn tỉnh Tây Ninh giai đoạ</w:t>
      </w:r>
      <w:r>
        <w:rPr>
          <w:rFonts w:ascii="Times New Roman" w:hAnsi="Times New Roman"/>
          <w:bCs/>
          <w:sz w:val="28"/>
          <w:szCs w:val="28"/>
        </w:rPr>
        <w:t xml:space="preserve">n 2020-2025</w:t>
      </w:r>
      <w:r>
        <w:rPr>
          <w:rFonts w:ascii="Times New Roman" w:hAnsi="Times New Roman"/>
          <w:sz w:val="28"/>
          <w:szCs w:val="28"/>
        </w:rPr>
        <w:t xml:space="preserve">.</w:t>
      </w:r>
      <w:r>
        <w:rPr>
          <w:rFonts w:ascii="Times New Roman" w:hAnsi="Times New Roman"/>
          <w:sz w:val="28"/>
          <w:szCs w:val="28"/>
        </w:rPr>
      </w:r>
    </w:p>
    <w:p>
      <w:pPr>
        <w:pBdr/>
        <w:spacing w:after="0" w:before="60"/>
        <w:ind w:firstLine="709"/>
        <w:rPr>
          <w:rFonts w:ascii="Times New Roman" w:hAnsi="Times New Roman"/>
          <w:sz w:val="28"/>
          <w:szCs w:val="28"/>
        </w:rPr>
      </w:pPr>
      <w:r>
        <w:rPr>
          <w:rFonts w:ascii="Times New Roman" w:hAnsi="Times New Roman"/>
          <w:b/>
          <w:bCs/>
          <w:sz w:val="28"/>
          <w:szCs w:val="28"/>
        </w:rPr>
        <w:t xml:space="preserve">4. </w:t>
      </w:r>
      <w:r>
        <w:rPr>
          <w:rFonts w:ascii="Times New Roman" w:hAnsi="Times New Roman"/>
          <w:sz w:val="28"/>
          <w:szCs w:val="28"/>
        </w:rPr>
        <w:t xml:space="preserve">Nghị quyết số 11/2021/NQ-HĐND  ngày 17 tháng 8 năm 2021 của Hội đồng nhân dân tỉnh Long An về quy định nội dung chi và mức chi các hoạt động của Ban Chỉ huy Phòng, chống thiên tai và tìm kiếm cứu nạn cấp tỉnh, huyện, xã trên địa bàn tỉnh Long An.</w:t>
      </w:r>
      <w:r>
        <w:rPr>
          <w:rFonts w:ascii="Times New Roman" w:hAnsi="Times New Roman"/>
          <w:sz w:val="28"/>
          <w:szCs w:val="28"/>
        </w:rPr>
      </w:r>
    </w:p>
    <w:p>
      <w:pPr>
        <w:pBdr/>
        <w:spacing w:after="0" w:before="60"/>
        <w:ind w:firstLine="709"/>
        <w:rPr>
          <w:rFonts w:ascii="Times New Roman" w:hAnsi="Times New Roman" w:cstheme="minorBidi"/>
          <w:sz w:val="28"/>
          <w:szCs w:val="28"/>
          <w:lang w:val="en-US"/>
        </w:rPr>
      </w:pPr>
      <w:r>
        <w:rPr>
          <w:rFonts w:ascii="Times New Roman" w:hAnsi="Times New Roman"/>
          <w:b/>
          <w:bCs/>
          <w:sz w:val="28"/>
          <w:szCs w:val="28"/>
        </w:rPr>
        <w:t xml:space="preserve">5.</w:t>
      </w:r>
      <w:r>
        <w:rPr>
          <w:rFonts w:ascii="Times New Roman" w:hAnsi="Times New Roman"/>
          <w:sz w:val="28"/>
          <w:szCs w:val="28"/>
        </w:rPr>
        <w:t xml:space="preserve"> Nghị quyết s</w:t>
      </w:r>
      <w:r>
        <w:rPr>
          <w:rFonts w:ascii="Times New Roman" w:hAnsi="Times New Roman"/>
          <w:sz w:val="28"/>
          <w:szCs w:val="28"/>
        </w:rPr>
        <w:t xml:space="preserve">ố 10/2021/NQ-HĐND ngày 17 tháng 8 năm 2021 của Hội đồng nhân dân tỉnh Long An ban hành quy định chính sách hỗ trợ Chương trình phát triển nông nghiệp ứng dụng công nghệ cao gắn với tái cơ cấu ngành nông nghiệp trên địa bàn tỉnh Long An giai đoạn 2021-2025.</w:t>
      </w:r>
      <w:r>
        <w:rPr>
          <w:rFonts w:ascii="Times New Roman" w:hAnsi="Times New Roman" w:cstheme="minorBidi"/>
          <w:sz w:val="28"/>
          <w:szCs w:val="28"/>
          <w:lang w:val="en-US"/>
        </w:rPr>
      </w:r>
    </w:p>
    <w:p>
      <w:pPr>
        <w:pBdr/>
        <w:spacing w:after="0" w:before="60"/>
        <w:ind w:firstLine="709"/>
        <w:rPr>
          <w:rFonts w:ascii="Times New Roman" w:hAnsi="Times New Roman"/>
          <w:sz w:val="28"/>
          <w:szCs w:val="28"/>
        </w:rPr>
      </w:pPr>
      <w:r>
        <w:rPr>
          <w:rFonts w:ascii="Times New Roman" w:hAnsi="Times New Roman"/>
          <w:b/>
          <w:bCs/>
          <w:sz w:val="28"/>
          <w:szCs w:val="28"/>
        </w:rPr>
        <w:t xml:space="preserve">6.</w:t>
      </w:r>
      <w:r>
        <w:rPr>
          <w:rFonts w:ascii="Times New Roman" w:hAnsi="Times New Roman"/>
          <w:sz w:val="28"/>
          <w:szCs w:val="28"/>
        </w:rPr>
        <w:t xml:space="preserve"> Nghị quyết số 23/2021/NQ-HĐND ngày 09 tháng 12 năm 2021 của Hội đồng nhân dân tỉnh Long An quy định chính sách hỗ trợ khi di dời cơ sở chăn nuôi ra khỏi khu vực không được phép chăn nuôi trên địa bàn tỉnh Long An.</w:t>
      </w:r>
      <w:r>
        <w:rPr>
          <w:rFonts w:ascii="Times New Roman" w:hAnsi="Times New Roman"/>
          <w:sz w:val="28"/>
          <w:szCs w:val="28"/>
        </w:rPr>
      </w:r>
    </w:p>
    <w:p>
      <w:pPr>
        <w:pBdr/>
        <w:spacing w:after="0" w:before="60"/>
        <w:ind w:firstLine="709"/>
        <w:rPr>
          <w:rFonts w:ascii="Times New Roman" w:hAnsi="Times New Roman"/>
          <w:sz w:val="28"/>
          <w:szCs w:val="28"/>
        </w:rPr>
      </w:pPr>
      <w:r>
        <w:rPr>
          <w:rFonts w:ascii="Times New Roman" w:hAnsi="Times New Roman"/>
          <w:b/>
          <w:bCs/>
          <w:sz w:val="28"/>
          <w:szCs w:val="28"/>
        </w:rPr>
        <w:t xml:space="preserve">7.</w:t>
      </w:r>
      <w:r>
        <w:rPr>
          <w:rFonts w:ascii="Times New Roman" w:hAnsi="Times New Roman"/>
          <w:sz w:val="28"/>
          <w:szCs w:val="28"/>
        </w:rPr>
        <w:t xml:space="preserve"> Ng</w:t>
      </w:r>
      <w:r>
        <w:rPr>
          <w:rFonts w:ascii="Times New Roman" w:hAnsi="Times New Roman"/>
          <w:sz w:val="28"/>
          <w:szCs w:val="28"/>
        </w:rPr>
        <w:t xml:space="preserve">hị quyết số 18/2021/NQ-HĐND ngày 09 tháng 12 năm 2021 của Hội đồng nhân dân tỉnh Tây Ninh quy định về chính sách hỗ trợ việc áp dụng Quy trình thực hành sản xuất nông nghiệp tốt trong nông nghiệp và thủy sản trên địa bàn tỉnh Tây Ninh, giai đoạn 2022-2025.</w:t>
      </w:r>
      <w:r>
        <w:rPr>
          <w:rFonts w:ascii="Times New Roman" w:hAnsi="Times New Roman"/>
          <w:sz w:val="28"/>
          <w:szCs w:val="28"/>
        </w:rPr>
      </w:r>
    </w:p>
    <w:p>
      <w:pPr>
        <w:pBdr/>
        <w:tabs>
          <w:tab w:val="right" w:leader="dot" w:pos="7920"/>
        </w:tabs>
        <w:spacing w:after="0" w:before="60"/>
        <w:ind/>
        <w:rPr>
          <w:rFonts w:ascii="Times New Roman" w:hAnsi="Times New Roman"/>
          <w:b/>
          <w:bCs/>
          <w:sz w:val="28"/>
          <w:szCs w:val="28"/>
        </w:rPr>
      </w:pPr>
      <w:r>
        <w:rPr>
          <w:rFonts w:ascii="Times New Roman" w:hAnsi="Times New Roman"/>
          <w:b/>
          <w:bCs/>
          <w:sz w:val="28"/>
          <w:szCs w:val="28"/>
        </w:rPr>
        <w:t xml:space="preserve">Điều </w:t>
      </w:r>
      <w:r>
        <w:rPr>
          <w:rFonts w:ascii="Times New Roman" w:hAnsi="Times New Roman"/>
          <w:b/>
          <w:bCs/>
          <w:sz w:val="28"/>
          <w:szCs w:val="28"/>
        </w:rPr>
        <w:t xml:space="preserve">2</w:t>
      </w:r>
      <w:r>
        <w:rPr>
          <w:rFonts w:ascii="Times New Roman" w:hAnsi="Times New Roman"/>
          <w:b/>
          <w:bCs/>
          <w:sz w:val="28"/>
          <w:szCs w:val="28"/>
        </w:rPr>
        <w:t xml:space="preserve">. Tổ chức thực hiện</w:t>
      </w:r>
      <w:r>
        <w:rPr>
          <w:rFonts w:ascii="Times New Roman" w:hAnsi="Times New Roman"/>
          <w:b/>
          <w:bCs/>
          <w:sz w:val="28"/>
          <w:szCs w:val="28"/>
        </w:rPr>
      </w:r>
    </w:p>
    <w:p>
      <w:pPr>
        <w:pBdr/>
        <w:tabs>
          <w:tab w:val="left" w:leader="none" w:pos="900"/>
          <w:tab w:val="left" w:leader="none" w:pos="993"/>
        </w:tabs>
        <w:spacing w:after="0" w:before="60"/>
        <w:ind/>
        <w:rPr>
          <w:rFonts w:ascii="Times New Roman" w:hAnsi="Times New Roman"/>
          <w:sz w:val="28"/>
          <w:szCs w:val="28"/>
        </w:rPr>
      </w:pPr>
      <w:r>
        <w:rPr>
          <w:rFonts w:ascii="Times New Roman" w:hAnsi="Times New Roman"/>
          <w:b/>
          <w:bCs/>
          <w:sz w:val="28"/>
          <w:szCs w:val="28"/>
        </w:rPr>
        <w:t xml:space="preserve">1.</w:t>
      </w:r>
      <w:r>
        <w:rPr>
          <w:rFonts w:ascii="Times New Roman" w:hAnsi="Times New Roman"/>
          <w:sz w:val="28"/>
          <w:szCs w:val="28"/>
        </w:rPr>
        <w:t xml:space="preserve"> Giao Ủy ban nhân dân tỉnh tổ chức triển khai thực hiện Nghị quyết. </w:t>
      </w:r>
      <w:r>
        <w:rPr>
          <w:rFonts w:ascii="Times New Roman" w:hAnsi="Times New Roman"/>
          <w:sz w:val="28"/>
          <w:szCs w:val="28"/>
        </w:rPr>
      </w:r>
    </w:p>
    <w:p>
      <w:pPr>
        <w:pBdr/>
        <w:tabs>
          <w:tab w:val="left" w:leader="none" w:pos="900"/>
          <w:tab w:val="left" w:leader="none" w:pos="993"/>
        </w:tabs>
        <w:spacing w:after="0" w:before="60"/>
        <w:ind/>
        <w:rPr>
          <w:rFonts w:ascii="Times New Roman" w:hAnsi="Times New Roman"/>
          <w:sz w:val="28"/>
          <w:szCs w:val="28"/>
        </w:rPr>
      </w:pPr>
      <w:r>
        <w:rPr>
          <w:rFonts w:ascii="Times New Roman" w:hAnsi="Times New Roman"/>
          <w:b/>
          <w:bCs/>
          <w:sz w:val="28"/>
          <w:szCs w:val="28"/>
        </w:rPr>
        <w:t xml:space="preserve">2.</w:t>
      </w:r>
      <w:r>
        <w:rPr>
          <w:rFonts w:ascii="Times New Roman" w:hAnsi="Times New Roman"/>
          <w:bCs/>
          <w:sz w:val="28"/>
          <w:szCs w:val="28"/>
        </w:rPr>
        <w:t xml:space="preserve"> </w:t>
      </w:r>
      <w:r>
        <w:rPr>
          <w:rFonts w:ascii="Times New Roman" w:hAnsi="Times New Roman"/>
          <w:sz w:val="28"/>
          <w:szCs w:val="28"/>
        </w:rPr>
        <w:t xml:space="preserve">Giao Thường trực Hội đồng nhân dân, các Ban của Hội đồng nhân dân, Tổ đại biểu và đại biểu Hội đồng nhân dân tỉnh giám sát thực hiện Nghị quyết.</w:t>
      </w:r>
      <w:r>
        <w:rPr>
          <w:rFonts w:ascii="Times New Roman" w:hAnsi="Times New Roman"/>
          <w:sz w:val="28"/>
          <w:szCs w:val="28"/>
        </w:rPr>
      </w:r>
    </w:p>
    <w:p>
      <w:pPr>
        <w:pBdr/>
        <w:tabs>
          <w:tab w:val="left" w:leader="none" w:pos="900"/>
          <w:tab w:val="left" w:leader="none" w:pos="993"/>
        </w:tabs>
        <w:spacing w:after="0" w:before="60"/>
        <w:ind/>
        <w:rPr>
          <w:rFonts w:ascii="Times New Roman" w:hAnsi="Times New Roman"/>
          <w:sz w:val="28"/>
          <w:szCs w:val="28"/>
        </w:rPr>
      </w:pPr>
      <w:r>
        <w:rPr>
          <w:rFonts w:ascii="Times New Roman" w:hAnsi="Times New Roman"/>
          <w:b/>
          <w:bCs/>
          <w:sz w:val="28"/>
          <w:szCs w:val="28"/>
        </w:rPr>
        <w:t xml:space="preserve">3.</w:t>
      </w:r>
      <w:r>
        <w:rPr>
          <w:rFonts w:ascii="Times New Roman" w:hAnsi="Times New Roman"/>
          <w:sz w:val="28"/>
          <w:szCs w:val="28"/>
        </w:rPr>
        <w:t xml:space="preserve"> Đề nghị Ủy ban Mặt trận Tổ quốc Việt Nam tỉnh</w:t>
      </w:r>
      <w:r>
        <w:rPr>
          <w:rFonts w:ascii="Times New Roman" w:hAnsi="Times New Roman"/>
          <w:sz w:val="28"/>
          <w:szCs w:val="28"/>
        </w:rPr>
        <w:t xml:space="preserve">, c</w:t>
      </w:r>
      <w:r>
        <w:rPr>
          <w:rFonts w:ascii="Times New Roman" w:hAnsi="Times New Roman"/>
          <w:sz w:val="28"/>
          <w:szCs w:val="28"/>
          <w:lang w:val="vi-VN"/>
        </w:rPr>
        <w:t xml:space="preserve">ác tổ chức chính trị - xã hội tỉnh</w:t>
      </w:r>
      <w:r>
        <w:rPr>
          <w:rFonts w:ascii="Times New Roman" w:hAnsi="Times New Roman"/>
          <w:sz w:val="28"/>
          <w:szCs w:val="28"/>
        </w:rPr>
        <w:t xml:space="preserve"> tuyên truyền và tham gia giám sát việc thực hiện Nghị quyết.</w:t>
      </w:r>
      <w:r>
        <w:rPr>
          <w:rFonts w:ascii="Times New Roman" w:hAnsi="Times New Roman"/>
          <w:sz w:val="28"/>
          <w:szCs w:val="28"/>
        </w:rPr>
      </w:r>
    </w:p>
    <w:p>
      <w:pPr>
        <w:pBdr/>
        <w:tabs>
          <w:tab w:val="right" w:leader="dot" w:pos="7920"/>
        </w:tabs>
        <w:spacing w:after="0" w:before="60"/>
        <w:ind/>
        <w:rPr>
          <w:rFonts w:ascii="Times New Roman" w:hAnsi="Times New Roman"/>
          <w:b/>
          <w:bCs/>
          <w:sz w:val="28"/>
          <w:szCs w:val="28"/>
        </w:rPr>
      </w:pPr>
      <w:r>
        <w:rPr>
          <w:rFonts w:ascii="Times New Roman" w:hAnsi="Times New Roman"/>
          <w:b/>
          <w:bCs/>
          <w:sz w:val="28"/>
          <w:szCs w:val="28"/>
        </w:rPr>
        <w:t xml:space="preserve">Điều </w:t>
      </w:r>
      <w:r>
        <w:rPr>
          <w:rFonts w:ascii="Times New Roman" w:hAnsi="Times New Roman"/>
          <w:b/>
          <w:bCs/>
          <w:sz w:val="28"/>
          <w:szCs w:val="28"/>
        </w:rPr>
        <w:t xml:space="preserve">3. Hiệu lực</w:t>
      </w:r>
      <w:r>
        <w:rPr>
          <w:rFonts w:ascii="Times New Roman" w:hAnsi="Times New Roman"/>
          <w:b/>
          <w:bCs/>
          <w:sz w:val="28"/>
          <w:szCs w:val="28"/>
        </w:rPr>
        <w:t xml:space="preserve"> thi hành</w:t>
      </w:r>
      <w:r>
        <w:rPr>
          <w:rFonts w:ascii="Times New Roman" w:hAnsi="Times New Roman"/>
          <w:b/>
          <w:bCs/>
          <w:sz w:val="28"/>
          <w:szCs w:val="28"/>
        </w:rPr>
      </w:r>
    </w:p>
    <w:p>
      <w:pPr>
        <w:pStyle w:val="729"/>
        <w:pBdr/>
        <w:shd w:val="clear" w:color="auto" w:fill="ffffff"/>
        <w:spacing w:after="0" w:afterAutospacing="0" w:before="60" w:beforeAutospacing="0"/>
        <w:ind w:firstLine="720"/>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Nghị quyết này có hiệu lực thi hành từ ngày </w:t>
      </w:r>
      <w:r>
        <w:rPr>
          <w:rFonts w:ascii="Times New Roman" w:hAnsi="Times New Roman"/>
          <w:sz w:val="28"/>
          <w:szCs w:val="28"/>
          <w:shd w:val="clear" w:color="auto" w:fill="ffffff"/>
        </w:rPr>
        <w:t xml:space="preserve">01</w:t>
      </w:r>
      <w:r>
        <w:rPr>
          <w:rFonts w:ascii="Times New Roman" w:hAnsi="Times New Roman"/>
          <w:sz w:val="28"/>
          <w:szCs w:val="28"/>
          <w:shd w:val="clear" w:color="auto" w:fill="ffffff"/>
        </w:rPr>
        <w:t xml:space="preserve"> tháng </w:t>
      </w:r>
      <w:r>
        <w:rPr>
          <w:rFonts w:ascii="Times New Roman" w:hAnsi="Times New Roman"/>
          <w:sz w:val="28"/>
          <w:szCs w:val="28"/>
          <w:shd w:val="clear" w:color="auto" w:fill="ffffff"/>
        </w:rPr>
        <w:t xml:space="preserve">01</w:t>
      </w:r>
      <w:r>
        <w:rPr>
          <w:rFonts w:ascii="Times New Roman" w:hAnsi="Times New Roman"/>
          <w:sz w:val="28"/>
          <w:szCs w:val="28"/>
          <w:shd w:val="clear" w:color="auto" w:fill="ffffff"/>
        </w:rPr>
        <w:t xml:space="preserve"> năm 202</w:t>
      </w:r>
      <w:r>
        <w:rPr>
          <w:rFonts w:ascii="Times New Roman" w:hAnsi="Times New Roman"/>
          <w:sz w:val="28"/>
          <w:szCs w:val="28"/>
          <w:shd w:val="clear" w:color="auto" w:fill="ffffff"/>
        </w:rPr>
        <w:t xml:space="preserve">6</w:t>
      </w:r>
      <w:r>
        <w:rPr>
          <w:rFonts w:ascii="Times New Roman" w:hAnsi="Times New Roman"/>
          <w:sz w:val="28"/>
          <w:szCs w:val="28"/>
          <w:shd w:val="clear" w:color="auto" w:fill="ffffff"/>
        </w:rPr>
        <w:t xml:space="preserve">.</w:t>
      </w:r>
      <w:r>
        <w:rPr>
          <w:rFonts w:ascii="Times New Roman" w:hAnsi="Times New Roman"/>
          <w:sz w:val="28"/>
          <w:szCs w:val="28"/>
          <w:shd w:val="clear" w:color="auto" w:fill="ffffff"/>
        </w:rPr>
      </w:r>
    </w:p>
    <w:p>
      <w:pPr>
        <w:pBdr/>
        <w:spacing w:before="60"/>
        <w:ind/>
        <w:rPr>
          <w:rFonts w:ascii="Times New Roman" w:hAnsi="Times New Roman"/>
          <w:i/>
          <w:sz w:val="28"/>
          <w:szCs w:val="28"/>
          <w:lang w:val="nl-NL"/>
        </w:rPr>
      </w:pPr>
      <w:r>
        <w:rPr>
          <w:rFonts w:ascii="Times New Roman" w:hAnsi="Times New Roman"/>
          <w:i/>
          <w:sz w:val="28"/>
          <w:szCs w:val="28"/>
          <w:lang w:val="nl-NL"/>
        </w:rPr>
        <w:t xml:space="preserve">Nghị quyết này đã được Hội đồng nhân dân tỉnh </w:t>
      </w:r>
      <w:r>
        <w:rPr>
          <w:rFonts w:ascii="Times New Roman" w:hAnsi="Times New Roman"/>
          <w:i/>
          <w:sz w:val="28"/>
          <w:szCs w:val="28"/>
          <w:lang w:val="nl-NL"/>
        </w:rPr>
        <w:t xml:space="preserve">khoá X, k</w:t>
      </w:r>
      <w:r>
        <w:rPr>
          <w:rFonts w:ascii="Times New Roman" w:hAnsi="Times New Roman"/>
          <w:i/>
          <w:sz w:val="28"/>
          <w:szCs w:val="28"/>
          <w:lang w:val="nl-NL"/>
        </w:rPr>
        <w:t xml:space="preserve">ỳ họp thứ 7 </w:t>
      </w:r>
      <w:r>
        <w:rPr>
          <w:rFonts w:ascii="Times New Roman" w:hAnsi="Times New Roman"/>
          <w:i/>
          <w:sz w:val="28"/>
          <w:szCs w:val="28"/>
          <w:lang w:val="nl-NL"/>
        </w:rPr>
        <w:t xml:space="preserve">(Kỳ họp thường lệ cuối năm 2025) </w:t>
      </w:r>
      <w:r>
        <w:rPr>
          <w:rFonts w:ascii="Times New Roman" w:hAnsi="Times New Roman"/>
          <w:i/>
          <w:sz w:val="28"/>
          <w:szCs w:val="28"/>
          <w:lang w:val="nl-NL"/>
        </w:rPr>
        <w:t xml:space="preserve">thông qua ngày 10 tháng 12 năm 2025./.</w:t>
      </w:r>
      <w:r>
        <w:rPr>
          <w:rFonts w:ascii="Times New Roman" w:hAnsi="Times New Roman"/>
          <w:i/>
          <w:sz w:val="28"/>
          <w:szCs w:val="28"/>
          <w:lang w:val="nl-NL"/>
        </w:rPr>
      </w:r>
    </w:p>
    <w:tbl>
      <w:tblPr>
        <w:tblW w:w="9180" w:type="dxa"/>
        <w:jc w:val="center"/>
        <w:tblBorders/>
        <w:tblLook w:val="04A0" w:firstRow="1" w:lastRow="0" w:firstColumn="1" w:lastColumn="0" w:noHBand="0" w:noVBand="1"/>
      </w:tblPr>
      <w:tblGrid>
        <w:gridCol w:w="4590"/>
        <w:gridCol w:w="4590"/>
      </w:tblGrid>
      <w:tr>
        <w:trPr>
          <w:jc w:val="center"/>
        </w:trPr>
        <w:tc>
          <w:tcPr>
            <w:tcBorders/>
            <w:tcW w:w="4590" w:type="dxa"/>
            <w:textDirection w:val="lrTb"/>
            <w:noWrap w:val="false"/>
          </w:tcPr>
          <w:p>
            <w:pPr>
              <w:pBdr/>
              <w:spacing w:after="0" w:before="0"/>
              <w:ind w:hanging="115" w:left="115"/>
              <w:rPr>
                <w:rFonts w:ascii="Times New Roman" w:hAnsi="Times New Roman"/>
                <w:szCs w:val="28"/>
              </w:rPr>
            </w:pPr>
            <w:r>
              <w:rPr>
                <w:rFonts w:ascii="Times New Roman" w:hAnsi="Times New Roman"/>
                <w:b/>
                <w:i/>
              </w:rPr>
              <w:t xml:space="preserve">Nơi nhận:</w:t>
            </w:r>
            <w:r>
              <w:rPr>
                <w:rFonts w:ascii="Times New Roman" w:hAnsi="Times New Roman"/>
                <w:szCs w:val="28"/>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Thường vụ Quốc hội (b/c);</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Chính phủ (b/c);</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sz w:val="22"/>
                <w:szCs w:val="22"/>
              </w:rPr>
              <w:t xml:space="preserve">- Bộ </w:t>
            </w:r>
            <w:r>
              <w:rPr>
                <w:rFonts w:ascii="Times New Roman" w:hAnsi="Times New Roman"/>
                <w:bCs/>
                <w:sz w:val="22"/>
                <w:szCs w:val="22"/>
              </w:rPr>
              <w:t xml:space="preserve">Nông nghiệp và Môi trường</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sz w:val="22"/>
                <w:szCs w:val="22"/>
                <w:highlight w:val="white"/>
              </w:rPr>
              <w:t xml:space="preserve">- Vụ Pháp chế - Bộ Nông nghiệp và Môi trường;</w:t>
            </w:r>
            <w:r>
              <w:rPr>
                <w:rFonts w:ascii="Times New Roman" w:hAnsi="Times New Roman" w:eastAsia="Calibri"/>
                <w:sz w:val="22"/>
                <w:szCs w:val="22"/>
                <w:lang w:val="pt-BR"/>
              </w:rPr>
            </w:r>
          </w:p>
          <w:p>
            <w:pPr>
              <w:pBdr/>
              <w:spacing w:after="0" w:before="0"/>
              <w:ind w:hanging="108"/>
              <w:rPr>
                <w:rFonts w:ascii="Times New Roman" w:hAnsi="Times New Roman"/>
                <w:bCs/>
                <w:sz w:val="22"/>
                <w:szCs w:val="22"/>
              </w:rPr>
            </w:pPr>
            <w:r>
              <w:rPr>
                <w:rFonts w:ascii="Times New Roman" w:hAnsi="Times New Roman"/>
                <w:bCs/>
                <w:sz w:val="22"/>
                <w:szCs w:val="22"/>
              </w:rPr>
              <w:t xml:space="preserve">- Cục kiểm tra văn bản Quản lý xử lý vi </w:t>
            </w:r>
            <w:r>
              <w:rPr>
                <w:rFonts w:ascii="Times New Roman" w:hAnsi="Times New Roman"/>
                <w:bCs/>
                <w:sz w:val="22"/>
                <w:szCs w:val="22"/>
              </w:rPr>
            </w:r>
          </w:p>
          <w:p>
            <w:pPr>
              <w:pBdr/>
              <w:spacing w:after="0" w:before="0"/>
              <w:ind w:hanging="108"/>
              <w:rPr>
                <w:rFonts w:ascii="Times New Roman" w:hAnsi="Times New Roman" w:eastAsia="Calibri"/>
                <w:sz w:val="22"/>
                <w:szCs w:val="22"/>
                <w:lang w:val="pt-BR"/>
              </w:rPr>
            </w:pPr>
            <w:r>
              <w:rPr>
                <w:rFonts w:ascii="Times New Roman" w:hAnsi="Times New Roman"/>
                <w:bCs/>
                <w:sz w:val="22"/>
                <w:szCs w:val="22"/>
              </w:rPr>
              <w:t xml:space="preserve">phạm hành chính-Bộ Tư pháp;</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Thường trực Tỉnh uỷ;</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Đoàn đại biểu </w:t>
            </w:r>
            <w:r>
              <w:rPr>
                <w:rFonts w:ascii="Times New Roman" w:hAnsi="Times New Roman" w:eastAsia="Calibri"/>
                <w:sz w:val="22"/>
                <w:szCs w:val="22"/>
                <w:lang w:val="pt-BR"/>
              </w:rPr>
              <w:t xml:space="preserve">QH</w:t>
            </w:r>
            <w:r>
              <w:rPr>
                <w:rFonts w:ascii="Times New Roman" w:hAnsi="Times New Roman" w:eastAsia="Calibri"/>
                <w:sz w:val="22"/>
                <w:szCs w:val="22"/>
                <w:lang w:val="pt-BR"/>
              </w:rPr>
              <w:t xml:space="preserve"> tỉnh;</w:t>
            </w:r>
            <w:r>
              <w:rPr>
                <w:rFonts w:ascii="Times New Roman" w:hAnsi="Times New Roman" w:eastAsia="Calibri"/>
                <w:sz w:val="22"/>
                <w:szCs w:val="22"/>
                <w:lang w:val="pt-BR"/>
              </w:rPr>
              <w:t xml:space="preserve"> </w:t>
            </w:r>
            <w:r>
              <w:rPr>
                <w:rFonts w:ascii="Times New Roman" w:hAnsi="Times New Roman" w:eastAsia="Calibri"/>
                <w:sz w:val="22"/>
                <w:szCs w:val="22"/>
                <w:lang w:val="pt-BR"/>
              </w:rPr>
              <w:t xml:space="preserve">Đại biểu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nhân dân tỉnh; Ủy ban MTTQVN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w:t>
            </w:r>
            <w:r>
              <w:rPr>
                <w:rFonts w:ascii="Times New Roman" w:hAnsi="Times New Roman" w:eastAsia="Calibri"/>
                <w:sz w:val="22"/>
                <w:szCs w:val="22"/>
                <w:lang w:val="pt-BR"/>
              </w:rPr>
              <w:t xml:space="preserve">Các sở, ban, ngành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TTHĐND, UBND các xã, phường;</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VP Đoàn ĐBQH và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Trang thông tin điện tử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Trung tâm Công báo - Tin học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Báo và Phát thanh truyền hình Tây Ninh;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Lưu: VT, </w:t>
            </w:r>
            <w:r>
              <w:rPr>
                <w:rFonts w:ascii="Times New Roman" w:hAnsi="Times New Roman" w:eastAsia="Calibri"/>
                <w:sz w:val="22"/>
                <w:szCs w:val="22"/>
                <w:lang w:val="pt-BR"/>
              </w:rPr>
              <w:t xml:space="preserve">VP 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tc>
        <w:tc>
          <w:tcPr>
            <w:tcBorders/>
            <w:tcW w:w="4590" w:type="dxa"/>
            <w:textDirection w:val="lrTb"/>
            <w:noWrap w:val="false"/>
          </w:tcPr>
          <w:p>
            <w:pPr>
              <w:pBdr/>
              <w:spacing w:after="0" w:before="0"/>
              <w:ind w:firstLine="0"/>
              <w:jc w:val="center"/>
              <w:rPr>
                <w:rFonts w:ascii="Times New Roman" w:hAnsi="Times New Roman"/>
                <w:b/>
                <w:sz w:val="28"/>
                <w:szCs w:val="28"/>
                <w:lang w:val="fr-FR"/>
              </w:rPr>
            </w:pPr>
            <w:r>
              <w:rPr>
                <w:rFonts w:ascii="Times New Roman" w:hAnsi="Times New Roman"/>
                <w:b/>
                <w:sz w:val="28"/>
                <w:szCs w:val="28"/>
                <w:lang w:val="fr-FR"/>
              </w:rPr>
              <w:t xml:space="preserve">CHỦ TỊCH</w:t>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jc w:val="center"/>
              <w:rPr>
                <w:rFonts w:ascii="Times New Roman" w:hAnsi="Times New Roman"/>
                <w:b/>
                <w:bCs/>
                <w:sz w:val="28"/>
                <w:szCs w:val="28"/>
                <w:lang w:val="fr-FR"/>
              </w:rPr>
            </w:pPr>
            <w:r>
              <w:rPr>
                <w:rFonts w:ascii="Times New Roman" w:hAnsi="Times New Roman"/>
                <w:b/>
                <w:bCs/>
                <w:sz w:val="28"/>
                <w:szCs w:val="28"/>
                <w:lang w:val="fr-FR"/>
              </w:rPr>
              <w:t xml:space="preserve">Nguyễn Mạnh Hùng</w:t>
            </w:r>
            <w:r>
              <w:rPr>
                <w:rFonts w:ascii="Times New Roman" w:hAnsi="Times New Roman"/>
                <w:b/>
                <w:bCs/>
                <w:sz w:val="28"/>
                <w:szCs w:val="28"/>
                <w:lang w:val="fr-FR"/>
              </w:rPr>
            </w:r>
          </w:p>
        </w:tc>
      </w:tr>
    </w:tbl>
    <w:p>
      <w:pPr>
        <w:pBdr/>
        <w:spacing/>
        <w:ind w:firstLine="0"/>
        <w:rPr/>
      </w:pPr>
      <w:r/>
      <w:bookmarkStart w:id="1" w:name="_GoBack"/>
      <w:r/>
      <w:bookmarkEnd w:id="1"/>
      <w:r/>
      <w:r/>
    </w:p>
    <w:sectPr>
      <w:headerReference w:type="default" r:id="rId8"/>
      <w:footnotePr/>
      <w:endnotePr/>
      <w:type w:val="nextPage"/>
      <w:pgSz w:h="16840" w:orient="portrait" w:w="11907"/>
      <w:pgMar w:top="1134" w:right="1197" w:bottom="709" w:left="1710" w:header="568" w:footer="60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before="0"/>
        <w:ind/>
        <w:rPr/>
      </w:pPr>
      <w:r>
        <w:separator/>
      </w:r>
      <w:r/>
    </w:p>
  </w:endnote>
  <w:endnote w:type="continuationSeparator" w:id="0">
    <w:p>
      <w:pPr>
        <w:pBdr/>
        <w:spacing w:after="0" w:before="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egoe UI">
    <w:panose1 w:val="020B0502040204020203"/>
  </w:font>
  <w:font w:name="Verdana">
    <w:panose1 w:val="020B0604030504040204"/>
  </w:font>
  <w:font w:name="Times New Roman">
    <w:panose1 w:val="02020603050405020304"/>
  </w:font>
  <w:font w:name="VNI-Times">
    <w:panose1 w:val="050401020108070707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906850"/>
      <w:docPartObj>
        <w:docPartGallery w:val="Page Numbers (Top of Page)"/>
        <w:docPartUnique w:val="true"/>
      </w:docPartObj>
      <w:rPr/>
    </w:sdtPr>
    <w:sdtContent>
      <w:p>
        <w:pPr>
          <w:pStyle w:val="722"/>
          <w:pBdr/>
          <w:spacing/>
          <w:ind w:firstLine="0"/>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 xml:space="preserve">2</w:t>
        </w:r>
        <w:r>
          <w:rPr>
            <w:rFonts w:ascii="Times New Roman" w:hAnsi="Times New Roman"/>
          </w:rPr>
          <w:fldChar w:fldCharType="end"/>
        </w:r>
        <w:r>
          <w:rPr>
            <w:rFonts w:ascii="Times New Roman" w:hAnsi="Times New Roman"/>
          </w:rPr>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1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716"/>
    <w:next w:val="716"/>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716"/>
    <w:next w:val="716"/>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716"/>
    <w:next w:val="716"/>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716"/>
    <w:next w:val="716"/>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16"/>
    <w:next w:val="716"/>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16"/>
    <w:next w:val="716"/>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16"/>
    <w:next w:val="716"/>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16"/>
    <w:next w:val="716"/>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character" w:styleId="149">
    <w:name w:val="Heading 1 Char"/>
    <w:basedOn w:val="718"/>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718"/>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718"/>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718"/>
    <w:link w:val="141"/>
    <w:uiPriority w:val="9"/>
    <w:pPr>
      <w:pBdr/>
      <w:spacing/>
      <w:ind/>
    </w:pPr>
    <w:rPr>
      <w:rFonts w:ascii="Arial" w:hAnsi="Arial" w:eastAsia="Arial" w:cs="Arial"/>
      <w:i/>
      <w:iCs/>
      <w:color w:val="0f4761" w:themeColor="accent1" w:themeShade="BF"/>
    </w:rPr>
  </w:style>
  <w:style w:type="character" w:styleId="153">
    <w:name w:val="Heading 5 Char"/>
    <w:basedOn w:val="718"/>
    <w:link w:val="142"/>
    <w:uiPriority w:val="9"/>
    <w:pPr>
      <w:pBdr/>
      <w:spacing/>
      <w:ind/>
    </w:pPr>
    <w:rPr>
      <w:rFonts w:ascii="Arial" w:hAnsi="Arial" w:eastAsia="Arial" w:cs="Arial"/>
      <w:color w:val="0f4761" w:themeColor="accent1" w:themeShade="BF"/>
    </w:rPr>
  </w:style>
  <w:style w:type="character" w:styleId="154">
    <w:name w:val="Heading 6 Char"/>
    <w:basedOn w:val="718"/>
    <w:link w:val="143"/>
    <w:uiPriority w:val="9"/>
    <w:pPr>
      <w:pBdr/>
      <w:spacing/>
      <w:ind/>
    </w:pPr>
    <w:rPr>
      <w:rFonts w:ascii="Arial" w:hAnsi="Arial" w:eastAsia="Arial" w:cs="Arial"/>
      <w:i/>
      <w:iCs/>
      <w:color w:val="595959" w:themeColor="text1" w:themeTint="A6"/>
    </w:rPr>
  </w:style>
  <w:style w:type="character" w:styleId="155">
    <w:name w:val="Heading 7 Char"/>
    <w:basedOn w:val="718"/>
    <w:link w:val="144"/>
    <w:uiPriority w:val="9"/>
    <w:pPr>
      <w:pBdr/>
      <w:spacing/>
      <w:ind/>
    </w:pPr>
    <w:rPr>
      <w:rFonts w:ascii="Arial" w:hAnsi="Arial" w:eastAsia="Arial" w:cs="Arial"/>
      <w:color w:val="595959" w:themeColor="text1" w:themeTint="A6"/>
    </w:rPr>
  </w:style>
  <w:style w:type="character" w:styleId="156">
    <w:name w:val="Heading 8 Char"/>
    <w:basedOn w:val="718"/>
    <w:link w:val="145"/>
    <w:uiPriority w:val="9"/>
    <w:pPr>
      <w:pBdr/>
      <w:spacing/>
      <w:ind/>
    </w:pPr>
    <w:rPr>
      <w:rFonts w:ascii="Arial" w:hAnsi="Arial" w:eastAsia="Arial" w:cs="Arial"/>
      <w:i/>
      <w:iCs/>
      <w:color w:val="272727" w:themeColor="text1" w:themeTint="D8"/>
    </w:rPr>
  </w:style>
  <w:style w:type="paragraph" w:styleId="158">
    <w:name w:val="Title"/>
    <w:basedOn w:val="716"/>
    <w:next w:val="716"/>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18"/>
    <w:link w:val="158"/>
    <w:uiPriority w:val="10"/>
    <w:pPr>
      <w:pBdr/>
      <w:spacing/>
      <w:ind/>
    </w:pPr>
    <w:rPr>
      <w:rFonts w:ascii="Arial" w:hAnsi="Arial" w:eastAsia="Arial" w:cs="Arial"/>
      <w:spacing w:val="-10"/>
      <w:sz w:val="56"/>
      <w:szCs w:val="56"/>
    </w:rPr>
  </w:style>
  <w:style w:type="paragraph" w:styleId="160">
    <w:name w:val="Subtitle"/>
    <w:basedOn w:val="716"/>
    <w:next w:val="716"/>
    <w:link w:val="161"/>
    <w:uiPriority w:val="11"/>
    <w:qFormat/>
    <w:pPr>
      <w:numPr>
        <w:ilvl w:val="1"/>
      </w:numPr>
      <w:pBdr/>
      <w:spacing/>
      <w:ind/>
    </w:pPr>
    <w:rPr>
      <w:color w:val="595959" w:themeColor="text1" w:themeTint="A6"/>
      <w:spacing w:val="15"/>
      <w:sz w:val="28"/>
      <w:szCs w:val="28"/>
    </w:rPr>
  </w:style>
  <w:style w:type="character" w:styleId="161">
    <w:name w:val="Subtitle Char"/>
    <w:basedOn w:val="718"/>
    <w:link w:val="160"/>
    <w:uiPriority w:val="11"/>
    <w:pPr>
      <w:pBdr/>
      <w:spacing/>
      <w:ind/>
    </w:pPr>
    <w:rPr>
      <w:color w:val="595959" w:themeColor="text1" w:themeTint="A6"/>
      <w:spacing w:val="15"/>
      <w:sz w:val="28"/>
      <w:szCs w:val="28"/>
    </w:rPr>
  </w:style>
  <w:style w:type="paragraph" w:styleId="162">
    <w:name w:val="Quote"/>
    <w:basedOn w:val="716"/>
    <w:next w:val="716"/>
    <w:link w:val="163"/>
    <w:uiPriority w:val="29"/>
    <w:qFormat/>
    <w:pPr>
      <w:pBdr/>
      <w:spacing w:before="160"/>
      <w:ind/>
      <w:jc w:val="center"/>
    </w:pPr>
    <w:rPr>
      <w:i/>
      <w:iCs/>
      <w:color w:val="404040" w:themeColor="text1" w:themeTint="BF"/>
    </w:rPr>
  </w:style>
  <w:style w:type="character" w:styleId="163">
    <w:name w:val="Quote Char"/>
    <w:basedOn w:val="718"/>
    <w:link w:val="162"/>
    <w:uiPriority w:val="29"/>
    <w:pPr>
      <w:pBdr/>
      <w:spacing/>
      <w:ind/>
    </w:pPr>
    <w:rPr>
      <w:i/>
      <w:iCs/>
      <w:color w:val="404040" w:themeColor="text1" w:themeTint="BF"/>
    </w:rPr>
  </w:style>
  <w:style w:type="character" w:styleId="165">
    <w:name w:val="Intense Emphasis"/>
    <w:basedOn w:val="718"/>
    <w:uiPriority w:val="21"/>
    <w:qFormat/>
    <w:pPr>
      <w:pBdr/>
      <w:spacing/>
      <w:ind/>
    </w:pPr>
    <w:rPr>
      <w:i/>
      <w:iCs/>
      <w:color w:val="0f4761" w:themeColor="accent1" w:themeShade="BF"/>
    </w:rPr>
  </w:style>
  <w:style w:type="paragraph" w:styleId="166">
    <w:name w:val="Intense Quote"/>
    <w:basedOn w:val="716"/>
    <w:next w:val="71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18"/>
    <w:link w:val="166"/>
    <w:uiPriority w:val="30"/>
    <w:pPr>
      <w:pBdr/>
      <w:spacing/>
      <w:ind/>
    </w:pPr>
    <w:rPr>
      <w:i/>
      <w:iCs/>
      <w:color w:val="0f4761" w:themeColor="accent1" w:themeShade="BF"/>
    </w:rPr>
  </w:style>
  <w:style w:type="character" w:styleId="168">
    <w:name w:val="Intense Reference"/>
    <w:basedOn w:val="718"/>
    <w:uiPriority w:val="32"/>
    <w:qFormat/>
    <w:pPr>
      <w:pBdr/>
      <w:spacing/>
      <w:ind/>
    </w:pPr>
    <w:rPr>
      <w:b/>
      <w:bCs/>
      <w:smallCaps/>
      <w:color w:val="0f4761" w:themeColor="accent1" w:themeShade="BF"/>
      <w:spacing w:val="5"/>
    </w:rPr>
  </w:style>
  <w:style w:type="paragraph" w:styleId="169">
    <w:name w:val="No Spacing"/>
    <w:basedOn w:val="716"/>
    <w:uiPriority w:val="1"/>
    <w:qFormat/>
    <w:pPr>
      <w:pBdr/>
      <w:spacing w:after="0" w:line="240" w:lineRule="auto"/>
      <w:ind/>
    </w:pPr>
  </w:style>
  <w:style w:type="character" w:styleId="170">
    <w:name w:val="Subtle Emphasis"/>
    <w:basedOn w:val="718"/>
    <w:uiPriority w:val="19"/>
    <w:qFormat/>
    <w:pPr>
      <w:pBdr/>
      <w:spacing/>
      <w:ind/>
    </w:pPr>
    <w:rPr>
      <w:i/>
      <w:iCs/>
      <w:color w:val="404040" w:themeColor="text1" w:themeTint="BF"/>
    </w:rPr>
  </w:style>
  <w:style w:type="character" w:styleId="171">
    <w:name w:val="Emphasis"/>
    <w:basedOn w:val="718"/>
    <w:uiPriority w:val="20"/>
    <w:qFormat/>
    <w:pPr>
      <w:pBdr/>
      <w:spacing/>
      <w:ind/>
    </w:pPr>
    <w:rPr>
      <w:i/>
      <w:iCs/>
    </w:rPr>
  </w:style>
  <w:style w:type="character" w:styleId="172">
    <w:name w:val="Strong"/>
    <w:basedOn w:val="718"/>
    <w:uiPriority w:val="22"/>
    <w:qFormat/>
    <w:pPr>
      <w:pBdr/>
      <w:spacing/>
      <w:ind/>
    </w:pPr>
    <w:rPr>
      <w:b/>
      <w:bCs/>
    </w:rPr>
  </w:style>
  <w:style w:type="character" w:styleId="173">
    <w:name w:val="Subtle Reference"/>
    <w:basedOn w:val="718"/>
    <w:uiPriority w:val="31"/>
    <w:qFormat/>
    <w:pPr>
      <w:pBdr/>
      <w:spacing/>
      <w:ind/>
    </w:pPr>
    <w:rPr>
      <w:smallCaps/>
      <w:color w:val="5a5a5a" w:themeColor="text1" w:themeTint="A5"/>
    </w:rPr>
  </w:style>
  <w:style w:type="character" w:styleId="174">
    <w:name w:val="Book Title"/>
    <w:basedOn w:val="718"/>
    <w:uiPriority w:val="33"/>
    <w:qFormat/>
    <w:pPr>
      <w:pBdr/>
      <w:spacing/>
      <w:ind/>
    </w:pPr>
    <w:rPr>
      <w:b/>
      <w:bCs/>
      <w:i/>
      <w:iCs/>
      <w:spacing w:val="5"/>
    </w:rPr>
  </w:style>
  <w:style w:type="paragraph" w:styleId="179">
    <w:name w:val="Caption"/>
    <w:basedOn w:val="716"/>
    <w:next w:val="716"/>
    <w:uiPriority w:val="35"/>
    <w:unhideWhenUsed/>
    <w:qFormat/>
    <w:pPr>
      <w:pBdr/>
      <w:spacing w:after="200" w:line="240" w:lineRule="auto"/>
      <w:ind/>
    </w:pPr>
    <w:rPr>
      <w:i/>
      <w:iCs/>
      <w:color w:val="0e2841" w:themeColor="text2"/>
      <w:sz w:val="18"/>
      <w:szCs w:val="18"/>
    </w:rPr>
  </w:style>
  <w:style w:type="paragraph" w:styleId="180">
    <w:name w:val="footnote text"/>
    <w:basedOn w:val="716"/>
    <w:link w:val="181"/>
    <w:uiPriority w:val="99"/>
    <w:semiHidden/>
    <w:unhideWhenUsed/>
    <w:pPr>
      <w:pBdr/>
      <w:spacing w:after="0" w:line="240" w:lineRule="auto"/>
      <w:ind/>
    </w:pPr>
    <w:rPr>
      <w:sz w:val="20"/>
      <w:szCs w:val="20"/>
    </w:rPr>
  </w:style>
  <w:style w:type="character" w:styleId="181">
    <w:name w:val="Footnote Text Char"/>
    <w:basedOn w:val="718"/>
    <w:link w:val="180"/>
    <w:uiPriority w:val="99"/>
    <w:semiHidden/>
    <w:pPr>
      <w:pBdr/>
      <w:spacing/>
      <w:ind/>
    </w:pPr>
    <w:rPr>
      <w:sz w:val="20"/>
      <w:szCs w:val="20"/>
    </w:rPr>
  </w:style>
  <w:style w:type="character" w:styleId="182">
    <w:name w:val="footnote reference"/>
    <w:basedOn w:val="718"/>
    <w:uiPriority w:val="99"/>
    <w:semiHidden/>
    <w:unhideWhenUsed/>
    <w:pPr>
      <w:pBdr/>
      <w:spacing/>
      <w:ind/>
    </w:pPr>
    <w:rPr>
      <w:vertAlign w:val="superscript"/>
    </w:rPr>
  </w:style>
  <w:style w:type="paragraph" w:styleId="183">
    <w:name w:val="endnote text"/>
    <w:basedOn w:val="716"/>
    <w:link w:val="184"/>
    <w:uiPriority w:val="99"/>
    <w:semiHidden/>
    <w:unhideWhenUsed/>
    <w:pPr>
      <w:pBdr/>
      <w:spacing w:after="0" w:line="240" w:lineRule="auto"/>
      <w:ind/>
    </w:pPr>
    <w:rPr>
      <w:sz w:val="20"/>
      <w:szCs w:val="20"/>
    </w:rPr>
  </w:style>
  <w:style w:type="character" w:styleId="184">
    <w:name w:val="Endnote Text Char"/>
    <w:basedOn w:val="718"/>
    <w:link w:val="183"/>
    <w:uiPriority w:val="99"/>
    <w:semiHidden/>
    <w:pPr>
      <w:pBdr/>
      <w:spacing/>
      <w:ind/>
    </w:pPr>
    <w:rPr>
      <w:sz w:val="20"/>
      <w:szCs w:val="20"/>
    </w:rPr>
  </w:style>
  <w:style w:type="character" w:styleId="185">
    <w:name w:val="endnote reference"/>
    <w:basedOn w:val="718"/>
    <w:uiPriority w:val="99"/>
    <w:semiHidden/>
    <w:unhideWhenUsed/>
    <w:pPr>
      <w:pBdr/>
      <w:spacing/>
      <w:ind/>
    </w:pPr>
    <w:rPr>
      <w:vertAlign w:val="superscript"/>
    </w:rPr>
  </w:style>
  <w:style w:type="character" w:styleId="186">
    <w:name w:val="Hyperlink"/>
    <w:basedOn w:val="718"/>
    <w:uiPriority w:val="99"/>
    <w:unhideWhenUsed/>
    <w:pPr>
      <w:pBdr/>
      <w:spacing/>
      <w:ind/>
    </w:pPr>
    <w:rPr>
      <w:color w:val="0563c1" w:themeColor="hyperlink"/>
      <w:u w:val="single"/>
    </w:rPr>
  </w:style>
  <w:style w:type="character" w:styleId="187">
    <w:name w:val="FollowedHyperlink"/>
    <w:basedOn w:val="718"/>
    <w:uiPriority w:val="99"/>
    <w:semiHidden/>
    <w:unhideWhenUsed/>
    <w:pPr>
      <w:pBdr/>
      <w:spacing/>
      <w:ind/>
    </w:pPr>
    <w:rPr>
      <w:color w:val="954f72" w:themeColor="followedHyperlink"/>
      <w:u w:val="single"/>
    </w:rPr>
  </w:style>
  <w:style w:type="paragraph" w:styleId="188">
    <w:name w:val="toc 1"/>
    <w:basedOn w:val="716"/>
    <w:next w:val="716"/>
    <w:uiPriority w:val="39"/>
    <w:unhideWhenUsed/>
    <w:pPr>
      <w:pBdr/>
      <w:spacing w:after="100"/>
      <w:ind/>
    </w:pPr>
  </w:style>
  <w:style w:type="paragraph" w:styleId="189">
    <w:name w:val="toc 2"/>
    <w:basedOn w:val="716"/>
    <w:next w:val="716"/>
    <w:uiPriority w:val="39"/>
    <w:unhideWhenUsed/>
    <w:pPr>
      <w:pBdr/>
      <w:spacing w:after="100"/>
      <w:ind w:left="220"/>
    </w:pPr>
  </w:style>
  <w:style w:type="paragraph" w:styleId="190">
    <w:name w:val="toc 3"/>
    <w:basedOn w:val="716"/>
    <w:next w:val="716"/>
    <w:uiPriority w:val="39"/>
    <w:unhideWhenUsed/>
    <w:pPr>
      <w:pBdr/>
      <w:spacing w:after="100"/>
      <w:ind w:left="440"/>
    </w:pPr>
  </w:style>
  <w:style w:type="paragraph" w:styleId="191">
    <w:name w:val="toc 4"/>
    <w:basedOn w:val="716"/>
    <w:next w:val="716"/>
    <w:uiPriority w:val="39"/>
    <w:unhideWhenUsed/>
    <w:pPr>
      <w:pBdr/>
      <w:spacing w:after="100"/>
      <w:ind w:left="660"/>
    </w:pPr>
  </w:style>
  <w:style w:type="paragraph" w:styleId="192">
    <w:name w:val="toc 5"/>
    <w:basedOn w:val="716"/>
    <w:next w:val="716"/>
    <w:uiPriority w:val="39"/>
    <w:unhideWhenUsed/>
    <w:pPr>
      <w:pBdr/>
      <w:spacing w:after="100"/>
      <w:ind w:left="880"/>
    </w:pPr>
  </w:style>
  <w:style w:type="paragraph" w:styleId="193">
    <w:name w:val="toc 6"/>
    <w:basedOn w:val="716"/>
    <w:next w:val="716"/>
    <w:uiPriority w:val="39"/>
    <w:unhideWhenUsed/>
    <w:pPr>
      <w:pBdr/>
      <w:spacing w:after="100"/>
      <w:ind w:left="1100"/>
    </w:pPr>
  </w:style>
  <w:style w:type="paragraph" w:styleId="194">
    <w:name w:val="toc 7"/>
    <w:basedOn w:val="716"/>
    <w:next w:val="716"/>
    <w:uiPriority w:val="39"/>
    <w:unhideWhenUsed/>
    <w:pPr>
      <w:pBdr/>
      <w:spacing w:after="100"/>
      <w:ind w:left="1320"/>
    </w:pPr>
  </w:style>
  <w:style w:type="paragraph" w:styleId="195">
    <w:name w:val="toc 8"/>
    <w:basedOn w:val="716"/>
    <w:next w:val="716"/>
    <w:uiPriority w:val="39"/>
    <w:unhideWhenUsed/>
    <w:pPr>
      <w:pBdr/>
      <w:spacing w:after="100"/>
      <w:ind w:left="1540"/>
    </w:pPr>
  </w:style>
  <w:style w:type="paragraph" w:styleId="196">
    <w:name w:val="toc 9"/>
    <w:basedOn w:val="716"/>
    <w:next w:val="716"/>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16"/>
    <w:next w:val="716"/>
    <w:uiPriority w:val="99"/>
    <w:unhideWhenUsed/>
    <w:pPr>
      <w:pBdr/>
      <w:spacing w:after="0" w:afterAutospacing="0"/>
      <w:ind/>
    </w:pPr>
  </w:style>
  <w:style w:type="paragraph" w:styleId="716" w:default="1">
    <w:name w:val="Normal"/>
    <w:qFormat/>
    <w:pPr>
      <w:pBdr/>
      <w:spacing w:after="120" w:before="120" w:line="240" w:lineRule="auto"/>
      <w:ind w:firstLine="720"/>
      <w:jc w:val="both"/>
    </w:pPr>
    <w:rPr>
      <w:rFonts w:ascii="VNI-Times" w:hAnsi="VNI-Times" w:eastAsia="Times New Roman" w:cs="Times New Roman"/>
      <w:sz w:val="24"/>
      <w:szCs w:val="20"/>
      <w:lang w:val="en-GB"/>
    </w:rPr>
  </w:style>
  <w:style w:type="paragraph" w:styleId="717">
    <w:name w:val="Heading 9"/>
    <w:basedOn w:val="716"/>
    <w:next w:val="716"/>
    <w:link w:val="721"/>
    <w:qFormat/>
    <w:pPr>
      <w:keepNext w:val="true"/>
      <w:pBdr/>
      <w:spacing/>
      <w:ind/>
      <w:jc w:val="center"/>
      <w:outlineLvl w:val="8"/>
    </w:pPr>
    <w:rPr>
      <w:sz w:val="28"/>
      <w:u w:val="single"/>
    </w:rPr>
  </w:style>
  <w:style w:type="character" w:styleId="718" w:default="1">
    <w:name w:val="Default Paragraph Font"/>
    <w:uiPriority w:val="1"/>
    <w:semiHidden/>
    <w:unhideWhenUsed/>
    <w:pPr>
      <w:pBdr/>
      <w:spacing/>
      <w:ind/>
    </w:pPr>
  </w:style>
  <w:style w:type="table" w:styleId="71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0" w:default="1">
    <w:name w:val="No List"/>
    <w:uiPriority w:val="99"/>
    <w:semiHidden/>
    <w:unhideWhenUsed/>
    <w:pPr>
      <w:pBdr/>
      <w:spacing/>
      <w:ind/>
    </w:pPr>
  </w:style>
  <w:style w:type="character" w:styleId="721" w:customStyle="1">
    <w:name w:val="Heading 9 Char"/>
    <w:basedOn w:val="718"/>
    <w:link w:val="717"/>
    <w:pPr>
      <w:pBdr/>
      <w:spacing/>
      <w:ind/>
    </w:pPr>
    <w:rPr>
      <w:rFonts w:ascii="VNI-Times" w:hAnsi="VNI-Times" w:eastAsia="Times New Roman" w:cs="Times New Roman"/>
      <w:sz w:val="28"/>
      <w:szCs w:val="20"/>
      <w:u w:val="single"/>
      <w:lang w:val="en-GB"/>
    </w:rPr>
  </w:style>
  <w:style w:type="paragraph" w:styleId="722">
    <w:name w:val="Header"/>
    <w:basedOn w:val="716"/>
    <w:link w:val="723"/>
    <w:uiPriority w:val="99"/>
    <w:pPr>
      <w:pBdr/>
      <w:tabs>
        <w:tab w:val="center" w:leader="none" w:pos="4320"/>
        <w:tab w:val="right" w:leader="none" w:pos="8640"/>
      </w:tabs>
      <w:spacing/>
      <w:ind/>
    </w:pPr>
  </w:style>
  <w:style w:type="character" w:styleId="723" w:customStyle="1">
    <w:name w:val="Header Char"/>
    <w:basedOn w:val="718"/>
    <w:link w:val="722"/>
    <w:uiPriority w:val="99"/>
    <w:pPr>
      <w:pBdr/>
      <w:spacing/>
      <w:ind/>
    </w:pPr>
    <w:rPr>
      <w:rFonts w:ascii="VNI-Times" w:hAnsi="VNI-Times" w:eastAsia="Times New Roman" w:cs="Times New Roman"/>
      <w:sz w:val="24"/>
      <w:szCs w:val="20"/>
      <w:lang w:val="en-GB"/>
    </w:rPr>
  </w:style>
  <w:style w:type="paragraph" w:styleId="724">
    <w:name w:val="Body Text Indent 2"/>
    <w:basedOn w:val="716"/>
    <w:link w:val="725"/>
    <w:pPr>
      <w:pBdr/>
      <w:spacing/>
      <w:ind/>
    </w:pPr>
    <w:rPr>
      <w:sz w:val="26"/>
      <w:lang w:val="en-US"/>
    </w:rPr>
  </w:style>
  <w:style w:type="character" w:styleId="725" w:customStyle="1">
    <w:name w:val="Body Text Indent 2 Char"/>
    <w:basedOn w:val="718"/>
    <w:link w:val="724"/>
    <w:pPr>
      <w:pBdr/>
      <w:spacing/>
      <w:ind/>
    </w:pPr>
    <w:rPr>
      <w:rFonts w:ascii="VNI-Times" w:hAnsi="VNI-Times" w:eastAsia="Times New Roman" w:cs="Times New Roman"/>
      <w:sz w:val="26"/>
      <w:szCs w:val="20"/>
    </w:rPr>
  </w:style>
  <w:style w:type="paragraph" w:styleId="726">
    <w:name w:val="Body Text Indent"/>
    <w:basedOn w:val="716"/>
    <w:link w:val="727"/>
    <w:pPr>
      <w:pBdr/>
      <w:spacing/>
      <w:ind/>
    </w:pPr>
    <w:rPr>
      <w:i/>
    </w:rPr>
  </w:style>
  <w:style w:type="character" w:styleId="727" w:customStyle="1">
    <w:name w:val="Body Text Indent Char"/>
    <w:basedOn w:val="718"/>
    <w:link w:val="726"/>
    <w:pPr>
      <w:pBdr/>
      <w:spacing/>
      <w:ind/>
    </w:pPr>
    <w:rPr>
      <w:rFonts w:ascii="VNI-Times" w:hAnsi="VNI-Times" w:eastAsia="Times New Roman" w:cs="Times New Roman"/>
      <w:i/>
      <w:sz w:val="24"/>
      <w:szCs w:val="20"/>
      <w:lang w:val="en-GB"/>
    </w:rPr>
  </w:style>
  <w:style w:type="character" w:styleId="728" w:customStyle="1">
    <w:name w:val="fontstyle01"/>
    <w:pPr>
      <w:pBdr/>
      <w:spacing/>
      <w:ind/>
    </w:pPr>
    <w:rPr>
      <w:rFonts w:hint="default" w:ascii="Times New Roman" w:hAnsi="Times New Roman" w:cs="Times New Roman"/>
      <w:b w:val="0"/>
      <w:bCs w:val="0"/>
      <w:i w:val="0"/>
      <w:iCs w:val="0"/>
      <w:color w:val="000000"/>
      <w:sz w:val="28"/>
      <w:szCs w:val="28"/>
    </w:rPr>
  </w:style>
  <w:style w:type="paragraph" w:styleId="729">
    <w:name w:val="Normal (Web)"/>
    <w:basedOn w:val="716"/>
    <w:link w:val="730"/>
    <w:uiPriority w:val="99"/>
    <w:qFormat/>
    <w:pPr>
      <w:pBdr>
        <w:top w:val="none" w:color="000000" w:sz="4" w:space="0"/>
        <w:left w:val="none" w:color="000000" w:sz="4" w:space="0"/>
        <w:bottom w:val="none" w:color="000000" w:sz="4" w:space="0"/>
        <w:right w:val="none" w:color="000000" w:sz="4" w:space="0"/>
        <w:between w:val="none" w:color="000000" w:sz="4" w:space="0"/>
      </w:pBdr>
      <w:spacing w:after="100" w:afterAutospacing="1" w:before="100" w:beforeAutospacing="1"/>
      <w:ind w:firstLine="0"/>
      <w:jc w:val="left"/>
    </w:pPr>
    <w:rPr>
      <w:rFonts w:ascii="Verdana" w:hAnsi="Verdana"/>
      <w:szCs w:val="24"/>
      <w:lang w:val="en-US"/>
    </w:rPr>
  </w:style>
  <w:style w:type="character" w:styleId="730" w:customStyle="1">
    <w:name w:val="Normal (Web) Char"/>
    <w:link w:val="729"/>
    <w:qFormat/>
    <w:pPr>
      <w:pBdr/>
      <w:spacing/>
      <w:ind/>
    </w:pPr>
    <w:rPr>
      <w:rFonts w:ascii="Verdana" w:hAnsi="Verdana" w:eastAsia="Times New Roman" w:cs="Times New Roman"/>
      <w:sz w:val="24"/>
      <w:szCs w:val="24"/>
    </w:rPr>
  </w:style>
  <w:style w:type="table" w:styleId="731">
    <w:name w:val="Table Grid"/>
    <w:basedOn w:val="719"/>
    <w:uiPriority w:val="99"/>
    <w:pPr>
      <w:pBdr/>
      <w:spacing w:after="120" w:before="120" w:line="240" w:lineRule="auto"/>
      <w:ind w:firstLine="720"/>
      <w:jc w:val="both"/>
    </w:pPr>
    <w:rPr>
      <w:rFonts w:ascii="Times New Roman" w:hAnsi="Times New Roman" w:eastAsia="Times New Roman" w:cs="Times New Roman"/>
      <w:sz w:val="20"/>
      <w:szCs w:val="20"/>
    </w:r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2">
    <w:name w:val="Footer"/>
    <w:basedOn w:val="716"/>
    <w:link w:val="733"/>
    <w:uiPriority w:val="99"/>
    <w:unhideWhenUsed/>
    <w:pPr>
      <w:pBdr/>
      <w:tabs>
        <w:tab w:val="center" w:leader="none" w:pos="4680"/>
        <w:tab w:val="right" w:leader="none" w:pos="9360"/>
      </w:tabs>
      <w:spacing w:after="0" w:before="0"/>
      <w:ind/>
    </w:pPr>
  </w:style>
  <w:style w:type="character" w:styleId="733" w:customStyle="1">
    <w:name w:val="Footer Char"/>
    <w:basedOn w:val="718"/>
    <w:link w:val="732"/>
    <w:uiPriority w:val="99"/>
    <w:pPr>
      <w:pBdr/>
      <w:spacing/>
      <w:ind/>
    </w:pPr>
    <w:rPr>
      <w:rFonts w:ascii="VNI-Times" w:hAnsi="VNI-Times" w:eastAsia="Times New Roman" w:cs="Times New Roman"/>
      <w:sz w:val="24"/>
      <w:szCs w:val="20"/>
      <w:lang w:val="en-GB"/>
    </w:rPr>
  </w:style>
  <w:style w:type="paragraph" w:styleId="734">
    <w:name w:val="List Paragraph"/>
    <w:basedOn w:val="716"/>
    <w:qFormat/>
    <w:pPr>
      <w:pBdr/>
      <w:spacing w:after="0" w:before="0"/>
      <w:ind w:firstLine="0" w:left="720"/>
      <w:jc w:val="left"/>
    </w:pPr>
    <w:rPr>
      <w:rFonts w:asciiTheme="minorHAnsi" w:hAnsiTheme="minorHAnsi" w:eastAsiaTheme="minorEastAsia" w:cstheme="minorBidi"/>
      <w:sz w:val="28"/>
      <w:szCs w:val="28"/>
      <w:lang w:val="en-US"/>
    </w:rPr>
  </w:style>
  <w:style w:type="paragraph" w:styleId="735">
    <w:name w:val="Balloon Text"/>
    <w:basedOn w:val="716"/>
    <w:link w:val="736"/>
    <w:uiPriority w:val="99"/>
    <w:semiHidden/>
    <w:unhideWhenUsed/>
    <w:pPr>
      <w:pBdr/>
      <w:spacing w:after="0" w:before="0"/>
      <w:ind/>
    </w:pPr>
    <w:rPr>
      <w:rFonts w:ascii="Segoe UI" w:hAnsi="Segoe UI" w:cs="Segoe UI"/>
      <w:sz w:val="18"/>
      <w:szCs w:val="18"/>
    </w:rPr>
  </w:style>
  <w:style w:type="character" w:styleId="736" w:customStyle="1">
    <w:name w:val="Balloon Text Char"/>
    <w:basedOn w:val="718"/>
    <w:link w:val="735"/>
    <w:uiPriority w:val="99"/>
    <w:semiHidden/>
    <w:pPr>
      <w:pBdr/>
      <w:spacing/>
      <w:ind/>
    </w:pPr>
    <w:rPr>
      <w:rFonts w:ascii="Segoe UI" w:hAnsi="Segoe UI" w:eastAsia="Times New Roman" w:cs="Segoe UI"/>
      <w:sz w:val="18"/>
      <w:szCs w:val="18"/>
      <w:lang w:val="en-G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B0F6C4-13A6-4FF2-BD9F-696645E821CA}"/>
</file>

<file path=customXml/itemProps2.xml><?xml version="1.0" encoding="utf-8"?>
<ds:datastoreItem xmlns:ds="http://schemas.openxmlformats.org/officeDocument/2006/customXml" ds:itemID="{FFD6DFE6-03AE-464B-ABA5-7067C2AC2A26}"/>
</file>

<file path=customXml/itemProps3.xml><?xml version="1.0" encoding="utf-8"?>
<ds:datastoreItem xmlns:ds="http://schemas.openxmlformats.org/officeDocument/2006/customXml" ds:itemID="{6EE60D16-DE45-48D7-8B03-208FF6725B7A}"/>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Trịnh Quang Hiền</cp:lastModifiedBy>
  <cp:revision>4</cp:revision>
  <dcterms:created xsi:type="dcterms:W3CDTF">2025-12-10T03:21:00Z</dcterms:created>
  <dcterms:modified xsi:type="dcterms:W3CDTF">2025-12-12T02:28:55Z</dcterms:modified>
</cp:coreProperties>
</file>