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87" w:type="dxa"/>
        <w:tblInd w:w="-145" w:type="dxa"/>
        <w:tblCellMar>
          <w:top w:w="29" w:type="dxa"/>
          <w:left w:w="115" w:type="dxa"/>
          <w:right w:w="115" w:type="dxa"/>
        </w:tblCellMar>
        <w:tblLook w:val="04A0" w:firstRow="1" w:lastRow="0" w:firstColumn="1" w:lastColumn="0" w:noHBand="0" w:noVBand="1"/>
      </w:tblPr>
      <w:tblGrid>
        <w:gridCol w:w="3547"/>
        <w:gridCol w:w="6040"/>
      </w:tblGrid>
      <w:tr w:rsidR="00E708FF">
        <w:trPr>
          <w:trHeight w:val="1289"/>
        </w:trPr>
        <w:tc>
          <w:tcPr>
            <w:tcW w:w="3547" w:type="dxa"/>
          </w:tcPr>
          <w:p w:rsidR="00E708FF" w:rsidRDefault="007464F7">
            <w:pPr>
              <w:ind w:firstLine="3"/>
              <w:jc w:val="center"/>
              <w:rPr>
                <w:b/>
                <w:bCs/>
                <w:sz w:val="26"/>
                <w:szCs w:val="26"/>
              </w:rPr>
            </w:pPr>
            <w:bookmarkStart w:id="0" w:name="_Toc157337788"/>
            <w:bookmarkStart w:id="1" w:name="_Toc127246244"/>
            <w:bookmarkStart w:id="2" w:name="_Toc152122945"/>
            <w:bookmarkStart w:id="3" w:name="_Toc142197041"/>
            <w:bookmarkStart w:id="4" w:name="_Toc127278194"/>
            <w:bookmarkStart w:id="5" w:name="_Toc134550170"/>
            <w:r>
              <w:rPr>
                <w:b/>
                <w:bCs/>
                <w:sz w:val="26"/>
                <w:szCs w:val="26"/>
              </w:rPr>
              <w:t>ỦY BAN NHÂN DÂN</w:t>
            </w:r>
          </w:p>
          <w:p w:rsidR="00E708FF" w:rsidRDefault="007464F7">
            <w:pPr>
              <w:ind w:firstLine="3"/>
              <w:jc w:val="center"/>
              <w:rPr>
                <w:b/>
                <w:bCs/>
                <w:sz w:val="26"/>
                <w:szCs w:val="26"/>
              </w:rPr>
            </w:pPr>
            <w:r>
              <w:rPr>
                <w:b/>
                <w:bCs/>
                <w:sz w:val="26"/>
                <w:szCs w:val="26"/>
              </w:rPr>
              <w:t>TỈNH TÂY NINH</w:t>
            </w:r>
          </w:p>
          <w:p w:rsidR="00E708FF" w:rsidRDefault="007464F7">
            <w:pPr>
              <w:ind w:firstLine="3"/>
              <w:jc w:val="center"/>
              <w:rPr>
                <w:b/>
                <w:bCs/>
                <w:sz w:val="12"/>
                <w:szCs w:val="8"/>
                <w:vertAlign w:val="superscript"/>
              </w:rPr>
            </w:pPr>
            <w:r>
              <w:rPr>
                <w:b/>
                <w:bCs/>
                <w:sz w:val="12"/>
                <w:szCs w:val="8"/>
                <w:vertAlign w:val="superscript"/>
              </w:rPr>
              <w:t>__________________________</w:t>
            </w:r>
          </w:p>
          <w:p w:rsidR="00E708FF" w:rsidRDefault="00E708FF">
            <w:pPr>
              <w:ind w:firstLine="3"/>
              <w:jc w:val="center"/>
              <w:rPr>
                <w:b/>
                <w:bCs/>
                <w:sz w:val="8"/>
                <w:szCs w:val="8"/>
              </w:rPr>
            </w:pPr>
          </w:p>
          <w:p w:rsidR="00E708FF" w:rsidRDefault="007464F7" w:rsidP="004A7BC7">
            <w:pPr>
              <w:jc w:val="center"/>
            </w:pPr>
            <w:r>
              <w:rPr>
                <w:szCs w:val="27"/>
              </w:rPr>
              <w:t xml:space="preserve">Số:  </w:t>
            </w:r>
            <w:r w:rsidR="004A7BC7">
              <w:rPr>
                <w:szCs w:val="27"/>
              </w:rPr>
              <w:t>52</w:t>
            </w:r>
            <w:r>
              <w:rPr>
                <w:szCs w:val="27"/>
              </w:rPr>
              <w:t xml:space="preserve">  /2026/QĐ-UBND</w:t>
            </w:r>
          </w:p>
        </w:tc>
        <w:tc>
          <w:tcPr>
            <w:tcW w:w="6040" w:type="dxa"/>
          </w:tcPr>
          <w:p w:rsidR="00E708FF" w:rsidRDefault="007464F7">
            <w:pPr>
              <w:tabs>
                <w:tab w:val="center" w:pos="6120"/>
              </w:tabs>
              <w:jc w:val="center"/>
              <w:rPr>
                <w:b/>
                <w:bCs/>
                <w:sz w:val="26"/>
                <w:szCs w:val="26"/>
              </w:rPr>
            </w:pPr>
            <w:r>
              <w:rPr>
                <w:b/>
                <w:bCs/>
                <w:sz w:val="26"/>
                <w:szCs w:val="26"/>
              </w:rPr>
              <w:t>C</w:t>
            </w:r>
            <w:r>
              <w:rPr>
                <w:b/>
                <w:bCs/>
                <w:sz w:val="26"/>
                <w:szCs w:val="26"/>
              </w:rPr>
              <w:t>ỘNG HÒA XÃ HỘI CHỦ NGHĨA VIỆT NAM</w:t>
            </w:r>
          </w:p>
          <w:p w:rsidR="00E708FF" w:rsidRDefault="007464F7">
            <w:pPr>
              <w:tabs>
                <w:tab w:val="center" w:pos="6120"/>
              </w:tabs>
              <w:jc w:val="center"/>
              <w:rPr>
                <w:b/>
                <w:bCs/>
              </w:rPr>
            </w:pPr>
            <w:r>
              <w:rPr>
                <w:b/>
                <w:bCs/>
              </w:rPr>
              <w:t>Độc lập - Tự do - Hạnh phúc</w:t>
            </w:r>
          </w:p>
          <w:p w:rsidR="00E708FF" w:rsidRDefault="007464F7">
            <w:pPr>
              <w:jc w:val="center"/>
              <w:rPr>
                <w:b/>
                <w:sz w:val="14"/>
                <w:szCs w:val="8"/>
                <w:vertAlign w:val="superscript"/>
              </w:rPr>
            </w:pPr>
            <w:r>
              <w:rPr>
                <w:b/>
                <w:sz w:val="14"/>
                <w:szCs w:val="8"/>
                <w:vertAlign w:val="superscript"/>
              </w:rPr>
              <w:t>_______________________________________________________________________</w:t>
            </w:r>
          </w:p>
          <w:p w:rsidR="00E708FF" w:rsidRDefault="00E708FF">
            <w:pPr>
              <w:jc w:val="center"/>
              <w:rPr>
                <w:b/>
                <w:sz w:val="8"/>
                <w:szCs w:val="8"/>
              </w:rPr>
            </w:pPr>
          </w:p>
          <w:p w:rsidR="00E708FF" w:rsidRDefault="007464F7" w:rsidP="004A7BC7">
            <w:pPr>
              <w:jc w:val="center"/>
            </w:pPr>
            <w:r>
              <w:rPr>
                <w:i/>
                <w:sz w:val="27"/>
                <w:szCs w:val="27"/>
              </w:rPr>
              <w:t xml:space="preserve">  </w:t>
            </w:r>
            <w:r>
              <w:rPr>
                <w:i/>
                <w:szCs w:val="27"/>
              </w:rPr>
              <w:t>Tây Ninh, ngày</w:t>
            </w:r>
            <w:r w:rsidR="004A7BC7">
              <w:rPr>
                <w:i/>
                <w:szCs w:val="27"/>
              </w:rPr>
              <w:t xml:space="preserve"> 08 tháng 4 </w:t>
            </w:r>
            <w:r>
              <w:rPr>
                <w:i/>
                <w:szCs w:val="27"/>
              </w:rPr>
              <w:t xml:space="preserve"> năm 2026</w:t>
            </w:r>
          </w:p>
        </w:tc>
      </w:tr>
    </w:tbl>
    <w:p w:rsidR="00E708FF" w:rsidRDefault="007464F7">
      <w:pPr>
        <w:widowControl w:val="0"/>
        <w:spacing w:before="360"/>
        <w:jc w:val="center"/>
        <w:rPr>
          <w:b/>
        </w:rPr>
      </w:pPr>
      <w:r>
        <w:rPr>
          <w:b/>
        </w:rPr>
        <w:t>QUYẾT ĐỊNH</w:t>
      </w:r>
    </w:p>
    <w:p w:rsidR="00E708FF" w:rsidRDefault="007464F7">
      <w:pPr>
        <w:widowControl w:val="0"/>
        <w:jc w:val="center"/>
        <w:rPr>
          <w:b/>
        </w:rPr>
      </w:pPr>
      <w:r>
        <w:rPr>
          <w:b/>
        </w:rPr>
        <w:t xml:space="preserve">Quy định diện tích đất nông nghiệp được sử dụng </w:t>
      </w:r>
      <w:r>
        <w:rPr>
          <w:b/>
          <w:bCs/>
        </w:rPr>
        <w:t>để xây dựng công trình phục vụ trực tiếp sản xuất nông nghiệp trên địa bàn tỉnh Tây Ninh</w:t>
      </w:r>
    </w:p>
    <w:p w:rsidR="00E708FF" w:rsidRDefault="00E708FF">
      <w:pPr>
        <w:jc w:val="center"/>
        <w:rPr>
          <w:b/>
          <w:sz w:val="16"/>
          <w:vertAlign w:val="superscript"/>
        </w:rPr>
      </w:pPr>
    </w:p>
    <w:p w:rsidR="00E708FF" w:rsidRDefault="007464F7">
      <w:pPr>
        <w:spacing w:before="360" w:after="120" w:line="264" w:lineRule="auto"/>
        <w:jc w:val="center"/>
        <w:rPr>
          <w:b/>
          <w:sz w:val="30"/>
          <w:szCs w:val="30"/>
        </w:rPr>
      </w:pPr>
      <w:r>
        <w:rPr>
          <w:b/>
          <w:sz w:val="30"/>
          <w:szCs w:val="30"/>
        </w:rPr>
        <w:t>ỦY BAN NHÂN DÂN TỈNH TÂY NINH</w:t>
      </w:r>
    </w:p>
    <w:p w:rsidR="00E708FF" w:rsidRDefault="007464F7">
      <w:pPr>
        <w:spacing w:before="120" w:after="120"/>
        <w:ind w:firstLine="709"/>
        <w:jc w:val="both"/>
        <w:rPr>
          <w:i/>
          <w:iCs/>
        </w:rPr>
      </w:pPr>
      <w:bookmarkStart w:id="6" w:name="_Hlk210667037"/>
      <w:r>
        <w:rPr>
          <w:i/>
          <w:iCs/>
        </w:rPr>
        <w:t>Căn cứ Luật Tổ chức chính quyền địa phương số 72/2025/QH15;</w:t>
      </w:r>
    </w:p>
    <w:p w:rsidR="00E708FF" w:rsidRDefault="007464F7">
      <w:pPr>
        <w:spacing w:before="120" w:after="120"/>
        <w:ind w:firstLine="709"/>
        <w:jc w:val="both"/>
        <w:rPr>
          <w:i/>
          <w:iCs/>
        </w:rPr>
      </w:pPr>
      <w:r>
        <w:rPr>
          <w:i/>
          <w:iCs/>
        </w:rPr>
        <w:t>Căn cứ Luật Đất đai số 31/2024/QH15;</w:t>
      </w:r>
    </w:p>
    <w:p w:rsidR="00E708FF" w:rsidRDefault="007464F7">
      <w:pPr>
        <w:spacing w:before="120" w:after="120"/>
        <w:ind w:firstLine="709"/>
        <w:jc w:val="both"/>
        <w:rPr>
          <w:i/>
          <w:iCs/>
        </w:rPr>
      </w:pPr>
      <w:bookmarkStart w:id="7" w:name="loai_1_name"/>
      <w:r>
        <w:rPr>
          <w:i/>
          <w:iCs/>
        </w:rPr>
        <w:t>Căn cứ Luật sửa đổi, bổ sung một số điều của Luật Đất đai số 31/2024/QH15, Luật Nhà ở số 27/2023/QH15, Luật Kinh doanh Bất động sản số 29/2023/QH15 và Luật các</w:t>
      </w:r>
      <w:r>
        <w:rPr>
          <w:i/>
          <w:iCs/>
        </w:rPr>
        <w:t xml:space="preserve"> Tổ chức tín </w:t>
      </w:r>
      <w:bookmarkStart w:id="8" w:name="_GoBack"/>
      <w:bookmarkEnd w:id="8"/>
      <w:r>
        <w:rPr>
          <w:i/>
          <w:iCs/>
        </w:rPr>
        <w:t>dụng số 32/2024/QH15 ngày 29/6/2024;</w:t>
      </w:r>
      <w:bookmarkEnd w:id="7"/>
    </w:p>
    <w:p w:rsidR="00E708FF" w:rsidRDefault="007464F7">
      <w:pPr>
        <w:spacing w:before="120" w:after="120"/>
        <w:ind w:firstLine="709"/>
        <w:jc w:val="both"/>
        <w:rPr>
          <w:i/>
          <w:iCs/>
        </w:rPr>
      </w:pPr>
      <w:r>
        <w:rPr>
          <w:i/>
          <w:iCs/>
        </w:rPr>
        <w:t>Căn cứ Nghị quyết số 254/2025/QH15 ngày 11/12/2025 của Quốc hội quy định một số cơ chế, chính sách tháo gỡ khó khăn, vướng mắc trong tổ chức thi hành Luật Đất đai;</w:t>
      </w:r>
    </w:p>
    <w:p w:rsidR="00E708FF" w:rsidRDefault="007464F7">
      <w:pPr>
        <w:spacing w:before="120" w:after="120"/>
        <w:ind w:firstLine="709"/>
        <w:jc w:val="both"/>
        <w:rPr>
          <w:i/>
          <w:iCs/>
        </w:rPr>
      </w:pPr>
      <w:r>
        <w:rPr>
          <w:i/>
          <w:iCs/>
        </w:rPr>
        <w:t>Căn cứ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rsidR="00E708FF" w:rsidRDefault="007464F7">
      <w:pPr>
        <w:spacing w:before="120" w:after="120"/>
        <w:ind w:firstLine="709"/>
        <w:jc w:val="both"/>
        <w:rPr>
          <w:i/>
          <w:iCs/>
        </w:rPr>
      </w:pPr>
      <w:r>
        <w:rPr>
          <w:i/>
          <w:iCs/>
        </w:rPr>
        <w:t>Căn cứ Nghị định số 102/2024/NĐ-CP ngà</w:t>
      </w:r>
      <w:r>
        <w:rPr>
          <w:i/>
          <w:iCs/>
        </w:rPr>
        <w:t>y 30/7/2024 của Chính phủ quy định chi tiết thi hành một số điều của Luật Đất đai;</w:t>
      </w:r>
    </w:p>
    <w:p w:rsidR="00E708FF" w:rsidRDefault="007464F7">
      <w:pPr>
        <w:spacing w:before="120" w:after="120"/>
        <w:ind w:firstLine="709"/>
        <w:jc w:val="both"/>
        <w:rPr>
          <w:i/>
          <w:iCs/>
        </w:rPr>
      </w:pPr>
      <w:r>
        <w:rPr>
          <w:i/>
          <w:iCs/>
        </w:rPr>
        <w:t>Căn cứ Nghị định số 112/2024/NĐ-CP ngày 11/9/2024 của Chính phủ quy định chi tiết về đất trồng lúa</w:t>
      </w:r>
      <w:bookmarkEnd w:id="6"/>
      <w:r>
        <w:rPr>
          <w:i/>
          <w:iCs/>
        </w:rPr>
        <w:t>;</w:t>
      </w:r>
    </w:p>
    <w:p w:rsidR="00E708FF" w:rsidRDefault="007464F7">
      <w:pPr>
        <w:spacing w:before="120" w:after="120"/>
        <w:ind w:firstLine="709"/>
        <w:jc w:val="both"/>
        <w:rPr>
          <w:i/>
          <w:iCs/>
        </w:rPr>
      </w:pPr>
      <w:r>
        <w:rPr>
          <w:i/>
          <w:iCs/>
        </w:rPr>
        <w:t xml:space="preserve">Căn cứ Nghị định số 49/2026/NĐ-CP ngày 31/01/2026 của Chính phủ Quy định </w:t>
      </w:r>
      <w:r>
        <w:rPr>
          <w:i/>
          <w:iCs/>
        </w:rPr>
        <w:t>chi tiết và hướng dẫn một số điều của Nghị quyết số 254/2025/QH15 của Quốc hội quy định một số cơ chế, chính sách tháo gỡ khó khăn, vướng mắc trong tổ chức thi hành Luật Đất đai;</w:t>
      </w:r>
    </w:p>
    <w:p w:rsidR="00E708FF" w:rsidRDefault="007464F7">
      <w:pPr>
        <w:spacing w:before="120" w:after="120"/>
        <w:ind w:firstLine="709"/>
        <w:jc w:val="both"/>
        <w:rPr>
          <w:i/>
          <w:iCs/>
        </w:rPr>
      </w:pPr>
      <w:r>
        <w:rPr>
          <w:i/>
          <w:iCs/>
        </w:rPr>
        <w:t>Theo đề nghị của Giám đốc Sở Nông nghiệp và Môi trường;</w:t>
      </w:r>
    </w:p>
    <w:p w:rsidR="00E708FF" w:rsidRDefault="007464F7">
      <w:pPr>
        <w:spacing w:before="120" w:after="120"/>
        <w:ind w:firstLine="709"/>
        <w:jc w:val="both"/>
        <w:rPr>
          <w:i/>
          <w:iCs/>
        </w:rPr>
      </w:pPr>
      <w:r>
        <w:rPr>
          <w:i/>
          <w:iCs/>
        </w:rPr>
        <w:t>Ủy ban nhân dân ban h</w:t>
      </w:r>
      <w:r>
        <w:rPr>
          <w:i/>
          <w:iCs/>
        </w:rPr>
        <w:t>ành Quyết định quy định diện tích đất nông nghiệp được sử dụng để xây dựng công trình phục vụ trực tiếp sản xuất nông nghiệp trên địa bàn tỉnh Tây Ninh.</w:t>
      </w:r>
    </w:p>
    <w:p w:rsidR="00E708FF" w:rsidRDefault="007464F7">
      <w:pPr>
        <w:pStyle w:val="Heading1"/>
      </w:pPr>
      <w:r>
        <w:t>Chương I. NH</w:t>
      </w:r>
      <w:r>
        <w:t>Ữ</w:t>
      </w:r>
      <w:r>
        <w:t>NG QUY Đ</w:t>
      </w:r>
      <w:r>
        <w:t>Ị</w:t>
      </w:r>
      <w:r>
        <w:t>NH CHUNG</w:t>
      </w:r>
    </w:p>
    <w:p w:rsidR="00E708FF" w:rsidRDefault="007464F7">
      <w:pPr>
        <w:pStyle w:val="Heading1"/>
        <w:ind w:firstLine="680"/>
        <w:jc w:val="left"/>
      </w:pPr>
      <w:r>
        <w:rPr>
          <w:szCs w:val="28"/>
        </w:rPr>
        <w:t>Đi</w:t>
      </w:r>
      <w:r>
        <w:rPr>
          <w:szCs w:val="28"/>
        </w:rPr>
        <w:t>ề</w:t>
      </w:r>
      <w:r>
        <w:rPr>
          <w:szCs w:val="28"/>
        </w:rPr>
        <w:t>u 1. Ph</w:t>
      </w:r>
      <w:r>
        <w:rPr>
          <w:szCs w:val="28"/>
        </w:rPr>
        <w:t>ạ</w:t>
      </w:r>
      <w:r>
        <w:rPr>
          <w:szCs w:val="28"/>
        </w:rPr>
        <w:t>m vi đi</w:t>
      </w:r>
      <w:r>
        <w:rPr>
          <w:szCs w:val="28"/>
        </w:rPr>
        <w:t>ề</w:t>
      </w:r>
      <w:r>
        <w:rPr>
          <w:szCs w:val="28"/>
        </w:rPr>
        <w:t>u ch</w:t>
      </w:r>
      <w:r>
        <w:rPr>
          <w:szCs w:val="28"/>
        </w:rPr>
        <w:t>ỉ</w:t>
      </w:r>
      <w:r>
        <w:rPr>
          <w:szCs w:val="28"/>
        </w:rPr>
        <w:t>nh</w:t>
      </w:r>
    </w:p>
    <w:p w:rsidR="00E708FF" w:rsidRDefault="007464F7">
      <w:pPr>
        <w:pStyle w:val="Default"/>
        <w:spacing w:before="120" w:after="120"/>
        <w:ind w:firstLine="680"/>
        <w:jc w:val="both"/>
        <w:rPr>
          <w:color w:val="auto"/>
          <w:sz w:val="28"/>
          <w:szCs w:val="28"/>
        </w:rPr>
      </w:pPr>
      <w:r>
        <w:rPr>
          <w:color w:val="auto"/>
          <w:sz w:val="28"/>
          <w:szCs w:val="28"/>
        </w:rPr>
        <w:t>1. Quyết định này quy định diện tích đất nông</w:t>
      </w:r>
      <w:r>
        <w:rPr>
          <w:color w:val="auto"/>
          <w:sz w:val="28"/>
          <w:szCs w:val="28"/>
        </w:rPr>
        <w:t xml:space="preserve"> nghiệp được sử dụng để xây dựng công trình phục vụ trực tiếp sản xuất nông nghiệp trên địa bàn tỉnh Tây Ninh.</w:t>
      </w:r>
    </w:p>
    <w:p w:rsidR="00E708FF" w:rsidRDefault="007464F7">
      <w:pPr>
        <w:pStyle w:val="Default"/>
        <w:spacing w:before="120" w:after="120"/>
        <w:ind w:firstLine="680"/>
        <w:jc w:val="both"/>
        <w:rPr>
          <w:color w:val="auto"/>
          <w:sz w:val="28"/>
          <w:szCs w:val="28"/>
        </w:rPr>
      </w:pPr>
      <w:r>
        <w:rPr>
          <w:color w:val="auto"/>
          <w:sz w:val="28"/>
          <w:szCs w:val="28"/>
        </w:rPr>
        <w:lastRenderedPageBreak/>
        <w:t>2. Đối với việc xây dựng công trình phục vụ trực tiếp sản xuất nông nghiệp trên đất trồng lúa được thực hiện theo quy định của Nghị định số 112/2</w:t>
      </w:r>
      <w:r>
        <w:rPr>
          <w:color w:val="auto"/>
          <w:sz w:val="28"/>
          <w:szCs w:val="28"/>
        </w:rPr>
        <w:t>024/NĐ-CP ngày 11/9/2024 của Chính phủ quy định chi tiết về đất trồng lúa.</w:t>
      </w:r>
    </w:p>
    <w:p w:rsidR="00E708FF" w:rsidRDefault="007464F7">
      <w:pPr>
        <w:pStyle w:val="Heading1"/>
        <w:ind w:firstLine="680"/>
        <w:jc w:val="left"/>
        <w:rPr>
          <w:szCs w:val="28"/>
        </w:rPr>
      </w:pPr>
      <w:r>
        <w:rPr>
          <w:szCs w:val="28"/>
        </w:rPr>
        <w:t>Đi</w:t>
      </w:r>
      <w:r>
        <w:rPr>
          <w:szCs w:val="28"/>
        </w:rPr>
        <w:t>ề</w:t>
      </w:r>
      <w:r>
        <w:rPr>
          <w:szCs w:val="28"/>
        </w:rPr>
        <w:t>u 2. Đ</w:t>
      </w:r>
      <w:r>
        <w:rPr>
          <w:szCs w:val="28"/>
        </w:rPr>
        <w:t>ố</w:t>
      </w:r>
      <w:r>
        <w:rPr>
          <w:szCs w:val="28"/>
        </w:rPr>
        <w:t>i tư</w:t>
      </w:r>
      <w:r>
        <w:rPr>
          <w:szCs w:val="28"/>
        </w:rPr>
        <w:t>ợ</w:t>
      </w:r>
      <w:r>
        <w:rPr>
          <w:szCs w:val="28"/>
        </w:rPr>
        <w:t>ng áp d</w:t>
      </w:r>
      <w:r>
        <w:rPr>
          <w:szCs w:val="28"/>
        </w:rPr>
        <w:t>ụ</w:t>
      </w:r>
      <w:r>
        <w:rPr>
          <w:szCs w:val="28"/>
        </w:rPr>
        <w:t xml:space="preserve">ng </w:t>
      </w:r>
    </w:p>
    <w:p w:rsidR="00E708FF" w:rsidRDefault="007464F7">
      <w:pPr>
        <w:pStyle w:val="Default"/>
        <w:spacing w:before="120" w:after="120"/>
        <w:ind w:firstLine="680"/>
        <w:jc w:val="both"/>
        <w:rPr>
          <w:color w:val="auto"/>
          <w:sz w:val="28"/>
          <w:szCs w:val="28"/>
        </w:rPr>
      </w:pPr>
      <w:r>
        <w:rPr>
          <w:color w:val="auto"/>
          <w:sz w:val="28"/>
          <w:szCs w:val="28"/>
        </w:rPr>
        <w:t>1. Cơ quan quản lý nhà nước về đất đai và các cơ quan khác có liên quan trên địa bàn tỉnh Tây Ninh.</w:t>
      </w:r>
    </w:p>
    <w:p w:rsidR="00E708FF" w:rsidRDefault="007464F7">
      <w:pPr>
        <w:pStyle w:val="Default"/>
        <w:spacing w:before="120" w:after="120"/>
        <w:ind w:firstLine="680"/>
        <w:jc w:val="both"/>
        <w:rPr>
          <w:color w:val="auto"/>
          <w:sz w:val="28"/>
          <w:szCs w:val="28"/>
        </w:rPr>
      </w:pPr>
      <w:r>
        <w:rPr>
          <w:color w:val="auto"/>
          <w:sz w:val="28"/>
          <w:szCs w:val="28"/>
        </w:rPr>
        <w:t>2. Các tổ chức, cá nhân khác có liên quan đến việc quả</w:t>
      </w:r>
      <w:r>
        <w:rPr>
          <w:color w:val="auto"/>
          <w:sz w:val="28"/>
          <w:szCs w:val="28"/>
        </w:rPr>
        <w:t>n lý, sử dụng đất đai trên địa bàn tỉnh Tây Ninh.</w:t>
      </w:r>
    </w:p>
    <w:p w:rsidR="00E708FF" w:rsidRDefault="007464F7">
      <w:pPr>
        <w:pStyle w:val="Heading1"/>
      </w:pPr>
      <w:r>
        <w:t>Chương II. QUY Đ</w:t>
      </w:r>
      <w:r>
        <w:t>Ị</w:t>
      </w:r>
      <w:r>
        <w:t>NH C</w:t>
      </w:r>
      <w:r>
        <w:t>Ụ</w:t>
      </w:r>
      <w:r>
        <w:t xml:space="preserve"> TH</w:t>
      </w:r>
      <w:r>
        <w:t>Ể</w:t>
      </w:r>
    </w:p>
    <w:p w:rsidR="00E708FF" w:rsidRDefault="007464F7">
      <w:pPr>
        <w:pStyle w:val="Heading1"/>
        <w:ind w:firstLine="680"/>
        <w:jc w:val="both"/>
        <w:rPr>
          <w:szCs w:val="28"/>
        </w:rPr>
      </w:pPr>
      <w:bookmarkStart w:id="9" w:name="_Hlk214956255"/>
      <w:r>
        <w:rPr>
          <w:szCs w:val="28"/>
        </w:rPr>
        <w:t>Đi</w:t>
      </w:r>
      <w:r>
        <w:rPr>
          <w:szCs w:val="28"/>
        </w:rPr>
        <w:t>ề</w:t>
      </w:r>
      <w:r>
        <w:rPr>
          <w:szCs w:val="28"/>
        </w:rPr>
        <w:t>u 3. Di</w:t>
      </w:r>
      <w:r>
        <w:rPr>
          <w:szCs w:val="28"/>
        </w:rPr>
        <w:t>ệ</w:t>
      </w:r>
      <w:r>
        <w:rPr>
          <w:szCs w:val="28"/>
        </w:rPr>
        <w:t>n tích đ</w:t>
      </w:r>
      <w:r>
        <w:rPr>
          <w:szCs w:val="28"/>
        </w:rPr>
        <w:t>ấ</w:t>
      </w:r>
      <w:r>
        <w:rPr>
          <w:szCs w:val="28"/>
        </w:rPr>
        <w:t>t nông nghi</w:t>
      </w:r>
      <w:r>
        <w:rPr>
          <w:szCs w:val="28"/>
        </w:rPr>
        <w:t>ệ</w:t>
      </w:r>
      <w:r>
        <w:rPr>
          <w:szCs w:val="28"/>
        </w:rPr>
        <w:t>p đư</w:t>
      </w:r>
      <w:r>
        <w:rPr>
          <w:szCs w:val="28"/>
        </w:rPr>
        <w:t>ợ</w:t>
      </w:r>
      <w:r>
        <w:rPr>
          <w:szCs w:val="28"/>
        </w:rPr>
        <w:t>c s</w:t>
      </w:r>
      <w:r>
        <w:rPr>
          <w:szCs w:val="28"/>
        </w:rPr>
        <w:t>ử</w:t>
      </w:r>
      <w:r>
        <w:rPr>
          <w:szCs w:val="28"/>
        </w:rPr>
        <w:t xml:space="preserve"> d</w:t>
      </w:r>
      <w:r>
        <w:rPr>
          <w:szCs w:val="28"/>
        </w:rPr>
        <w:t>ụ</w:t>
      </w:r>
      <w:r>
        <w:rPr>
          <w:szCs w:val="28"/>
        </w:rPr>
        <w:t>ng đ</w:t>
      </w:r>
      <w:r>
        <w:rPr>
          <w:szCs w:val="28"/>
        </w:rPr>
        <w:t>ể</w:t>
      </w:r>
      <w:r>
        <w:rPr>
          <w:szCs w:val="28"/>
        </w:rPr>
        <w:t xml:space="preserve"> xây d</w:t>
      </w:r>
      <w:r>
        <w:rPr>
          <w:szCs w:val="28"/>
        </w:rPr>
        <w:t>ự</w:t>
      </w:r>
      <w:r>
        <w:rPr>
          <w:szCs w:val="28"/>
        </w:rPr>
        <w:t>ng công trình ph</w:t>
      </w:r>
      <w:r>
        <w:rPr>
          <w:szCs w:val="28"/>
        </w:rPr>
        <w:t>ụ</w:t>
      </w:r>
      <w:r>
        <w:rPr>
          <w:szCs w:val="28"/>
        </w:rPr>
        <w:t>c v</w:t>
      </w:r>
      <w:r>
        <w:rPr>
          <w:szCs w:val="28"/>
        </w:rPr>
        <w:t>ụ</w:t>
      </w:r>
      <w:r>
        <w:rPr>
          <w:szCs w:val="28"/>
        </w:rPr>
        <w:t xml:space="preserve"> tr</w:t>
      </w:r>
      <w:r>
        <w:rPr>
          <w:szCs w:val="28"/>
        </w:rPr>
        <w:t>ự</w:t>
      </w:r>
      <w:r>
        <w:rPr>
          <w:szCs w:val="28"/>
        </w:rPr>
        <w:t>c ti</w:t>
      </w:r>
      <w:r>
        <w:rPr>
          <w:szCs w:val="28"/>
        </w:rPr>
        <w:t>ế</w:t>
      </w:r>
      <w:r>
        <w:rPr>
          <w:szCs w:val="28"/>
        </w:rPr>
        <w:t>p s</w:t>
      </w:r>
      <w:r>
        <w:rPr>
          <w:szCs w:val="28"/>
        </w:rPr>
        <w:t>ả</w:t>
      </w:r>
      <w:r>
        <w:rPr>
          <w:szCs w:val="28"/>
        </w:rPr>
        <w:t>n xu</w:t>
      </w:r>
      <w:r>
        <w:rPr>
          <w:szCs w:val="28"/>
        </w:rPr>
        <w:t>ấ</w:t>
      </w:r>
      <w:r>
        <w:rPr>
          <w:szCs w:val="28"/>
        </w:rPr>
        <w:t>t nông nghi</w:t>
      </w:r>
      <w:r>
        <w:rPr>
          <w:szCs w:val="28"/>
        </w:rPr>
        <w:t>ệ</w:t>
      </w:r>
      <w:r>
        <w:rPr>
          <w:szCs w:val="28"/>
        </w:rPr>
        <w:t>p</w:t>
      </w:r>
    </w:p>
    <w:p w:rsidR="00E708FF" w:rsidRDefault="007464F7">
      <w:pPr>
        <w:pStyle w:val="Default"/>
        <w:spacing w:before="120" w:after="120"/>
        <w:ind w:firstLine="680"/>
        <w:jc w:val="both"/>
        <w:rPr>
          <w:color w:val="auto"/>
          <w:sz w:val="28"/>
          <w:szCs w:val="28"/>
        </w:rPr>
      </w:pPr>
      <w:r>
        <w:rPr>
          <w:color w:val="auto"/>
          <w:sz w:val="28"/>
          <w:szCs w:val="28"/>
        </w:rPr>
        <w:t xml:space="preserve">1. Diện tích đất nông nghiệp được sử dụng để xây dựng công trình phục </w:t>
      </w:r>
      <w:r>
        <w:rPr>
          <w:color w:val="auto"/>
          <w:sz w:val="28"/>
          <w:szCs w:val="28"/>
        </w:rPr>
        <w:t>vụ trực tiếp sản xuất nông nghiệp, quy định cụ thể như sau:</w:t>
      </w:r>
    </w:p>
    <w:p w:rsidR="00E708FF" w:rsidRDefault="007464F7">
      <w:pPr>
        <w:pStyle w:val="Default"/>
        <w:spacing w:before="120" w:after="120"/>
        <w:ind w:firstLine="680"/>
        <w:jc w:val="both"/>
        <w:rPr>
          <w:color w:val="auto"/>
          <w:sz w:val="28"/>
          <w:szCs w:val="28"/>
        </w:rPr>
      </w:pPr>
      <w:r>
        <w:rPr>
          <w:color w:val="auto"/>
          <w:sz w:val="28"/>
          <w:szCs w:val="28"/>
        </w:rPr>
        <w:t xml:space="preserve">a) Diện tích thửa đất từ 5.000 m² đến dưới 10.000 m² được sử dụng diện tích đất để xây dựng công trình không quá 50 m². </w:t>
      </w:r>
    </w:p>
    <w:p w:rsidR="00E708FF" w:rsidRDefault="007464F7">
      <w:pPr>
        <w:pStyle w:val="Default"/>
        <w:spacing w:before="120" w:after="120"/>
        <w:ind w:firstLine="680"/>
        <w:jc w:val="both"/>
        <w:rPr>
          <w:color w:val="auto"/>
          <w:sz w:val="28"/>
          <w:szCs w:val="28"/>
        </w:rPr>
      </w:pPr>
      <w:r>
        <w:rPr>
          <w:color w:val="auto"/>
          <w:sz w:val="28"/>
          <w:szCs w:val="28"/>
        </w:rPr>
        <w:t xml:space="preserve">b) Diện tích thửa đất từ 10.000 m² đến dưới 30.000 m² được sử dụng diện tích đất để xây dựng công trình không quá 100 m². </w:t>
      </w:r>
    </w:p>
    <w:p w:rsidR="00E708FF" w:rsidRDefault="007464F7">
      <w:pPr>
        <w:pStyle w:val="Default"/>
        <w:spacing w:before="120" w:after="120"/>
        <w:ind w:firstLine="680"/>
        <w:jc w:val="both"/>
        <w:rPr>
          <w:color w:val="auto"/>
          <w:sz w:val="28"/>
          <w:szCs w:val="28"/>
        </w:rPr>
      </w:pPr>
      <w:r>
        <w:rPr>
          <w:color w:val="auto"/>
          <w:sz w:val="28"/>
          <w:szCs w:val="28"/>
        </w:rPr>
        <w:t>c) Diện tích thửa đất từ 30.000 m² đến dưới 50.000 m² được sử dụng diện tích đất để xây dựng công trình không quá 300 m².</w:t>
      </w:r>
    </w:p>
    <w:p w:rsidR="00E708FF" w:rsidRDefault="007464F7">
      <w:pPr>
        <w:pStyle w:val="Default"/>
        <w:spacing w:before="120" w:after="120"/>
        <w:ind w:firstLine="680"/>
        <w:jc w:val="both"/>
        <w:rPr>
          <w:color w:val="auto"/>
          <w:sz w:val="28"/>
          <w:szCs w:val="28"/>
        </w:rPr>
      </w:pPr>
      <w:r>
        <w:rPr>
          <w:color w:val="auto"/>
          <w:sz w:val="28"/>
          <w:szCs w:val="28"/>
        </w:rPr>
        <w:t>d) Diện tíc</w:t>
      </w:r>
      <w:r>
        <w:rPr>
          <w:color w:val="auto"/>
          <w:sz w:val="28"/>
          <w:szCs w:val="28"/>
        </w:rPr>
        <w:t>h thửa đất từ 50.000 m² trở lên được sử dụng diện tích đất để xây dựng công trình không quá 500 m².</w:t>
      </w:r>
    </w:p>
    <w:p w:rsidR="00E708FF" w:rsidRDefault="007464F7">
      <w:pPr>
        <w:pStyle w:val="Default"/>
        <w:spacing w:before="120" w:after="120"/>
        <w:ind w:firstLine="680"/>
        <w:jc w:val="both"/>
        <w:rPr>
          <w:color w:val="auto"/>
          <w:sz w:val="28"/>
          <w:szCs w:val="28"/>
        </w:rPr>
      </w:pPr>
      <w:bookmarkStart w:id="10" w:name="_Hlk220075540"/>
      <w:r>
        <w:rPr>
          <w:color w:val="auto"/>
          <w:sz w:val="28"/>
          <w:szCs w:val="28"/>
        </w:rPr>
        <w:t xml:space="preserve">2. Trường hợp người sử dụng đất có nhiều thửa đất thì được xây dựng công trình phục vụ trực tiếp sản xuất nông nghiệp theo diện tích của từng thửa đất hoặc </w:t>
      </w:r>
      <w:r>
        <w:rPr>
          <w:color w:val="auto"/>
          <w:sz w:val="28"/>
          <w:szCs w:val="28"/>
        </w:rPr>
        <w:t>cộng dồn diện tích của các thửa đất liền kề để xác định diện tích đất được sử dụng xây dựng công trình phục vụ trực tiếp sản xuất nông nghiệp và không vượt quá diện tích xây dựng quy định tại khoản 1 Điều này; trường hợp diện tích cộng dồn của các thửa đất</w:t>
      </w:r>
      <w:r>
        <w:rPr>
          <w:color w:val="auto"/>
          <w:sz w:val="28"/>
          <w:szCs w:val="28"/>
        </w:rPr>
        <w:t xml:space="preserve"> liền kề từ 300.000 m² trở lên thì được sử dụng diện tích đất để xây dựng công trình không quá 5.000 m².</w:t>
      </w:r>
    </w:p>
    <w:p w:rsidR="00E708FF" w:rsidRDefault="007464F7">
      <w:pPr>
        <w:pStyle w:val="Default"/>
        <w:spacing w:before="120" w:after="120"/>
        <w:ind w:firstLine="680"/>
        <w:jc w:val="both"/>
        <w:rPr>
          <w:rFonts w:eastAsia="Arial" w:cs="Arial"/>
          <w:b/>
          <w:color w:val="auto"/>
          <w:sz w:val="28"/>
          <w:szCs w:val="28"/>
        </w:rPr>
      </w:pPr>
      <w:bookmarkStart w:id="11" w:name="_Hlk214956179"/>
      <w:bookmarkEnd w:id="10"/>
      <w:r>
        <w:rPr>
          <w:rFonts w:eastAsia="Arial" w:cs="Arial"/>
          <w:b/>
          <w:color w:val="auto"/>
          <w:sz w:val="28"/>
          <w:szCs w:val="28"/>
        </w:rPr>
        <w:t>Đi</w:t>
      </w:r>
      <w:r>
        <w:rPr>
          <w:rFonts w:eastAsia="Arial" w:cs="Arial"/>
          <w:b/>
          <w:color w:val="auto"/>
          <w:sz w:val="28"/>
          <w:szCs w:val="28"/>
        </w:rPr>
        <w:t>ề</w:t>
      </w:r>
      <w:r>
        <w:rPr>
          <w:rFonts w:eastAsia="Arial" w:cs="Arial"/>
          <w:b/>
          <w:color w:val="auto"/>
          <w:sz w:val="28"/>
          <w:szCs w:val="28"/>
        </w:rPr>
        <w:t>u 4. Quy đ</w:t>
      </w:r>
      <w:r>
        <w:rPr>
          <w:rFonts w:eastAsia="Arial" w:cs="Arial"/>
          <w:b/>
          <w:color w:val="auto"/>
          <w:sz w:val="28"/>
          <w:szCs w:val="28"/>
        </w:rPr>
        <w:t>ị</w:t>
      </w:r>
      <w:r>
        <w:rPr>
          <w:rFonts w:eastAsia="Arial" w:cs="Arial"/>
          <w:b/>
          <w:color w:val="auto"/>
          <w:sz w:val="28"/>
          <w:szCs w:val="28"/>
        </w:rPr>
        <w:t>nh v</w:t>
      </w:r>
      <w:r>
        <w:rPr>
          <w:rFonts w:eastAsia="Arial" w:cs="Arial"/>
          <w:b/>
          <w:color w:val="auto"/>
          <w:sz w:val="28"/>
          <w:szCs w:val="28"/>
        </w:rPr>
        <w:t>ề</w:t>
      </w:r>
      <w:r>
        <w:rPr>
          <w:rFonts w:eastAsia="Arial" w:cs="Arial"/>
          <w:b/>
          <w:color w:val="auto"/>
          <w:sz w:val="28"/>
          <w:szCs w:val="28"/>
        </w:rPr>
        <w:t xml:space="preserve"> đi</w:t>
      </w:r>
      <w:r>
        <w:rPr>
          <w:rFonts w:eastAsia="Arial" w:cs="Arial"/>
          <w:b/>
          <w:color w:val="auto"/>
          <w:sz w:val="28"/>
          <w:szCs w:val="28"/>
        </w:rPr>
        <w:t>ề</w:t>
      </w:r>
      <w:r>
        <w:rPr>
          <w:rFonts w:eastAsia="Arial" w:cs="Arial"/>
          <w:b/>
          <w:color w:val="auto"/>
          <w:sz w:val="28"/>
          <w:szCs w:val="28"/>
        </w:rPr>
        <w:t>u ki</w:t>
      </w:r>
      <w:r>
        <w:rPr>
          <w:rFonts w:eastAsia="Arial" w:cs="Arial"/>
          <w:b/>
          <w:color w:val="auto"/>
          <w:sz w:val="28"/>
          <w:szCs w:val="28"/>
        </w:rPr>
        <w:t>ệ</w:t>
      </w:r>
      <w:r>
        <w:rPr>
          <w:rFonts w:eastAsia="Arial" w:cs="Arial"/>
          <w:b/>
          <w:color w:val="auto"/>
          <w:sz w:val="28"/>
          <w:szCs w:val="28"/>
        </w:rPr>
        <w:t>n xây d</w:t>
      </w:r>
      <w:r>
        <w:rPr>
          <w:rFonts w:eastAsia="Arial" w:cs="Arial"/>
          <w:b/>
          <w:color w:val="auto"/>
          <w:sz w:val="28"/>
          <w:szCs w:val="28"/>
        </w:rPr>
        <w:t>ự</w:t>
      </w:r>
      <w:r>
        <w:rPr>
          <w:rFonts w:eastAsia="Arial" w:cs="Arial"/>
          <w:b/>
          <w:color w:val="auto"/>
          <w:sz w:val="28"/>
          <w:szCs w:val="28"/>
        </w:rPr>
        <w:t>ng công trình ph</w:t>
      </w:r>
      <w:r>
        <w:rPr>
          <w:rFonts w:eastAsia="Arial" w:cs="Arial"/>
          <w:b/>
          <w:color w:val="auto"/>
          <w:sz w:val="28"/>
          <w:szCs w:val="28"/>
        </w:rPr>
        <w:t>ụ</w:t>
      </w:r>
      <w:r>
        <w:rPr>
          <w:rFonts w:eastAsia="Arial" w:cs="Arial"/>
          <w:b/>
          <w:color w:val="auto"/>
          <w:sz w:val="28"/>
          <w:szCs w:val="28"/>
        </w:rPr>
        <w:t>c v</w:t>
      </w:r>
      <w:r>
        <w:rPr>
          <w:rFonts w:eastAsia="Arial" w:cs="Arial"/>
          <w:b/>
          <w:color w:val="auto"/>
          <w:sz w:val="28"/>
          <w:szCs w:val="28"/>
        </w:rPr>
        <w:t>ụ</w:t>
      </w:r>
      <w:r>
        <w:rPr>
          <w:rFonts w:eastAsia="Arial" w:cs="Arial"/>
          <w:b/>
          <w:color w:val="auto"/>
          <w:sz w:val="28"/>
          <w:szCs w:val="28"/>
        </w:rPr>
        <w:t xml:space="preserve"> tr</w:t>
      </w:r>
      <w:r>
        <w:rPr>
          <w:rFonts w:eastAsia="Arial" w:cs="Arial"/>
          <w:b/>
          <w:color w:val="auto"/>
          <w:sz w:val="28"/>
          <w:szCs w:val="28"/>
        </w:rPr>
        <w:t>ự</w:t>
      </w:r>
      <w:r>
        <w:rPr>
          <w:rFonts w:eastAsia="Arial" w:cs="Arial"/>
          <w:b/>
          <w:color w:val="auto"/>
          <w:sz w:val="28"/>
          <w:szCs w:val="28"/>
        </w:rPr>
        <w:t>c ti</w:t>
      </w:r>
      <w:r>
        <w:rPr>
          <w:rFonts w:eastAsia="Arial" w:cs="Arial"/>
          <w:b/>
          <w:color w:val="auto"/>
          <w:sz w:val="28"/>
          <w:szCs w:val="28"/>
        </w:rPr>
        <w:t>ế</w:t>
      </w:r>
      <w:r>
        <w:rPr>
          <w:rFonts w:eastAsia="Arial" w:cs="Arial"/>
          <w:b/>
          <w:color w:val="auto"/>
          <w:sz w:val="28"/>
          <w:szCs w:val="28"/>
        </w:rPr>
        <w:t>p s</w:t>
      </w:r>
      <w:r>
        <w:rPr>
          <w:rFonts w:eastAsia="Arial" w:cs="Arial"/>
          <w:b/>
          <w:color w:val="auto"/>
          <w:sz w:val="28"/>
          <w:szCs w:val="28"/>
        </w:rPr>
        <w:t>ả</w:t>
      </w:r>
      <w:r>
        <w:rPr>
          <w:rFonts w:eastAsia="Arial" w:cs="Arial"/>
          <w:b/>
          <w:color w:val="auto"/>
          <w:sz w:val="28"/>
          <w:szCs w:val="28"/>
        </w:rPr>
        <w:t>n xu</w:t>
      </w:r>
      <w:r>
        <w:rPr>
          <w:rFonts w:eastAsia="Arial" w:cs="Arial"/>
          <w:b/>
          <w:color w:val="auto"/>
          <w:sz w:val="28"/>
          <w:szCs w:val="28"/>
        </w:rPr>
        <w:t>ấ</w:t>
      </w:r>
      <w:r>
        <w:rPr>
          <w:rFonts w:eastAsia="Arial" w:cs="Arial"/>
          <w:b/>
          <w:color w:val="auto"/>
          <w:sz w:val="28"/>
          <w:szCs w:val="28"/>
        </w:rPr>
        <w:t>t nông nghi</w:t>
      </w:r>
      <w:r>
        <w:rPr>
          <w:rFonts w:eastAsia="Arial" w:cs="Arial"/>
          <w:b/>
          <w:color w:val="auto"/>
          <w:sz w:val="28"/>
          <w:szCs w:val="28"/>
        </w:rPr>
        <w:t>ệ</w:t>
      </w:r>
      <w:r>
        <w:rPr>
          <w:rFonts w:eastAsia="Arial" w:cs="Arial"/>
          <w:b/>
          <w:color w:val="auto"/>
          <w:sz w:val="28"/>
          <w:szCs w:val="28"/>
        </w:rPr>
        <w:t>p</w:t>
      </w:r>
      <w:bookmarkEnd w:id="11"/>
    </w:p>
    <w:p w:rsidR="00E708FF" w:rsidRDefault="007464F7">
      <w:pPr>
        <w:pStyle w:val="Default"/>
        <w:spacing w:before="120" w:after="120"/>
        <w:ind w:firstLine="680"/>
        <w:jc w:val="both"/>
        <w:rPr>
          <w:color w:val="auto"/>
          <w:sz w:val="28"/>
          <w:szCs w:val="28"/>
        </w:rPr>
      </w:pPr>
      <w:r>
        <w:rPr>
          <w:color w:val="auto"/>
          <w:sz w:val="28"/>
          <w:szCs w:val="28"/>
        </w:rPr>
        <w:t xml:space="preserve">1. Công trình phục vụ trực tiếp sản xuất nông nghiệp chỉ được </w:t>
      </w:r>
      <w:r>
        <w:rPr>
          <w:color w:val="auto"/>
          <w:sz w:val="28"/>
          <w:szCs w:val="28"/>
        </w:rPr>
        <w:t>xây dựng một tầng, chiều cao đỉnh mái tối đa 5 m, không có tầng hầm, có kết cấu bán kiên cố (tường gạch hoặc tường vật liệu nhẹ, cột gạch hoặc cột thép, cột sắt, mái vật liệu nhẹ) và khi không có nhu cầu sử dụng phải tự tháo dỡ công trình, khôi phục lại để</w:t>
      </w:r>
      <w:r>
        <w:rPr>
          <w:color w:val="auto"/>
          <w:sz w:val="28"/>
          <w:szCs w:val="28"/>
        </w:rPr>
        <w:t xml:space="preserve"> đủ điều kiện sử dụng đất vào mục đích sản xuất nông nghiệp ban đầu.</w:t>
      </w:r>
    </w:p>
    <w:p w:rsidR="00E708FF" w:rsidRDefault="007464F7">
      <w:pPr>
        <w:pStyle w:val="Default"/>
        <w:spacing w:before="120" w:after="120"/>
        <w:ind w:firstLine="680"/>
        <w:jc w:val="both"/>
        <w:rPr>
          <w:color w:val="auto"/>
          <w:sz w:val="28"/>
          <w:szCs w:val="28"/>
        </w:rPr>
      </w:pPr>
      <w:r>
        <w:rPr>
          <w:color w:val="auto"/>
          <w:sz w:val="28"/>
          <w:szCs w:val="28"/>
        </w:rPr>
        <w:t>2. Việc xây dựng công trình phục vụ trực tiếp sản xuất nông nghiệp không làm ảnh hưởng đến phạm vi bảo vệ công trình thủy lợi và phạm vi bảo vệ đê điều được cơ quan có thẩm quyền phê duyệ</w:t>
      </w:r>
      <w:r>
        <w:rPr>
          <w:color w:val="auto"/>
          <w:sz w:val="28"/>
          <w:szCs w:val="28"/>
        </w:rPr>
        <w:t xml:space="preserve">t; không làm ảnh hưởng diện tích đất nông </w:t>
      </w:r>
      <w:r>
        <w:rPr>
          <w:color w:val="auto"/>
          <w:sz w:val="28"/>
          <w:szCs w:val="28"/>
        </w:rPr>
        <w:lastRenderedPageBreak/>
        <w:t>nghiệp liền kề và không vi phạm lộ giới đường hiện hữu theo quy hoạch được cơ quan có thẩm quyền phê duyệt.</w:t>
      </w:r>
    </w:p>
    <w:p w:rsidR="00E708FF" w:rsidRDefault="007464F7">
      <w:pPr>
        <w:pStyle w:val="Default"/>
        <w:spacing w:before="120" w:after="120"/>
        <w:ind w:firstLine="680"/>
        <w:jc w:val="both"/>
        <w:rPr>
          <w:color w:val="auto"/>
          <w:sz w:val="28"/>
          <w:szCs w:val="28"/>
        </w:rPr>
      </w:pPr>
      <w:r>
        <w:rPr>
          <w:color w:val="auto"/>
          <w:sz w:val="28"/>
          <w:szCs w:val="28"/>
        </w:rPr>
        <w:t>3. Công trình được xây dựng chỉ phục vụ trực tiếp sản xuất nông nghiệp, không được sử dụng vào mục đích để</w:t>
      </w:r>
      <w:r>
        <w:rPr>
          <w:color w:val="auto"/>
          <w:sz w:val="28"/>
          <w:szCs w:val="28"/>
        </w:rPr>
        <w:t xml:space="preserve"> ở, kinh doanh, các mục đích khác và phải được xây dựng ở một vị trí nhất định trong thửa đất sản xuất nông nghiệp.</w:t>
      </w:r>
    </w:p>
    <w:p w:rsidR="00E708FF" w:rsidRDefault="007464F7">
      <w:pPr>
        <w:pStyle w:val="Default"/>
        <w:spacing w:before="120" w:after="120"/>
        <w:ind w:firstLine="680"/>
        <w:jc w:val="both"/>
        <w:rPr>
          <w:color w:val="auto"/>
          <w:sz w:val="28"/>
          <w:szCs w:val="28"/>
        </w:rPr>
      </w:pPr>
      <w:r>
        <w:rPr>
          <w:color w:val="auto"/>
          <w:sz w:val="28"/>
          <w:szCs w:val="28"/>
        </w:rPr>
        <w:t>4. Diện tích đất xây dựng công trình theo quy định tại khoản 1 Điều 3 không cần thực hiện chuyển mục đích sử dụng đất và vẫn được thống kê l</w:t>
      </w:r>
      <w:r>
        <w:rPr>
          <w:color w:val="auto"/>
          <w:sz w:val="28"/>
          <w:szCs w:val="28"/>
        </w:rPr>
        <w:t>à loại đất theo giấy chứng nhận quyền sử dụng đất hiện hữu.</w:t>
      </w:r>
    </w:p>
    <w:p w:rsidR="00E708FF" w:rsidRDefault="007464F7">
      <w:pPr>
        <w:pStyle w:val="Default"/>
        <w:spacing w:before="120" w:after="120"/>
        <w:ind w:firstLine="680"/>
        <w:jc w:val="both"/>
        <w:rPr>
          <w:color w:val="auto"/>
          <w:sz w:val="28"/>
          <w:szCs w:val="28"/>
        </w:rPr>
      </w:pPr>
      <w:r>
        <w:rPr>
          <w:color w:val="auto"/>
          <w:sz w:val="28"/>
          <w:szCs w:val="28"/>
        </w:rPr>
        <w:t>5. Cá nhân, tổ chức sử dụng đất phải chấp hành việc tháo dỡ không điều kiện và không được bồi thường khi thuộc một trong các trường hợp sau đây: Khi xây dựng công trình vượt quá diện tích cho phép</w:t>
      </w:r>
      <w:r>
        <w:rPr>
          <w:color w:val="auto"/>
          <w:sz w:val="28"/>
          <w:szCs w:val="28"/>
        </w:rPr>
        <w:t xml:space="preserve"> hoặc khi cơ quan Nhà nước có thẩm quyền yêu cầu theo quy định.</w:t>
      </w:r>
    </w:p>
    <w:p w:rsidR="00E708FF" w:rsidRDefault="007464F7">
      <w:pPr>
        <w:pStyle w:val="Default"/>
        <w:spacing w:before="120" w:after="120"/>
        <w:ind w:firstLine="680"/>
        <w:jc w:val="both"/>
        <w:rPr>
          <w:color w:val="auto"/>
          <w:sz w:val="28"/>
          <w:szCs w:val="28"/>
        </w:rPr>
      </w:pPr>
      <w:r>
        <w:rPr>
          <w:color w:val="auto"/>
          <w:sz w:val="28"/>
          <w:szCs w:val="28"/>
        </w:rPr>
        <w:t>6. Ủy ban nhân dân tỉnh khuyến khích người sử dụng đất nông nghiệp trong cùng địa bàn xóm, ấp, khu phố sử dụng chung phần diện tích đất để xây dựng công trình phục vụ trực tiếp sản xuất nông n</w:t>
      </w:r>
      <w:r>
        <w:rPr>
          <w:color w:val="auto"/>
          <w:sz w:val="28"/>
          <w:szCs w:val="28"/>
        </w:rPr>
        <w:t>ghiệp.</w:t>
      </w:r>
      <w:bookmarkEnd w:id="9"/>
    </w:p>
    <w:p w:rsidR="00E708FF" w:rsidRDefault="007464F7">
      <w:pPr>
        <w:pStyle w:val="Heading1"/>
        <w:rPr>
          <w:szCs w:val="28"/>
        </w:rPr>
      </w:pPr>
      <w:r>
        <w:rPr>
          <w:szCs w:val="28"/>
        </w:rPr>
        <w:t>Chương III. T</w:t>
      </w:r>
      <w:r>
        <w:rPr>
          <w:szCs w:val="28"/>
        </w:rPr>
        <w:t>Ổ</w:t>
      </w:r>
      <w:r>
        <w:rPr>
          <w:szCs w:val="28"/>
        </w:rPr>
        <w:t xml:space="preserve"> CH</w:t>
      </w:r>
      <w:r>
        <w:rPr>
          <w:szCs w:val="28"/>
        </w:rPr>
        <w:t>Ứ</w:t>
      </w:r>
      <w:r>
        <w:rPr>
          <w:szCs w:val="28"/>
        </w:rPr>
        <w:t>C TH</w:t>
      </w:r>
      <w:r>
        <w:rPr>
          <w:szCs w:val="28"/>
        </w:rPr>
        <w:t>Ự</w:t>
      </w:r>
      <w:r>
        <w:rPr>
          <w:szCs w:val="28"/>
        </w:rPr>
        <w:t>C HI</w:t>
      </w:r>
      <w:r>
        <w:rPr>
          <w:szCs w:val="28"/>
        </w:rPr>
        <w:t>Ệ</w:t>
      </w:r>
      <w:r>
        <w:rPr>
          <w:szCs w:val="28"/>
        </w:rPr>
        <w:t>N</w:t>
      </w:r>
    </w:p>
    <w:p w:rsidR="00E708FF" w:rsidRDefault="007464F7">
      <w:pPr>
        <w:pStyle w:val="Default"/>
        <w:spacing w:before="120" w:after="120"/>
        <w:ind w:firstLine="680"/>
        <w:jc w:val="both"/>
        <w:rPr>
          <w:b/>
          <w:color w:val="auto"/>
          <w:sz w:val="28"/>
          <w:szCs w:val="28"/>
        </w:rPr>
      </w:pPr>
      <w:r>
        <w:rPr>
          <w:b/>
          <w:color w:val="auto"/>
          <w:sz w:val="28"/>
          <w:szCs w:val="28"/>
        </w:rPr>
        <w:t xml:space="preserve">Điều 5. Trách nhiệm thực hiện </w:t>
      </w:r>
    </w:p>
    <w:p w:rsidR="00E708FF" w:rsidRDefault="007464F7">
      <w:pPr>
        <w:pStyle w:val="Default"/>
        <w:spacing w:before="120" w:after="120"/>
        <w:ind w:firstLine="680"/>
        <w:jc w:val="both"/>
        <w:rPr>
          <w:color w:val="auto"/>
          <w:sz w:val="28"/>
          <w:szCs w:val="28"/>
        </w:rPr>
      </w:pPr>
      <w:r>
        <w:rPr>
          <w:color w:val="auto"/>
          <w:sz w:val="28"/>
          <w:szCs w:val="28"/>
        </w:rPr>
        <w:t xml:space="preserve">1. Sở Nông nghiệp và Môi trường chủ trì, phối hợp với các sở, ngành tỉnh có liên quan và Chủ tịch Ủy ban nhân dân các xã, phường tổ chức triển khai, đôn đốc, theo dõi, kiểm tra thực hiện </w:t>
      </w:r>
      <w:r>
        <w:rPr>
          <w:color w:val="auto"/>
          <w:sz w:val="28"/>
          <w:szCs w:val="28"/>
        </w:rPr>
        <w:t>Quyết định này.</w:t>
      </w:r>
    </w:p>
    <w:p w:rsidR="00E708FF" w:rsidRDefault="007464F7">
      <w:pPr>
        <w:pStyle w:val="Default"/>
        <w:spacing w:before="120" w:after="120"/>
        <w:ind w:firstLine="680"/>
        <w:jc w:val="both"/>
        <w:rPr>
          <w:color w:val="auto"/>
          <w:sz w:val="28"/>
          <w:szCs w:val="28"/>
        </w:rPr>
      </w:pPr>
      <w:r>
        <w:rPr>
          <w:color w:val="auto"/>
          <w:sz w:val="28"/>
          <w:szCs w:val="28"/>
        </w:rPr>
        <w:t xml:space="preserve">2. Ủy ban nhân dân các xã, phường có trách nhiệm chỉ đạo tổ chức thực hiện, kiểm tra, xử lý các trường hợp xây dựng công trình phục vụ sản xuất nông nghiệp không đúng quy định; chịu trách nhiệm trước Ủy ban nhân dân tỉnh nếu để xảy ra tình </w:t>
      </w:r>
      <w:r>
        <w:rPr>
          <w:color w:val="auto"/>
          <w:sz w:val="28"/>
          <w:szCs w:val="28"/>
        </w:rPr>
        <w:t>trạng xây dựng công trình phục vụ trực tiếp sản xuất nông nghiệp vi phạm pháp luật trên đất thuộc địa bàn quản lý.</w:t>
      </w:r>
    </w:p>
    <w:p w:rsidR="00E708FF" w:rsidRDefault="007464F7">
      <w:pPr>
        <w:pStyle w:val="Default"/>
        <w:spacing w:before="120" w:after="120"/>
        <w:ind w:firstLine="680"/>
        <w:jc w:val="both"/>
        <w:rPr>
          <w:b/>
          <w:bCs/>
          <w:color w:val="auto"/>
          <w:sz w:val="28"/>
          <w:szCs w:val="28"/>
        </w:rPr>
      </w:pPr>
      <w:r>
        <w:rPr>
          <w:b/>
          <w:bCs/>
          <w:color w:val="auto"/>
          <w:sz w:val="28"/>
          <w:szCs w:val="28"/>
        </w:rPr>
        <w:t xml:space="preserve">Điều 6. Điều khoản thi hành </w:t>
      </w:r>
    </w:p>
    <w:p w:rsidR="00E708FF" w:rsidRDefault="007464F7">
      <w:pPr>
        <w:pStyle w:val="Default"/>
        <w:spacing w:before="120" w:after="120"/>
        <w:ind w:firstLine="680"/>
        <w:jc w:val="both"/>
        <w:rPr>
          <w:color w:val="auto"/>
          <w:sz w:val="28"/>
          <w:szCs w:val="28"/>
          <w:shd w:val="clear" w:color="auto" w:fill="FFFFFF"/>
        </w:rPr>
      </w:pPr>
      <w:r>
        <w:rPr>
          <w:color w:val="auto"/>
          <w:sz w:val="28"/>
          <w:szCs w:val="28"/>
        </w:rPr>
        <w:t>1. Trong quá trình thực hiện, nếu có thay đổi chính sách liên quan của Nhà nước hoặc có phát sinh khó khăn, vướn</w:t>
      </w:r>
      <w:r>
        <w:rPr>
          <w:color w:val="auto"/>
          <w:sz w:val="28"/>
          <w:szCs w:val="28"/>
        </w:rPr>
        <w:t>g mắc hoặc cần thiết điều chỉnh, bổ sung thêm quy định cho phù hợp với điều kiện thực tế thì Ủy ban nhân dân các xã, phường, các cơ quan và đơn vị báo cáo về Sở Nông nghiệp và Môi trường để nghiên cứu, phối hợp với các sở, ngành có liên quan tổng hợp, tham</w:t>
      </w:r>
      <w:r>
        <w:rPr>
          <w:color w:val="auto"/>
          <w:sz w:val="28"/>
          <w:szCs w:val="28"/>
        </w:rPr>
        <w:t xml:space="preserve"> mưu, đề xuất Ủy ban nhân dân tỉnh xem xét, sửa đổi bổ sung cho phù hợp.</w:t>
      </w:r>
    </w:p>
    <w:p w:rsidR="00E708FF" w:rsidRDefault="007464F7">
      <w:pPr>
        <w:pStyle w:val="Default"/>
        <w:spacing w:before="120" w:after="120"/>
        <w:ind w:firstLine="680"/>
        <w:jc w:val="both"/>
        <w:rPr>
          <w:color w:val="auto"/>
          <w:sz w:val="28"/>
          <w:szCs w:val="28"/>
          <w:shd w:val="clear" w:color="auto" w:fill="FFFFFF"/>
        </w:rPr>
      </w:pPr>
      <w:r>
        <w:rPr>
          <w:color w:val="auto"/>
          <w:sz w:val="28"/>
          <w:szCs w:val="28"/>
        </w:rPr>
        <w:t>2. Quyết định này có hiệu lực kể từ ngày</w:t>
      </w:r>
      <w:r w:rsidR="00F61E16">
        <w:rPr>
          <w:color w:val="auto"/>
          <w:sz w:val="28"/>
          <w:szCs w:val="28"/>
        </w:rPr>
        <w:t xml:space="preserve"> 20</w:t>
      </w:r>
      <w:r>
        <w:rPr>
          <w:color w:val="auto"/>
          <w:sz w:val="28"/>
          <w:szCs w:val="28"/>
        </w:rPr>
        <w:t xml:space="preserve"> / </w:t>
      </w:r>
      <w:r w:rsidR="00F61E16">
        <w:rPr>
          <w:color w:val="auto"/>
          <w:sz w:val="28"/>
          <w:szCs w:val="28"/>
        </w:rPr>
        <w:t>4</w:t>
      </w:r>
      <w:r>
        <w:rPr>
          <w:color w:val="auto"/>
          <w:sz w:val="28"/>
          <w:szCs w:val="28"/>
        </w:rPr>
        <w:t xml:space="preserve"> /2026 và thay thế Quyết định số 32/2025/QĐ-UBND ngày 02/4/2025 của Ủy ban nhân dân tỉnh Long An quy định về việc sử dụng một diện tí</w:t>
      </w:r>
      <w:r>
        <w:rPr>
          <w:color w:val="auto"/>
          <w:sz w:val="28"/>
          <w:szCs w:val="28"/>
        </w:rPr>
        <w:t>ch đất nông nghiệp để xây dựng công trình phục vụ trực tiếp sản xuất nông nghiệp trên địa bàn tỉnh Long An (trước sáp nhập) và Quyết định số 45/2024/QĐ-UBND ngày 15/10/2024 của Ủy ban nhân dân tỉnh Tây Ninh quy định diện tích đất nông nghiệp được sử dụng đ</w:t>
      </w:r>
      <w:r>
        <w:rPr>
          <w:color w:val="auto"/>
          <w:sz w:val="28"/>
          <w:szCs w:val="28"/>
        </w:rPr>
        <w:t>ể xây dựng công trình phục vụ trực tiếp sản xuất nông nghiệp trên địa bàn tỉnh Tây Ninh (trước sáp nhập).</w:t>
      </w:r>
    </w:p>
    <w:p w:rsidR="00E708FF" w:rsidRDefault="007464F7">
      <w:pPr>
        <w:pStyle w:val="Default"/>
        <w:spacing w:before="120" w:after="120"/>
        <w:ind w:firstLine="680"/>
        <w:jc w:val="both"/>
        <w:rPr>
          <w:color w:val="auto"/>
          <w:sz w:val="28"/>
          <w:szCs w:val="28"/>
          <w:shd w:val="clear" w:color="auto" w:fill="FFFFFF"/>
        </w:rPr>
      </w:pPr>
      <w:r>
        <w:rPr>
          <w:color w:val="auto"/>
          <w:sz w:val="28"/>
          <w:szCs w:val="28"/>
        </w:rPr>
        <w:lastRenderedPageBreak/>
        <w:t>Trường hợp các văn bản quy phạm pháp luật viện dẫn trong Quyết định này được sửa đổi, bổ sung hoặc thay thế thì áp dụng theo các văn bản sửa đổi, bổ s</w:t>
      </w:r>
      <w:r>
        <w:rPr>
          <w:color w:val="auto"/>
          <w:sz w:val="28"/>
          <w:szCs w:val="28"/>
        </w:rPr>
        <w:t>ung hoặc thay thế.</w:t>
      </w:r>
    </w:p>
    <w:p w:rsidR="00E708FF" w:rsidRDefault="007464F7">
      <w:pPr>
        <w:pStyle w:val="Default"/>
        <w:spacing w:before="120" w:after="120"/>
        <w:ind w:firstLine="680"/>
        <w:jc w:val="both"/>
        <w:rPr>
          <w:color w:val="auto"/>
          <w:sz w:val="28"/>
          <w:szCs w:val="28"/>
        </w:rPr>
      </w:pPr>
      <w:r>
        <w:rPr>
          <w:color w:val="auto"/>
          <w:sz w:val="28"/>
          <w:szCs w:val="28"/>
        </w:rPr>
        <w:t>3. Chánh Văn phòng Ủy ban nhân dân tỉnh, Thủ trưởng các sở, ban, ngành tỉnh; Chủ tịch Ủy ban nhân dân các xã, phường và Thủ trưởng các cơ quan, đơn vị có liên quan chịu trách nhiệm thi hành quyết định này</w:t>
      </w:r>
      <w:bookmarkStart w:id="12" w:name="_Hlk99960327"/>
      <w:bookmarkStart w:id="13" w:name="_Hlk76133599"/>
      <w:bookmarkEnd w:id="0"/>
      <w:bookmarkEnd w:id="1"/>
      <w:r>
        <w:rPr>
          <w:color w:val="auto"/>
          <w:sz w:val="28"/>
          <w:szCs w:val="28"/>
        </w:rPr>
        <w:t>.</w:t>
      </w:r>
    </w:p>
    <w:p w:rsidR="00E708FF" w:rsidRDefault="007464F7">
      <w:pPr>
        <w:spacing w:before="120" w:after="120"/>
        <w:ind w:firstLine="709"/>
        <w:jc w:val="both"/>
        <w:rPr>
          <w:b/>
          <w:bCs/>
        </w:rPr>
      </w:pPr>
      <w:r>
        <w:rPr>
          <w:b/>
          <w:bCs/>
        </w:rPr>
        <w:t>Điều 7. Điều khoản chuyển tiếp</w:t>
      </w:r>
    </w:p>
    <w:p w:rsidR="00E708FF" w:rsidRDefault="007464F7">
      <w:pPr>
        <w:pStyle w:val="Default"/>
        <w:spacing w:before="120" w:after="120"/>
        <w:ind w:firstLine="680"/>
        <w:jc w:val="both"/>
        <w:rPr>
          <w:color w:val="auto"/>
          <w:sz w:val="28"/>
          <w:szCs w:val="28"/>
          <w:shd w:val="clear" w:color="auto" w:fill="FFFFFF"/>
        </w:rPr>
      </w:pPr>
      <w:r>
        <w:rPr>
          <w:color w:val="auto"/>
          <w:sz w:val="28"/>
          <w:szCs w:val="28"/>
        </w:rPr>
        <w:t>1. Đối với các công trình phục vụ trực tiếp sản xuất nông nghiệp đã hoàn thành xây dựng trước ngày Quyết định này có hiệu lực thi hành và phù hợp với quy định về diện tích tại Quyết định số 32/2025/QĐ-UBND ngày 02/4/2025 của Ủy ban nhân dân tỉnh Long An qu</w:t>
      </w:r>
      <w:r>
        <w:rPr>
          <w:color w:val="auto"/>
          <w:sz w:val="28"/>
          <w:szCs w:val="28"/>
        </w:rPr>
        <w:t>y định về việc sử dụng một diện tích đất nông nghiệp để xây dựng công trình phục vụ trực tiếp sản xuất nông nghiệp trên địa bàn tỉnh Long An (trước sáp nhập) và Quyết định số 45/2024/QĐ-UBND ngày 15/10/2024 của Ủy ban nhân dân tỉnh Tây Ninh quy định diện t</w:t>
      </w:r>
      <w:r>
        <w:rPr>
          <w:color w:val="auto"/>
          <w:sz w:val="28"/>
          <w:szCs w:val="28"/>
        </w:rPr>
        <w:t>ích đất nông nghiệp được sử dụng để xây dựng công trình phục vụ trực tiếp sản xuất nông nghiệp trên địa bàn tỉnh Tây Ninh (trước sáp nhập) thì người sử dụng đất được tiếp tục duy trì và sử dụng công trình theo hiện trạng đã xây dựng.</w:t>
      </w:r>
    </w:p>
    <w:p w:rsidR="00E708FF" w:rsidRDefault="007464F7">
      <w:pPr>
        <w:pStyle w:val="Default"/>
        <w:spacing w:before="120" w:after="120"/>
        <w:ind w:firstLine="680"/>
        <w:jc w:val="both"/>
        <w:rPr>
          <w:color w:val="auto"/>
          <w:sz w:val="28"/>
          <w:szCs w:val="28"/>
        </w:rPr>
      </w:pPr>
      <w:r>
        <w:rPr>
          <w:color w:val="auto"/>
          <w:sz w:val="28"/>
          <w:szCs w:val="28"/>
        </w:rPr>
        <w:t>2. Trường hợp diện tíc</w:t>
      </w:r>
      <w:r>
        <w:rPr>
          <w:color w:val="auto"/>
          <w:sz w:val="28"/>
          <w:szCs w:val="28"/>
        </w:rPr>
        <w:t>h đã xây dựng công trình phục vụ trực tiếp sản xuất nông nghiệp thấp hơn mức quy định tại Quyết định này thì người sử dụng đất được mở rộng hoặc cải tạo công trình phục vụ trực tiếp sản xuất nông nghiệp theo diện tích quy định tại Điều 3 Quyết định này./.</w:t>
      </w:r>
    </w:p>
    <w:p w:rsidR="00E708FF" w:rsidRDefault="00E708FF">
      <w:pPr>
        <w:spacing w:before="40"/>
        <w:ind w:firstLine="720"/>
        <w:jc w:val="both"/>
        <w:rPr>
          <w:sz w:val="6"/>
          <w:szCs w:val="22"/>
        </w:rPr>
      </w:pPr>
    </w:p>
    <w:tbl>
      <w:tblPr>
        <w:tblW w:w="9150" w:type="dxa"/>
        <w:tblInd w:w="-145" w:type="dxa"/>
        <w:tblLook w:val="04A0" w:firstRow="1" w:lastRow="0" w:firstColumn="1" w:lastColumn="0" w:noHBand="0" w:noVBand="1"/>
      </w:tblPr>
      <w:tblGrid>
        <w:gridCol w:w="4114"/>
        <w:gridCol w:w="5036"/>
      </w:tblGrid>
      <w:tr w:rsidR="00E708FF">
        <w:trPr>
          <w:trHeight w:val="80"/>
        </w:trPr>
        <w:tc>
          <w:tcPr>
            <w:tcW w:w="4114" w:type="dxa"/>
          </w:tcPr>
          <w:p w:rsidR="00E708FF" w:rsidRDefault="007464F7">
            <w:pPr>
              <w:tabs>
                <w:tab w:val="center" w:pos="6322"/>
              </w:tabs>
              <w:jc w:val="both"/>
              <w:rPr>
                <w:b/>
                <w:i/>
                <w:iCs/>
                <w:sz w:val="24"/>
                <w:szCs w:val="24"/>
              </w:rPr>
            </w:pPr>
            <w:r>
              <w:rPr>
                <w:b/>
                <w:i/>
                <w:iCs/>
                <w:sz w:val="24"/>
                <w:szCs w:val="24"/>
              </w:rPr>
              <w:t>Nơi nhận:</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Bộ Nông Nghiệp và Môi trường;</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xml:space="preserve">- Cục Kiểm tra văn bản và Tổ chức </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thi hành pháp luật – Bộ Tư pháp;</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Vụ Pháp chế - Bộ NN&amp;MT;</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TT. TU, TT. HĐND tỉnh;</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CT, PCT.UBND tỉnh;</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UBMTTQVN tỉnh và các tổ chức chính trị - xã hội;</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CVP, PCVP.UBND tỉnh;</w:t>
            </w:r>
          </w:p>
          <w:p w:rsidR="00E708FF" w:rsidRDefault="007464F7">
            <w:pPr>
              <w:rPr>
                <w:sz w:val="22"/>
              </w:rPr>
            </w:pPr>
            <w:r>
              <w:rPr>
                <w:sz w:val="22"/>
              </w:rPr>
              <w:t>- Các sở, ban, ngành tỉnh;</w:t>
            </w:r>
          </w:p>
          <w:p w:rsidR="00E708FF" w:rsidRDefault="007464F7">
            <w:pPr>
              <w:rPr>
                <w:sz w:val="22"/>
              </w:rPr>
            </w:pPr>
            <w:r>
              <w:rPr>
                <w:sz w:val="22"/>
              </w:rPr>
              <w:t>- Ủy ban nhân dân các xã, phường;</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rPr>
              <w:t>- Trung tâm Công báo - Tin học;</w:t>
            </w:r>
          </w:p>
          <w:p w:rsidR="00E708FF" w:rsidRDefault="007464F7">
            <w:pPr>
              <w:tabs>
                <w:tab w:val="left" w:pos="6323"/>
              </w:tabs>
              <w:jc w:val="both"/>
              <w:rPr>
                <w:sz w:val="22"/>
              </w:rPr>
            </w:pPr>
            <w:r>
              <w:rPr>
                <w:sz w:val="22"/>
              </w:rPr>
              <w:t>- Phòng: TH, KTTC, VHXH, NC;</w:t>
            </w:r>
          </w:p>
          <w:p w:rsidR="00E708FF" w:rsidRDefault="007464F7">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8"/>
                <w:szCs w:val="8"/>
                <w:lang w:eastAsia="en-GB"/>
              </w:rPr>
            </w:pPr>
            <w:r>
              <w:rPr>
                <w:sz w:val="22"/>
              </w:rPr>
              <w:t>- Lưu: VT, Luan.</w:t>
            </w:r>
          </w:p>
        </w:tc>
        <w:tc>
          <w:tcPr>
            <w:tcW w:w="5036" w:type="dxa"/>
          </w:tcPr>
          <w:p w:rsidR="00E708FF" w:rsidRDefault="007464F7">
            <w:pPr>
              <w:tabs>
                <w:tab w:val="center" w:pos="6322"/>
              </w:tabs>
              <w:ind w:left="-162"/>
              <w:jc w:val="center"/>
              <w:rPr>
                <w:b/>
                <w:bCs/>
              </w:rPr>
            </w:pPr>
            <w:r>
              <w:rPr>
                <w:b/>
                <w:bCs/>
              </w:rPr>
              <w:t>TM. ỦY BAN NHÂN DÂN</w:t>
            </w:r>
          </w:p>
          <w:p w:rsidR="00E708FF" w:rsidRDefault="007464F7">
            <w:pPr>
              <w:tabs>
                <w:tab w:val="center" w:pos="6322"/>
              </w:tabs>
              <w:ind w:left="-162"/>
              <w:jc w:val="center"/>
              <w:rPr>
                <w:b/>
                <w:bCs/>
              </w:rPr>
            </w:pPr>
            <w:r>
              <w:rPr>
                <w:b/>
                <w:bCs/>
              </w:rPr>
              <w:t>CHỦ TỊCH</w:t>
            </w:r>
            <w:bookmarkEnd w:id="2"/>
            <w:bookmarkEnd w:id="3"/>
            <w:bookmarkEnd w:id="4"/>
            <w:bookmarkEnd w:id="5"/>
            <w:bookmarkEnd w:id="12"/>
            <w:bookmarkEnd w:id="13"/>
          </w:p>
        </w:tc>
      </w:tr>
    </w:tbl>
    <w:p w:rsidR="00E708FF" w:rsidRDefault="00E708FF"/>
    <w:sectPr w:rsidR="00E708FF">
      <w:headerReference w:type="default" r:id="rId9"/>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4F7" w:rsidRDefault="007464F7">
      <w:r>
        <w:separator/>
      </w:r>
    </w:p>
  </w:endnote>
  <w:endnote w:type="continuationSeparator" w:id="0">
    <w:p w:rsidR="007464F7" w:rsidRDefault="00746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TimesNewRomanPS-ItalicM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4F7" w:rsidRDefault="007464F7">
      <w:r>
        <w:separator/>
      </w:r>
    </w:p>
  </w:footnote>
  <w:footnote w:type="continuationSeparator" w:id="0">
    <w:p w:rsidR="007464F7" w:rsidRDefault="007464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0401450"/>
    </w:sdtPr>
    <w:sdtEndPr/>
    <w:sdtContent>
      <w:p w:rsidR="00E708FF" w:rsidRDefault="007464F7">
        <w:pPr>
          <w:pStyle w:val="Header"/>
          <w:jc w:val="center"/>
        </w:pPr>
        <w:r>
          <w:fldChar w:fldCharType="begin"/>
        </w:r>
        <w:r>
          <w:instrText xml:space="preserve"> PAGE   \* MERGEFORMAT </w:instrText>
        </w:r>
        <w:r>
          <w:fldChar w:fldCharType="separate"/>
        </w:r>
        <w:r w:rsidR="00F61E16">
          <w:rPr>
            <w:noProof/>
          </w:rPr>
          <w:t>2</w:t>
        </w:r>
        <w:r>
          <w:fldChar w:fldCharType="end"/>
        </w:r>
      </w:p>
    </w:sdtContent>
  </w:sdt>
  <w:p w:rsidR="00E708FF" w:rsidRDefault="00E708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C6437D"/>
    <w:multiLevelType w:val="multilevel"/>
    <w:tmpl w:val="C3B443E6"/>
    <w:lvl w:ilvl="0">
      <w:start w:val="1"/>
      <w:numFmt w:val="bullet"/>
      <w:lvlText w:val="-"/>
      <w:lvlJc w:val="left"/>
      <w:pPr>
        <w:ind w:left="1066" w:hanging="360"/>
      </w:pPr>
      <w:rPr>
        <w:rFonts w:ascii="Times New Roman" w:eastAsia="Times New Roman" w:hAnsi="Times New Roman" w:cs="Times New Roman"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1">
    <w:nsid w:val="15800E54"/>
    <w:multiLevelType w:val="multilevel"/>
    <w:tmpl w:val="D5547218"/>
    <w:lvl w:ilvl="0">
      <w:start w:val="1"/>
      <w:numFmt w:val="bullet"/>
      <w:lvlText w:val="-"/>
      <w:lvlJc w:val="left"/>
      <w:pPr>
        <w:ind w:left="1066" w:hanging="360"/>
      </w:pPr>
      <w:rPr>
        <w:rFonts w:ascii="Times New Roman" w:eastAsia="Times New Roman" w:hAnsi="Times New Roman" w:cs="Times New Roman"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2">
    <w:nsid w:val="1A950237"/>
    <w:multiLevelType w:val="multilevel"/>
    <w:tmpl w:val="340ABACC"/>
    <w:lvl w:ilvl="0">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nsid w:val="2FAD3C70"/>
    <w:multiLevelType w:val="multilevel"/>
    <w:tmpl w:val="9ADECD1A"/>
    <w:lvl w:ilvl="0">
      <w:start w:val="1"/>
      <w:numFmt w:val="decimal"/>
      <w:suff w:val="space"/>
      <w:lvlText w:val="%1."/>
      <w:lvlJc w:val="left"/>
      <w:pPr>
        <w:ind w:left="131"/>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4">
    <w:nsid w:val="3DD37A19"/>
    <w:multiLevelType w:val="multilevel"/>
    <w:tmpl w:val="AD04E966"/>
    <w:lvl w:ilvl="0">
      <w:start w:val="2"/>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5">
    <w:nsid w:val="3E25491C"/>
    <w:multiLevelType w:val="multilevel"/>
    <w:tmpl w:val="04B4CE20"/>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6">
    <w:nsid w:val="49A74F34"/>
    <w:multiLevelType w:val="multilevel"/>
    <w:tmpl w:val="636EF848"/>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7">
    <w:nsid w:val="50616243"/>
    <w:multiLevelType w:val="multilevel"/>
    <w:tmpl w:val="F79EF726"/>
    <w:lvl w:ilvl="0">
      <w:start w:val="1"/>
      <w:numFmt w:val="bullet"/>
      <w:lvlText w:val="-"/>
      <w:lvlJc w:val="left"/>
      <w:pPr>
        <w:ind w:left="1066" w:hanging="360"/>
      </w:pPr>
      <w:rPr>
        <w:rFonts w:ascii="Times New Roman" w:eastAsia="Times New Roman" w:hAnsi="Times New Roman" w:cs="Times New Roman" w:hint="default"/>
        <w:color w:val="FF0000"/>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8">
    <w:nsid w:val="55E576AE"/>
    <w:multiLevelType w:val="multilevel"/>
    <w:tmpl w:val="7AC077A6"/>
    <w:lvl w:ilvl="0">
      <w:start w:val="1"/>
      <w:numFmt w:val="lowerLetter"/>
      <w:lvlText w:val="%1)"/>
      <w:lvlJc w:val="left"/>
      <w:pPr>
        <w:ind w:left="1066" w:hanging="360"/>
      </w:pPr>
      <w:rPr>
        <w:rFonts w:hint="default"/>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abstractNum w:abstractNumId="9">
    <w:nsid w:val="56AC4C47"/>
    <w:multiLevelType w:val="multilevel"/>
    <w:tmpl w:val="2D1E2AD6"/>
    <w:lvl w:ilvl="0">
      <w:start w:val="2"/>
      <w:numFmt w:val="bullet"/>
      <w:lvlText w:val="-"/>
      <w:lvlJc w:val="left"/>
      <w:pPr>
        <w:ind w:left="1066" w:hanging="360"/>
      </w:pPr>
      <w:rPr>
        <w:rFonts w:ascii="Times New Roman" w:eastAsia="Times New Roman" w:hAnsi="Times New Roman" w:cs="Times New Roman" w:hint="default"/>
        <w:b w:val="0"/>
        <w:color w:val="FF0000"/>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10">
    <w:nsid w:val="576511A1"/>
    <w:multiLevelType w:val="multilevel"/>
    <w:tmpl w:val="024C6D78"/>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num w:numId="1">
    <w:abstractNumId w:val="5"/>
  </w:num>
  <w:num w:numId="2">
    <w:abstractNumId w:val="3"/>
  </w:num>
  <w:num w:numId="3">
    <w:abstractNumId w:val="10"/>
  </w:num>
  <w:num w:numId="4">
    <w:abstractNumId w:val="4"/>
  </w:num>
  <w:num w:numId="5">
    <w:abstractNumId w:val="6"/>
  </w:num>
  <w:num w:numId="6">
    <w:abstractNumId w:val="8"/>
  </w:num>
  <w:num w:numId="7">
    <w:abstractNumId w:val="0"/>
  </w:num>
  <w:num w:numId="8">
    <w:abstractNumId w:val="1"/>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8FF"/>
    <w:rsid w:val="004A7BC7"/>
    <w:rsid w:val="007464F7"/>
    <w:rsid w:val="00A20EC9"/>
    <w:rsid w:val="00E708FF"/>
    <w:rsid w:val="00F61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61826D-F4AA-4A43-AE7C-17DBC10E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8"/>
      <w:szCs w:val="28"/>
    </w:rPr>
  </w:style>
  <w:style w:type="paragraph" w:styleId="Heading1">
    <w:name w:val="heading 1"/>
    <w:basedOn w:val="Normal"/>
    <w:next w:val="Normal"/>
    <w:link w:val="Heading1Char"/>
    <w:uiPriority w:val="9"/>
    <w:qFormat/>
    <w:pPr>
      <w:keepNext/>
      <w:keepLines/>
      <w:spacing w:before="120" w:after="120"/>
      <w:jc w:val="center"/>
      <w:outlineLvl w:val="0"/>
    </w:pPr>
    <w:rPr>
      <w:rFonts w:eastAsia="Arial" w:cs="Arial"/>
      <w:b/>
      <w:szCs w:val="40"/>
    </w:rPr>
  </w:style>
  <w:style w:type="paragraph" w:styleId="Heading2">
    <w:name w:val="heading 2"/>
    <w:basedOn w:val="Normal"/>
    <w:next w:val="Normal"/>
    <w:link w:val="Heading2Char"/>
    <w:uiPriority w:val="9"/>
    <w:unhideWhenUsed/>
    <w:qFormat/>
    <w:pPr>
      <w:keepNext/>
      <w:keepLines/>
      <w:spacing w:before="120" w:after="120"/>
      <w:ind w:firstLine="709"/>
      <w:jc w:val="both"/>
      <w:outlineLvl w:val="1"/>
    </w:pPr>
    <w:rPr>
      <w:rFonts w:eastAsia="Arial" w:cs="Arial"/>
      <w: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paragraph" w:styleId="TOCHeading">
    <w:name w:val="TOC Heading"/>
    <w:uiPriority w:val="39"/>
    <w:unhideWhenUsed/>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qFormat/>
    <w:pPr>
      <w:ind w:left="720" w:firstLine="720"/>
      <w:jc w:val="both"/>
    </w:pPr>
    <w:rPr>
      <w:rFonts w:ascii="VNI-Times" w:hAnsi="VNI-Times"/>
      <w:sz w:val="26"/>
      <w:szCs w:val="20"/>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rPr>
      <w:color w:val="0000FF"/>
      <w:u w:val="single"/>
    </w:rPr>
  </w:style>
  <w:style w:type="paragraph" w:styleId="NormalWeb">
    <w:name w:val="Normal (Web)"/>
    <w:basedOn w:val="Normal"/>
    <w:uiPriority w:val="99"/>
    <w:unhideWhenUsed/>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en-GB" w:eastAsia="en-GB"/>
    </w:rPr>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qFormat/>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character" w:customStyle="1" w:styleId="CaptionChar">
    <w:name w:val="Caption Char"/>
    <w:uiPriority w:val="99"/>
  </w:style>
  <w:style w:type="table" w:customStyle="1" w:styleId="TableGridLight1">
    <w:name w:val="Table Grid Light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EndnoteTextChar">
    <w:name w:val="Endnote Text Char"/>
    <w:link w:val="EndnoteText"/>
    <w:uiPriority w:val="99"/>
    <w:rPr>
      <w:sz w:val="20"/>
    </w:rPr>
  </w:style>
  <w:style w:type="character" w:customStyle="1" w:styleId="Heading1Char">
    <w:name w:val="Heading 1 Char"/>
    <w:basedOn w:val="DefaultParagraphFont"/>
    <w:link w:val="Heading1"/>
    <w:uiPriority w:val="9"/>
    <w:qFormat/>
    <w:rPr>
      <w:rFonts w:eastAsia="Arial" w:cs="Arial"/>
      <w:b/>
      <w:sz w:val="28"/>
      <w:szCs w:val="40"/>
    </w:rPr>
  </w:style>
  <w:style w:type="character" w:customStyle="1" w:styleId="Heading2Char">
    <w:name w:val="Heading 2 Char"/>
    <w:basedOn w:val="DefaultParagraphFont"/>
    <w:link w:val="Heading2"/>
    <w:uiPriority w:val="9"/>
    <w:qFormat/>
    <w:rPr>
      <w:rFonts w:eastAsia="Arial" w:cs="Arial"/>
      <w:b/>
      <w:sz w:val="28"/>
      <w:szCs w:val="28"/>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rPr>
      <w:rFonts w:eastAsia="Times New Roman"/>
      <w:szCs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rPr>
      <w:rFonts w:eastAsia="Times New Roman"/>
      <w:szCs w:val="22"/>
    </w:rPr>
  </w:style>
  <w:style w:type="paragraph" w:customStyle="1" w:styleId="CharCharChar">
    <w:name w:val="Char Char Char"/>
    <w:basedOn w:val="Normal"/>
    <w:next w:val="Normal"/>
    <w:semiHidden/>
    <w:qFormat/>
    <w:pPr>
      <w:spacing w:before="120" w:after="120" w:line="312"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paragraph" w:styleId="BodyText">
    <w:name w:val="Body Text"/>
    <w:basedOn w:val="Normal"/>
    <w:link w:val="BodyTextChar"/>
    <w:qFormat/>
    <w:pPr>
      <w:pBdr>
        <w:top w:val="none" w:sz="0" w:space="0" w:color="000000"/>
        <w:left w:val="none" w:sz="0" w:space="0" w:color="000000"/>
        <w:bottom w:val="none" w:sz="0" w:space="0" w:color="000000"/>
        <w:right w:val="none" w:sz="0" w:space="0" w:color="000000"/>
        <w:between w:val="none" w:sz="0" w:space="0" w:color="000000"/>
      </w:pBdr>
      <w:jc w:val="both"/>
    </w:pPr>
  </w:style>
  <w:style w:type="character" w:customStyle="1" w:styleId="BodyTextChar">
    <w:name w:val="Body Text Char"/>
    <w:basedOn w:val="DefaultParagraphFont"/>
    <w:link w:val="BodyText"/>
    <w:rPr>
      <w:rFonts w:eastAsia="Times New Roman"/>
      <w:sz w:val="28"/>
      <w:szCs w:val="28"/>
    </w:rPr>
  </w:style>
  <w:style w:type="paragraph" w:styleId="BodyText2">
    <w:name w:val="Body Text 2"/>
    <w:basedOn w:val="Normal"/>
    <w:link w:val="BodyText2Char"/>
    <w:qFormat/>
    <w:pPr>
      <w:pBdr>
        <w:top w:val="none" w:sz="0" w:space="0" w:color="000000"/>
        <w:left w:val="none" w:sz="0" w:space="0" w:color="000000"/>
        <w:bottom w:val="none" w:sz="0" w:space="0" w:color="000000"/>
        <w:right w:val="none" w:sz="0" w:space="0" w:color="000000"/>
        <w:between w:val="none" w:sz="0" w:space="0" w:color="000000"/>
      </w:pBdr>
      <w:ind w:firstLine="432"/>
      <w:jc w:val="both"/>
    </w:pPr>
    <w:rPr>
      <w:rFonts w:ascii="VNI-Times" w:hAnsi="VNI-Times"/>
    </w:rPr>
  </w:style>
  <w:style w:type="character" w:customStyle="1" w:styleId="BodyText2Char">
    <w:name w:val="Body Text 2 Char"/>
    <w:basedOn w:val="DefaultParagraphFont"/>
    <w:link w:val="BodyText2"/>
    <w:rPr>
      <w:rFonts w:ascii="VNI-Times" w:eastAsia="Times New Roman" w:hAnsi="VNI-Times"/>
      <w:sz w:val="28"/>
      <w:szCs w:val="28"/>
    </w:rPr>
  </w:style>
  <w:style w:type="character" w:styleId="PageNumber">
    <w:name w:val="page number"/>
    <w:basedOn w:val="DefaultParagraphFont"/>
    <w:qFormat/>
  </w:style>
  <w:style w:type="table" w:customStyle="1" w:styleId="BangThun11">
    <w:name w:val="Bảng Thuần 11"/>
    <w:uiPriority w:val="59"/>
    <w:rPr>
      <w:rFonts w:eastAsia="Times New Roman"/>
      <w:lang w:bidi="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BangThun21">
    <w:name w:val="Bảng Thuần  21"/>
    <w:uiPriority w:val="59"/>
    <w:qFormat/>
    <w:rPr>
      <w:rFonts w:eastAsia="Times New Roman"/>
      <w:lang w:bidi="en-US"/>
    </w:rPr>
    <w:tblPr>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BangThun31">
    <w:name w:val="Bảng Thuần  31"/>
    <w:uiPriority w:val="99"/>
    <w:rPr>
      <w:rFonts w:eastAsia="Times New Roman"/>
      <w:lang w:bidi="en-US"/>
    </w:rPr>
    <w:tblPr>
      <w:tblCellMar>
        <w:top w:w="0" w:type="dxa"/>
        <w:left w:w="0" w:type="dxa"/>
        <w:bottom w:w="0" w:type="dxa"/>
        <w:right w:w="0" w:type="dxa"/>
      </w:tblCellMar>
    </w:tblPr>
  </w:style>
  <w:style w:type="table" w:customStyle="1" w:styleId="BangThun41">
    <w:name w:val="Bảng Thuần  41"/>
    <w:uiPriority w:val="99"/>
    <w:rPr>
      <w:rFonts w:eastAsia="Times New Roman"/>
      <w:lang w:bidi="en-US"/>
    </w:rPr>
    <w:tblPr>
      <w:tblCellMar>
        <w:top w:w="0" w:type="dxa"/>
        <w:left w:w="0" w:type="dxa"/>
        <w:bottom w:w="0" w:type="dxa"/>
        <w:right w:w="0" w:type="dxa"/>
      </w:tblCellMar>
    </w:tblPr>
  </w:style>
  <w:style w:type="table" w:customStyle="1" w:styleId="BangThun51">
    <w:name w:val="Bảng Thuần  51"/>
    <w:uiPriority w:val="99"/>
    <w:rPr>
      <w:rFonts w:eastAsia="Times New Roman"/>
      <w:lang w:bidi="en-US"/>
    </w:rPr>
    <w:tblPr>
      <w:tblCellMar>
        <w:top w:w="0" w:type="dxa"/>
        <w:left w:w="0" w:type="dxa"/>
        <w:bottom w:w="0" w:type="dxa"/>
        <w:right w:w="0" w:type="dxa"/>
      </w:tblCellMar>
    </w:tblPr>
  </w:style>
  <w:style w:type="table" w:customStyle="1" w:styleId="LiBng1Nhat1">
    <w:name w:val="Lưới Bảng 1 Nhạt1"/>
    <w:uiPriority w:val="99"/>
    <w:rPr>
      <w:rFonts w:eastAsia="Times New Roman"/>
      <w:lang w:bidi="en-US"/>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Libng21">
    <w:name w:val="Lưới bảng 21"/>
    <w:uiPriority w:val="99"/>
    <w:qFormat/>
    <w:rPr>
      <w:rFonts w:eastAsia="Times New Roman"/>
      <w:lang w:bidi="en-US"/>
    </w:rPr>
    <w:tblPr>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Libng31">
    <w:name w:val="Lưới bảng 31"/>
    <w:uiPriority w:val="99"/>
    <w:qFormat/>
    <w:rPr>
      <w:rFonts w:eastAsia="Times New Roman"/>
      <w:lang w:bidi="en-US"/>
    </w:rPr>
    <w:tblPr>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Libng41">
    <w:name w:val="Lưới bảng 41"/>
    <w:uiPriority w:val="59"/>
    <w:qFormat/>
    <w:rPr>
      <w:rFonts w:eastAsia="Times New Roman"/>
      <w:lang w:bidi="en-US"/>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BangLi5m1">
    <w:name w:val="Bảng Lưới 5 Đậm1"/>
    <w:uiPriority w:val="99"/>
    <w:qFormat/>
    <w:rPr>
      <w:rFonts w:eastAsia="Times New Roman"/>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BangLi6Nhiumusc1">
    <w:name w:val="Bảng Lưới 6 Nhiều màu sắc1"/>
    <w:uiPriority w:val="99"/>
    <w:qFormat/>
    <w:rPr>
      <w:rFonts w:eastAsia="Times New Roman"/>
      <w:lang w:bidi="en-US"/>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BangLi7Nhiumusc1">
    <w:name w:val="Bảng Lưới 7 Nhiều màu sắc1"/>
    <w:uiPriority w:val="99"/>
    <w:qFormat/>
    <w:rPr>
      <w:rFonts w:eastAsia="Times New Roman"/>
      <w:lang w:bidi="en-US"/>
    </w:rPr>
    <w:tblPr>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BangDanhsch1Nhat1">
    <w:name w:val="Bảng Danh sách 1 Nhạt1"/>
    <w:uiPriority w:val="99"/>
    <w:rPr>
      <w:rFonts w:eastAsia="Times New Roman"/>
      <w:lang w:bidi="en-US"/>
    </w:rPr>
    <w:tblPr>
      <w:tblCellMar>
        <w:top w:w="0" w:type="dxa"/>
        <w:left w:w="0" w:type="dxa"/>
        <w:bottom w:w="0" w:type="dxa"/>
        <w:right w:w="0" w:type="dxa"/>
      </w:tblCellMar>
    </w:tblPr>
  </w:style>
  <w:style w:type="table" w:customStyle="1" w:styleId="DanhschBng21">
    <w:name w:val="Danh sách Bảng 21"/>
    <w:uiPriority w:val="99"/>
    <w:qFormat/>
    <w:rPr>
      <w:rFonts w:eastAsia="Times New Roman"/>
      <w:lang w:bidi="en-US"/>
    </w:rPr>
    <w:tblPr>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DanhschBng31">
    <w:name w:val="Danh sách Bảng 31"/>
    <w:uiPriority w:val="99"/>
    <w:qFormat/>
    <w:rPr>
      <w:rFonts w:eastAsia="Times New Roman"/>
      <w:lang w:bidi="en-US"/>
    </w:rPr>
    <w:tblPr>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DanhschBng41">
    <w:name w:val="Danh sách Bảng 41"/>
    <w:uiPriority w:val="99"/>
    <w:qFormat/>
    <w:rPr>
      <w:rFonts w:eastAsia="Times New Roman"/>
      <w:lang w:bidi="en-US"/>
    </w:rPr>
    <w:tblPr>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DanhschBng5m1">
    <w:name w:val="Danh sách Bảng 5 Đậm1"/>
    <w:uiPriority w:val="99"/>
    <w:rPr>
      <w:rFonts w:eastAsia="Times New Roman"/>
      <w:lang w:bidi="en-US"/>
    </w:rPr>
    <w:tblPr>
      <w:tblBorders>
        <w:top w:val="single" w:sz="32" w:space="0" w:color="7F7F7F"/>
        <w:left w:val="single" w:sz="32" w:space="0" w:color="7F7F7F"/>
        <w:bottom w:val="single" w:sz="32" w:space="0" w:color="7F7F7F"/>
        <w:right w:val="single" w:sz="32" w:space="0" w:color="7F7F7F"/>
      </w:tblBorders>
      <w:tblCellMar>
        <w:top w:w="0" w:type="dxa"/>
        <w:left w:w="0" w:type="dxa"/>
        <w:bottom w:w="0" w:type="dxa"/>
        <w:right w:w="0" w:type="dxa"/>
      </w:tblCellMar>
    </w:tblPr>
  </w:style>
  <w:style w:type="table" w:customStyle="1" w:styleId="DanhschBng6Nhiumusc1">
    <w:name w:val="Danh sách Bảng 6 Nhiều màu sắc1"/>
    <w:uiPriority w:val="99"/>
    <w:rPr>
      <w:rFonts w:eastAsia="Times New Roman"/>
      <w:lang w:bidi="en-US"/>
    </w:rPr>
    <w:tblPr>
      <w:tblBorders>
        <w:top w:val="single" w:sz="4" w:space="0" w:color="7F7F7F"/>
        <w:bottom w:val="single" w:sz="4" w:space="0" w:color="7F7F7F"/>
      </w:tblBorders>
      <w:tblCellMar>
        <w:top w:w="0" w:type="dxa"/>
        <w:left w:w="0" w:type="dxa"/>
        <w:bottom w:w="0" w:type="dxa"/>
        <w:right w:w="0" w:type="dxa"/>
      </w:tblCellMar>
    </w:tblPr>
  </w:style>
  <w:style w:type="table" w:customStyle="1" w:styleId="DanhschBng7Nhiumusc1">
    <w:name w:val="Danh sách Bảng 7 Nhiều màu sắc1"/>
    <w:uiPriority w:val="99"/>
    <w:rPr>
      <w:rFonts w:eastAsia="Times New Roman"/>
      <w:lang w:bidi="en-US"/>
    </w:rPr>
    <w:tblPr>
      <w:tblBorders>
        <w:right w:val="single" w:sz="4" w:space="0" w:color="7F7F7F"/>
      </w:tblBorders>
      <w:tblCellMar>
        <w:top w:w="0" w:type="dxa"/>
        <w:left w:w="0" w:type="dxa"/>
        <w:bottom w:w="0" w:type="dxa"/>
        <w:right w:w="0" w:type="dxa"/>
      </w:tblCellMar>
    </w:tblPr>
  </w:style>
  <w:style w:type="paragraph" w:customStyle="1" w:styleId="Center">
    <w:name w:val="Center"/>
    <w:basedOn w:val="Normal"/>
    <w:qFormat/>
    <w:pPr>
      <w:pBdr>
        <w:top w:val="none" w:sz="0" w:space="0" w:color="000000"/>
        <w:left w:val="none" w:sz="0" w:space="0" w:color="000000"/>
        <w:bottom w:val="none" w:sz="0" w:space="0" w:color="000000"/>
        <w:right w:val="none" w:sz="0" w:space="0" w:color="000000"/>
        <w:between w:val="none" w:sz="0" w:space="0" w:color="000000"/>
      </w:pBdr>
      <w:spacing w:after="120"/>
      <w:jc w:val="center"/>
    </w:pPr>
    <w:rPr>
      <w:b/>
      <w:bCs/>
      <w:caps/>
      <w:color w:val="0000FF"/>
      <w:sz w:val="32"/>
      <w:szCs w:val="32"/>
    </w:rPr>
  </w:style>
  <w:style w:type="paragraph" w:customStyle="1" w:styleId="Loai">
    <w:name w:val="Loai"/>
    <w:basedOn w:val="Normal"/>
    <w:qFormat/>
    <w:pPr>
      <w:pBdr>
        <w:top w:val="none" w:sz="0" w:space="0" w:color="000000"/>
        <w:left w:val="none" w:sz="0" w:space="0" w:color="000000"/>
        <w:bottom w:val="none" w:sz="0" w:space="0" w:color="000000"/>
        <w:right w:val="none" w:sz="0" w:space="0" w:color="000000"/>
        <w:between w:val="none" w:sz="0" w:space="0" w:color="000000"/>
      </w:pBdr>
      <w:spacing w:before="240" w:after="240"/>
      <w:ind w:firstLine="720"/>
      <w:jc w:val="center"/>
    </w:pPr>
    <w:rPr>
      <w:b/>
      <w:bCs/>
    </w:rPr>
  </w:style>
  <w:style w:type="character" w:customStyle="1" w:styleId="dieuChar">
    <w:name w:val="dieu Char"/>
    <w:qFormat/>
    <w:rPr>
      <w:b/>
      <w:bCs/>
      <w:color w:val="0000FF"/>
      <w:sz w:val="28"/>
      <w:szCs w:val="28"/>
      <w:lang w:val="en-US" w:eastAsia="en-US"/>
    </w:rPr>
  </w:style>
  <w:style w:type="paragraph" w:customStyle="1" w:styleId="Char">
    <w:name w:val="Char"/>
    <w:next w:val="Normal"/>
    <w:semiHidden/>
    <w:qFormat/>
    <w:pPr>
      <w:pBdr>
        <w:top w:val="none" w:sz="0" w:space="0" w:color="000000"/>
        <w:left w:val="none" w:sz="0" w:space="0" w:color="000000"/>
        <w:bottom w:val="none" w:sz="0" w:space="0" w:color="000000"/>
        <w:right w:val="none" w:sz="0" w:space="0" w:color="000000"/>
        <w:between w:val="none" w:sz="0" w:space="0" w:color="000000"/>
      </w:pBdr>
      <w:spacing w:after="160" w:line="240" w:lineRule="exact"/>
      <w:jc w:val="both"/>
    </w:pPr>
    <w:rPr>
      <w:sz w:val="28"/>
      <w:szCs w:val="22"/>
    </w:rPr>
  </w:style>
  <w:style w:type="character" w:customStyle="1" w:styleId="BalloonTextChar">
    <w:name w:val="Balloon Text Char"/>
    <w:link w:val="BalloonText"/>
    <w:qFormat/>
    <w:rPr>
      <w:rFonts w:ascii="Tahoma" w:eastAsia="Times New Roman" w:hAnsi="Tahoma" w:cs="Tahoma"/>
      <w:sz w:val="16"/>
      <w:szCs w:val="16"/>
    </w:rPr>
  </w:style>
  <w:style w:type="paragraph" w:customStyle="1" w:styleId="Default">
    <w:name w:val="Default"/>
    <w:qFormat/>
    <w:pPr>
      <w:pBdr>
        <w:top w:val="none" w:sz="0" w:space="0" w:color="000000"/>
        <w:left w:val="none" w:sz="0" w:space="0" w:color="000000"/>
        <w:bottom w:val="none" w:sz="0" w:space="0" w:color="000000"/>
        <w:right w:val="none" w:sz="0" w:space="0" w:color="000000"/>
        <w:between w:val="none" w:sz="0" w:space="0" w:color="000000"/>
      </w:pBdr>
    </w:pPr>
    <w:rPr>
      <w:rFonts w:eastAsia="Times New Roman"/>
      <w:color w:val="000000"/>
      <w:sz w:val="24"/>
      <w:szCs w:val="24"/>
    </w:rPr>
  </w:style>
  <w:style w:type="paragraph" w:customStyle="1" w:styleId="TableParagraph">
    <w:name w:val="Table Paragraph"/>
    <w:basedOn w:val="Normal"/>
    <w:uiPriority w:val="1"/>
    <w:qFormat/>
    <w:pPr>
      <w:widowControl w:val="0"/>
      <w:pBdr>
        <w:top w:val="none" w:sz="0" w:space="0" w:color="000000"/>
        <w:left w:val="none" w:sz="0" w:space="0" w:color="000000"/>
        <w:bottom w:val="none" w:sz="0" w:space="0" w:color="000000"/>
        <w:right w:val="none" w:sz="0" w:space="0" w:color="000000"/>
        <w:between w:val="none" w:sz="0" w:space="0" w:color="000000"/>
      </w:pBdr>
    </w:pPr>
    <w:rPr>
      <w:sz w:val="22"/>
      <w:szCs w:val="22"/>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itation-87">
    <w:name w:val="citation-87"/>
    <w:basedOn w:val="DefaultParagraphFont"/>
  </w:style>
  <w:style w:type="character" w:customStyle="1" w:styleId="citation-86">
    <w:name w:val="citation-86"/>
    <w:basedOn w:val="DefaultParagraphFont"/>
  </w:style>
  <w:style w:type="character" w:customStyle="1" w:styleId="citation-85">
    <w:name w:val="citation-85"/>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474CB9-F7D2-4330-A3BE-E07DA827BC14}">
  <ds:schemaRefs>
    <ds:schemaRef ds:uri="http://schemas.openxmlformats.org/officeDocument/2006/bibliography"/>
  </ds:schemaRefs>
</ds:datastoreItem>
</file>

<file path=customXml/itemProps3.xml><?xml version="1.0" encoding="utf-8"?>
<ds:datastoreItem xmlns:ds="http://schemas.openxmlformats.org/officeDocument/2006/customXml" ds:itemID="{120E8835-DED1-49D1-853F-47F9993FB2E7}"/>
</file>

<file path=customXml/itemProps4.xml><?xml version="1.0" encoding="utf-8"?>
<ds:datastoreItem xmlns:ds="http://schemas.openxmlformats.org/officeDocument/2006/customXml" ds:itemID="{038B61F7-8EC9-4342-B71B-5CC825C60082}"/>
</file>

<file path=customXml/itemProps5.xml><?xml version="1.0" encoding="utf-8"?>
<ds:datastoreItem xmlns:ds="http://schemas.openxmlformats.org/officeDocument/2006/customXml" ds:itemID="{DB20D179-89B8-446B-A4F7-B1562955DFFF}"/>
</file>

<file path=docProps/app.xml><?xml version="1.0" encoding="utf-8"?>
<Properties xmlns="http://schemas.openxmlformats.org/officeDocument/2006/extended-properties" xmlns:vt="http://schemas.openxmlformats.org/officeDocument/2006/docPropsVTypes">
  <Template>Normal.dotm</Template>
  <TotalTime>8</TotalTime>
  <Pages>4</Pages>
  <Words>1333</Words>
  <Characters>7600</Characters>
  <Application>Microsoft Office Word</Application>
  <DocSecurity>0</DocSecurity>
  <Lines>63</Lines>
  <Paragraphs>17</Paragraphs>
  <ScaleCrop>false</ScaleCrop>
  <Company>PC</Company>
  <LinksUpToDate>false</LinksUpToDate>
  <CharactersWithSpaces>8916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ANHVIET</dc:creator>
  <cp:lastModifiedBy>HP</cp:lastModifiedBy>
  <cp:revision>72</cp:revision>
  <dcterms:created xsi:type="dcterms:W3CDTF">2026-03-25T09:21:00Z</dcterms:created>
  <dcterms:modified xsi:type="dcterms:W3CDTF">2026-04-15T14:51:00Z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E9F87CD9830D45A7A67F5A1BD9277731_12</vt:lpwstr>
  </property>
</Properties>
</file>