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3374" w:rsidRDefault="00183374" w:rsidP="00183374">
      <w:pPr>
        <w:spacing w:before="120" w:after="280" w:afterAutospacing="1"/>
        <w:jc w:val="center"/>
      </w:pPr>
      <w:bookmarkStart w:id="0" w:name="chuong_pl2"/>
      <w:r>
        <w:rPr>
          <w:b/>
          <w:bCs/>
        </w:rPr>
        <w:t>PHỤ LỤC III:</w:t>
      </w:r>
      <w:bookmarkEnd w:id="0"/>
    </w:p>
    <w:p w:rsidR="00183374" w:rsidRDefault="00183374" w:rsidP="00183374">
      <w:pPr>
        <w:spacing w:before="120" w:after="280" w:afterAutospacing="1"/>
        <w:jc w:val="center"/>
      </w:pPr>
      <w:bookmarkStart w:id="1" w:name="chuong_pl2_name"/>
      <w:r>
        <w:t>PHÂN CÔNG CƠ QUAN TỔNG HỢP, PHÂN TÍCH, DỰ BÁO GIÁ THỊ TRƯỜNG VÀ BÁO CÁO GIÁ THỊ TRƯỜNG ĐỊNH KỲ</w:t>
      </w:r>
      <w:bookmarkEnd w:id="1"/>
      <w:r>
        <w:br/>
      </w:r>
      <w:r>
        <w:rPr>
          <w:i/>
          <w:iCs/>
        </w:rPr>
        <w:t>(Kèm theo Quyết định số 164/2025/QĐ-UBND ngày 18 tháng 9 năm 2025)</w:t>
      </w:r>
    </w:p>
    <w:tbl>
      <w:tblPr>
        <w:tblW w:w="5000" w:type="pct"/>
        <w:tblInd w:w="10" w:type="dxa"/>
        <w:tblCellMar>
          <w:left w:w="0" w:type="dxa"/>
          <w:right w:w="0" w:type="dxa"/>
        </w:tblCellMar>
        <w:tblLook w:val="0000" w:firstRow="0" w:lastRow="0" w:firstColumn="0" w:lastColumn="0" w:noHBand="0" w:noVBand="0"/>
      </w:tblPr>
      <w:tblGrid>
        <w:gridCol w:w="737"/>
        <w:gridCol w:w="2951"/>
        <w:gridCol w:w="2694"/>
        <w:gridCol w:w="893"/>
        <w:gridCol w:w="2105"/>
      </w:tblGrid>
      <w:tr w:rsidR="00183374" w:rsidTr="00B0055B">
        <w:tc>
          <w:tcPr>
            <w:tcW w:w="39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rPr>
                <w:b/>
                <w:bCs/>
              </w:rPr>
              <w:t>STT</w:t>
            </w:r>
          </w:p>
        </w:tc>
        <w:tc>
          <w:tcPr>
            <w:tcW w:w="15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rPr>
                <w:b/>
                <w:bCs/>
              </w:rPr>
              <w:t>Tên hàng hóa,dịch vụ</w:t>
            </w:r>
          </w:p>
        </w:tc>
        <w:tc>
          <w:tcPr>
            <w:tcW w:w="14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rPr>
                <w:b/>
                <w:bCs/>
              </w:rPr>
              <w:t>Đặc điểm kinh tế,kỹ thuật,quy cách</w:t>
            </w:r>
          </w:p>
        </w:tc>
        <w:tc>
          <w:tcPr>
            <w:tcW w:w="4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rPr>
                <w:b/>
                <w:bCs/>
              </w:rPr>
              <w:t>Đơn vị tính</w:t>
            </w:r>
          </w:p>
        </w:tc>
        <w:tc>
          <w:tcPr>
            <w:tcW w:w="11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rPr>
                <w:b/>
                <w:bCs/>
              </w:rPr>
              <w:t>Cơ quan tổng hợp, phân tích, dự báo giá thị trường và báo cáo giá thị trường định kỳ</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rPr>
                <w:b/>
                <w:bCs/>
              </w:rPr>
              <w:t>I</w:t>
            </w:r>
          </w:p>
        </w:tc>
        <w:tc>
          <w:tcPr>
            <w:tcW w:w="300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rPr>
                <w:b/>
                <w:bCs/>
              </w:rPr>
              <w:t>LƯƠNG THỰC, THỰC PHẨM</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 </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1</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Thóc tẻ</w:t>
            </w:r>
          </w:p>
        </w:tc>
        <w:tc>
          <w:tcPr>
            <w:tcW w:w="143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(Theo quy định đặc điểm kinh tế - kỹ thuật của hàng hóa, dịch vụ thực hiện kê khai giá)</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2</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Gạo tẻ</w:t>
            </w:r>
          </w:p>
        </w:tc>
        <w:tc>
          <w:tcPr>
            <w:tcW w:w="0" w:type="auto"/>
            <w:vMerge/>
            <w:tcBorders>
              <w:top w:val="nil"/>
              <w:left w:val="nil"/>
              <w:bottom w:val="single" w:sz="8" w:space="0" w:color="auto"/>
              <w:right w:val="single" w:sz="8" w:space="0" w:color="auto"/>
            </w:tcBorders>
            <w:shd w:val="clear" w:color="auto" w:fill="auto"/>
            <w:vAlign w:val="center"/>
          </w:tcPr>
          <w:p w:rsidR="00183374" w:rsidRDefault="00183374" w:rsidP="00B0055B">
            <w:pPr>
              <w:spacing w:before="120"/>
            </w:pP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3</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Thịt lợn hơi (Thịt heo hơi)</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4</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Thịt lợn nạc thăn(Thịt heo nạc thăn)</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5</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Thịt bò thăn</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Loại 1 hoặc phổ biến</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6</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Thịt bò bắp</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Bắp hoa hoặc bắp lõi, loại 200 - 300 gram/ cái</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7</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Gà ta</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Còn sống, loại1,5-2kg/1con hoặc phổ biến</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8</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Gà công nghiệp</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Làm sẵn, nguyên con, bỏ lòng, loại 1,5 - 2kg /1 con hoặc phổ biến</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9</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Cá quả(cá lóc)</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Loại 2con/1 kg hoặc phổ biến</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10</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Cá chép</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Loại 2 con/1 kg hoặc phổ biến</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11</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Tôm thẻ chân trắng</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Loại 40-45 con/kg</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12</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Bắp cải trắng</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Loại to vừa khoảng 0,5- 1kg/bắp</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13</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Cải xanh</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xml:space="preserve">Cải ngọt hoặc cải cay theo </w:t>
            </w:r>
            <w:r>
              <w:lastRenderedPageBreak/>
              <w:t>mùa</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lastRenderedPageBreak/>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xml:space="preserve">Sở Nông nghiệp và </w:t>
            </w:r>
            <w:r>
              <w:lastRenderedPageBreak/>
              <w:t>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lastRenderedPageBreak/>
              <w:t>14</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Bí xanh</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Quả từ1-2kg hoặc phổ biến</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15</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Cà chua</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Quả to vừa, 8- 10 quả/kg</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16</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Giò lụa</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Loại1kg</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17</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Đường ăn bao gồm đường trắng và đường tinh luyện</w:t>
            </w:r>
          </w:p>
        </w:tc>
        <w:tc>
          <w:tcPr>
            <w:tcW w:w="19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(Theo quy định đặc điểm kinh tế - kỹ thuật của hàng hóa, dịch vụ thực hiện kê khai giá)</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rPr>
                <w:b/>
                <w:bCs/>
              </w:rPr>
              <w:t>II</w:t>
            </w:r>
          </w:p>
        </w:tc>
        <w:tc>
          <w:tcPr>
            <w:tcW w:w="300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rPr>
                <w:b/>
                <w:bCs/>
              </w:rPr>
              <w:t>VẬT TƯ NÔNG NGHIỆP</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 </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18</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Phân đạm; phân DAP; phân NPK</w:t>
            </w:r>
          </w:p>
        </w:tc>
        <w:tc>
          <w:tcPr>
            <w:tcW w:w="1912"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(Theo quy định đặc điểm kinh tế-kỹ thuật của hàng hóa, dịch vụ thực hiện kê khai giá)</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19</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Thức ăn chăn nuôi, thức ăn thủy sản</w:t>
            </w:r>
          </w:p>
        </w:tc>
        <w:tc>
          <w:tcPr>
            <w:tcW w:w="0" w:type="auto"/>
            <w:gridSpan w:val="2"/>
            <w:vMerge/>
            <w:tcBorders>
              <w:top w:val="nil"/>
              <w:left w:val="nil"/>
              <w:bottom w:val="single" w:sz="8" w:space="0" w:color="auto"/>
              <w:right w:val="single" w:sz="8" w:space="0" w:color="auto"/>
            </w:tcBorders>
            <w:shd w:val="clear" w:color="auto" w:fill="auto"/>
            <w:vAlign w:val="center"/>
          </w:tcPr>
          <w:p w:rsidR="00183374" w:rsidRDefault="00183374" w:rsidP="00B0055B">
            <w:pPr>
              <w:spacing w:before="120"/>
            </w:pP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Nông nghiệp và Môi trường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rPr>
                <w:b/>
                <w:bCs/>
              </w:rPr>
              <w:t>III</w:t>
            </w:r>
          </w:p>
        </w:tc>
        <w:tc>
          <w:tcPr>
            <w:tcW w:w="300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rPr>
                <w:b/>
                <w:bCs/>
              </w:rPr>
              <w:t>VẬT LIỆU XÂY DỰNG, CHẤT ĐỐT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 </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20</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Xi măng PCB30</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bao 50 kg</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đ/bao</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21</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Xi măng PCB40</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bao 50 kg</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đ/bao</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22</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Xi măng PCB50</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bao 50 kg</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đ/bao</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23</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Thép cuộn</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D6 CB240</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24</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Thép cuộn</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D8 CB240</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25</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Thép thanh vằn</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D10 CB300</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26</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Phôi thép vuông</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100x10,dài 12m</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27</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Phôi thép dẹt</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40x4, dài 6m</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28</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Phôi thép dẹt</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50x5,dài 6m</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29</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Thép góc</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L50</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30</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Thép góc</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L60</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31</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Thép góc</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L63-65</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32</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Thép góc</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L70-75</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33</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Thép góc</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L80-100</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đ/kg</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34</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Cát xây</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Mua rời dưới 2m3/lần, tại nơi cung ứng (không phải nơi khai thác)</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đ/m3</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35</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Cát vàng</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xml:space="preserve">Mua rời dưới 2m3/lần, tại </w:t>
            </w:r>
            <w:r>
              <w:lastRenderedPageBreak/>
              <w:t>nơi cung ứng (không phải nơi khai thác)</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lastRenderedPageBreak/>
              <w:t>đ/m3</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lastRenderedPageBreak/>
              <w:t>36</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Cát đen đổ nền</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Mua rời dưới 2m3/lần, tại nơi cung ứng (không phải nơi khai thác)</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đ/m3</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37</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Gạch xây</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Gạch ống 2 lỗ, cỡ rộng 10 x dài 22, loại 1, mua rời tại nơi cung ứng hoặc tương đương</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đ/viên</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38</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Khí dầu mỏ hóa lỏng(LPG)</w:t>
            </w:r>
          </w:p>
        </w:tc>
        <w:tc>
          <w:tcPr>
            <w:tcW w:w="19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(Theo quy định đặc điểm kinh tế-kỹ thuật của hàng hóa, dịch vụ thực hiện kê khai giá)</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Công Thương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rPr>
                <w:b/>
                <w:bCs/>
              </w:rPr>
              <w:t>IV</w:t>
            </w:r>
          </w:p>
        </w:tc>
        <w:tc>
          <w:tcPr>
            <w:tcW w:w="300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rPr>
                <w:b/>
                <w:bCs/>
              </w:rPr>
              <w:t>DỊCH VỤ Y TẾ</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 </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39</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Dịch vụ khám bệnh ,chữa bệnh theo yêu cầu tại Cơ sở khám bệnh,chữa bệnh của Nhà nước</w:t>
            </w:r>
          </w:p>
        </w:tc>
        <w:tc>
          <w:tcPr>
            <w:tcW w:w="1912"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(Theo quy định đặc điểm kinh tế-kỹ thuật của hàng hóa, dịch vụ thực hiện kê khai giá)</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Y tế</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40</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Dịch vụ khám bệnh, chữa bệnh cho người tại cơ sở khám bệnh, chữa bệnh tư nhân</w:t>
            </w:r>
          </w:p>
        </w:tc>
        <w:tc>
          <w:tcPr>
            <w:tcW w:w="0" w:type="auto"/>
            <w:gridSpan w:val="2"/>
            <w:vMerge/>
            <w:tcBorders>
              <w:top w:val="nil"/>
              <w:left w:val="nil"/>
              <w:bottom w:val="single" w:sz="8" w:space="0" w:color="auto"/>
              <w:right w:val="single" w:sz="8" w:space="0" w:color="auto"/>
            </w:tcBorders>
            <w:shd w:val="clear" w:color="auto" w:fill="auto"/>
            <w:vAlign w:val="center"/>
          </w:tcPr>
          <w:p w:rsidR="00183374" w:rsidRDefault="00183374" w:rsidP="00B0055B">
            <w:pPr>
              <w:spacing w:before="120"/>
            </w:pP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Y tế</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rPr>
                <w:b/>
                <w:bCs/>
              </w:rPr>
              <w:t>V</w:t>
            </w:r>
          </w:p>
        </w:tc>
        <w:tc>
          <w:tcPr>
            <w:tcW w:w="300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rPr>
                <w:b/>
                <w:bCs/>
              </w:rPr>
              <w:t>GIAO THÔNG</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 </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41</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Trông giữ xe máy</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đ/lượt</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42</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Trông giữ ôtô</w:t>
            </w:r>
          </w:p>
        </w:tc>
        <w:tc>
          <w:tcPr>
            <w:tcW w:w="1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đ/lượt</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43</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Dịch vụ vận tải hành khách tuyến cố định bằng đường bộ</w:t>
            </w:r>
          </w:p>
        </w:tc>
        <w:tc>
          <w:tcPr>
            <w:tcW w:w="1912"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(Theo quy định đặc điểm kinh tế-kỹ thuật của hàng hóa, dịch vụ thực hiện kê khai giá)</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44</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Dịch vụ vận tải hành khách bằng taxi</w:t>
            </w:r>
          </w:p>
        </w:tc>
        <w:tc>
          <w:tcPr>
            <w:tcW w:w="0" w:type="auto"/>
            <w:gridSpan w:val="2"/>
            <w:vMerge/>
            <w:tcBorders>
              <w:top w:val="nil"/>
              <w:left w:val="nil"/>
              <w:bottom w:val="single" w:sz="8" w:space="0" w:color="auto"/>
              <w:right w:val="single" w:sz="8" w:space="0" w:color="auto"/>
            </w:tcBorders>
            <w:shd w:val="clear" w:color="auto" w:fill="auto"/>
            <w:vAlign w:val="center"/>
          </w:tcPr>
          <w:p w:rsidR="00183374" w:rsidRDefault="00183374" w:rsidP="00B0055B">
            <w:pPr>
              <w:spacing w:before="120"/>
            </w:pP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Xây dựng</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rPr>
                <w:b/>
                <w:bCs/>
              </w:rPr>
              <w:t>VI</w:t>
            </w:r>
          </w:p>
        </w:tc>
        <w:tc>
          <w:tcPr>
            <w:tcW w:w="348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rPr>
                <w:b/>
                <w:bCs/>
              </w:rPr>
              <w:t>DỊCH VỤ GIÁO DỤC</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45</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Học phí, dịch vụ trong lĩnh vực giáo dục, đào tạo tại cơ sở giáo dục mầm non công lập thuộc phạm vi Nhà nước định giá theo quy định của pháp luật về giáo dục</w:t>
            </w:r>
          </w:p>
        </w:tc>
        <w:tc>
          <w:tcPr>
            <w:tcW w:w="19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Giáo dục và Đào tạo</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46</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 xml:space="preserve">Học phí, dịch vụ trong lĩnh vực giáo dục, đào tạo tại cơ sở giáo dục phổ thông công lập thuộc phạm vi Nhà nước định </w:t>
            </w:r>
            <w:r>
              <w:lastRenderedPageBreak/>
              <w:t>giá theo quy định của pháp luật về giáo dục</w:t>
            </w:r>
          </w:p>
        </w:tc>
        <w:tc>
          <w:tcPr>
            <w:tcW w:w="191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lastRenderedPageBreak/>
              <w:t> </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Giáo dục và Đào tạo</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lastRenderedPageBreak/>
              <w:t>47</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Học phí, dịch vụ trong lĩnh vực giáo dục, đào tạo tại cơ sở giáo dục đại học công lập thuộc phạm vi Nhà nước định giá theo quy định của pháp luật về giáo dục và pháp luật về giáo dục đại học</w:t>
            </w:r>
          </w:p>
        </w:tc>
        <w:tc>
          <w:tcPr>
            <w:tcW w:w="1912"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(Theo quy định đặc điểm kinh tế-kỹ thuật của hàng hóa, dịch vụ thực hiện kê khai giá)</w:t>
            </w: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Giáo dục và Đào tạo</w:t>
            </w:r>
          </w:p>
        </w:tc>
      </w:tr>
      <w:tr w:rsidR="00183374" w:rsidTr="00B0055B">
        <w:tc>
          <w:tcPr>
            <w:tcW w:w="39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jc w:val="center"/>
            </w:pPr>
            <w:r>
              <w:t>48</w:t>
            </w:r>
          </w:p>
        </w:tc>
        <w:tc>
          <w:tcPr>
            <w:tcW w:w="1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Học phí, dịch vụ trong lĩnh vực giáo dục, đào tạo tại cơ sở giáo dục nghề nghiệp công lập thuộc phạm vi Nhà nước định giá theo quy định của pháp luật về giáo dục nghề nghiệp</w:t>
            </w:r>
          </w:p>
        </w:tc>
        <w:tc>
          <w:tcPr>
            <w:tcW w:w="0" w:type="auto"/>
            <w:gridSpan w:val="2"/>
            <w:vMerge/>
            <w:tcBorders>
              <w:top w:val="nil"/>
              <w:left w:val="nil"/>
              <w:bottom w:val="single" w:sz="8" w:space="0" w:color="auto"/>
              <w:right w:val="single" w:sz="8" w:space="0" w:color="auto"/>
            </w:tcBorders>
            <w:shd w:val="clear" w:color="auto" w:fill="auto"/>
            <w:vAlign w:val="center"/>
          </w:tcPr>
          <w:p w:rsidR="00183374" w:rsidRDefault="00183374" w:rsidP="00B0055B">
            <w:pPr>
              <w:spacing w:before="120"/>
            </w:pPr>
          </w:p>
        </w:tc>
        <w:tc>
          <w:tcPr>
            <w:tcW w:w="11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183374" w:rsidRDefault="00183374" w:rsidP="00B0055B">
            <w:pPr>
              <w:spacing w:before="120"/>
            </w:pPr>
            <w:r>
              <w:t>Sở Giáo dục và Đào tạo</w:t>
            </w:r>
          </w:p>
        </w:tc>
      </w:tr>
    </w:tbl>
    <w:p w:rsidR="00183374" w:rsidRDefault="00183374" w:rsidP="00183374">
      <w:pPr>
        <w:spacing w:before="120" w:after="280" w:afterAutospacing="1"/>
        <w:jc w:val="center"/>
      </w:pPr>
      <w:r>
        <w:rPr>
          <w:b/>
          <w:bCs/>
        </w:rPr>
        <w:t> </w:t>
      </w:r>
    </w:p>
    <w:p w:rsidR="009A3392" w:rsidRDefault="009A3392">
      <w:bookmarkStart w:id="2" w:name="_GoBack"/>
      <w:bookmarkEnd w:id="2"/>
    </w:p>
    <w:sectPr w:rsidR="009A339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3374"/>
    <w:rsid w:val="00183374"/>
    <w:rsid w:val="007B2118"/>
    <w:rsid w:val="009A3392"/>
    <w:rsid w:val="00B1426E"/>
    <w:rsid w:val="00C22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374"/>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before="260" w:line="370" w:lineRule="exact"/>
        <w:ind w:firstLine="70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374"/>
    <w:pPr>
      <w:spacing w:before="0" w:line="240" w:lineRule="auto"/>
      <w:ind w:firstLine="0"/>
      <w:jc w:val="left"/>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707</Words>
  <Characters>4033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2026-07-08T09:18:00Z</dcterms:created>
  <dcterms:modified xsi:type="dcterms:W3CDTF">2026-07-08T09:18:00Z</dcterms:modified>
</cp:coreProperties>
</file>