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176" w:type="dxa"/>
        <w:tblLayout w:type="fixed"/>
        <w:tblLook w:val="0000" w:firstRow="0" w:lastRow="0" w:firstColumn="0" w:lastColumn="0" w:noHBand="0" w:noVBand="0"/>
      </w:tblPr>
      <w:tblGrid>
        <w:gridCol w:w="3288"/>
        <w:gridCol w:w="236"/>
        <w:gridCol w:w="6116"/>
      </w:tblGrid>
      <w:tr>
        <w:tc>
          <w:tcPr>
            <w:tcW w:w="3524" w:type="dxa"/>
            <w:gridSpan w:val="2"/>
          </w:tcPr>
          <w:p>
            <w:pPr>
              <w:ind w:hanging="4"/>
              <w:jc w:val="center"/>
              <w:rPr>
                <w:b/>
                <w:sz w:val="26"/>
                <w:szCs w:val="26"/>
              </w:rPr>
            </w:pPr>
            <w:r>
              <w:rPr>
                <w:b/>
                <w:sz w:val="26"/>
                <w:szCs w:val="26"/>
              </w:rPr>
              <w:t>ỦY BAN NHÂN DÂN</w:t>
            </w:r>
          </w:p>
        </w:tc>
        <w:tc>
          <w:tcPr>
            <w:tcW w:w="6116" w:type="dxa"/>
          </w:tcPr>
          <w:p>
            <w:pPr>
              <w:jc w:val="center"/>
              <w:rPr>
                <w:b/>
                <w:sz w:val="26"/>
                <w:szCs w:val="26"/>
              </w:rPr>
            </w:pPr>
            <w:r>
              <w:rPr>
                <w:b/>
                <w:sz w:val="26"/>
                <w:szCs w:val="26"/>
                <w:lang w:val="vi-VN"/>
              </w:rPr>
              <w:t xml:space="preserve"> </w:t>
            </w:r>
            <w:r>
              <w:rPr>
                <w:b/>
                <w:sz w:val="26"/>
                <w:szCs w:val="26"/>
              </w:rPr>
              <w:t>CỘNG HOÀ XÃ HỘI CHỦ NGHĨA VIỆT NAM</w:t>
            </w:r>
          </w:p>
        </w:tc>
      </w:tr>
      <w:tr>
        <w:tc>
          <w:tcPr>
            <w:tcW w:w="3524" w:type="dxa"/>
            <w:gridSpan w:val="2"/>
          </w:tcPr>
          <w:p>
            <w:pPr>
              <w:ind w:hanging="4"/>
              <w:jc w:val="center"/>
              <w:rPr>
                <w:b/>
                <w:sz w:val="26"/>
                <w:szCs w:val="26"/>
              </w:rPr>
            </w:pPr>
            <w:r>
              <w:rPr>
                <w:noProof/>
              </w:rPr>
              <mc:AlternateContent>
                <mc:Choice Requires="wps">
                  <w:drawing>
                    <wp:anchor distT="0" distB="0" distL="114300" distR="114300" simplePos="0" relativeHeight="251653632" behindDoc="0" locked="0" layoutInCell="1" allowOverlap="1">
                      <wp:simplePos x="0" y="0"/>
                      <wp:positionH relativeFrom="column">
                        <wp:posOffset>652780</wp:posOffset>
                      </wp:positionH>
                      <wp:positionV relativeFrom="paragraph">
                        <wp:posOffset>208915</wp:posOffset>
                      </wp:positionV>
                      <wp:extent cx="800100" cy="0"/>
                      <wp:effectExtent l="11430" t="13970" r="7620" b="508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pt,16.45pt" to="114.4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LvPGg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"/>
                  </w:pict>
                </mc:Fallback>
              </mc:AlternateContent>
            </w:r>
            <w:r>
              <w:rPr>
                <w:b/>
                <w:sz w:val="26"/>
                <w:szCs w:val="26"/>
              </w:rPr>
              <w:t>TỈNH QUẢNG NINH</w:t>
            </w:r>
          </w:p>
        </w:tc>
        <w:tc>
          <w:tcPr>
            <w:tcW w:w="6116" w:type="dxa"/>
          </w:tcPr>
          <w:p>
            <w:pPr>
              <w:jc w:val="center"/>
              <w:rPr>
                <w:b/>
                <w:sz w:val="28"/>
                <w:szCs w:val="28"/>
              </w:rPr>
            </w:pPr>
            <w:r>
              <w:rPr>
                <w:rFonts w:hint="eastAsia"/>
                <w:b/>
                <w:sz w:val="28"/>
                <w:szCs w:val="28"/>
              </w:rPr>
              <w:t>Đ</w:t>
            </w:r>
            <w:r>
              <w:rPr>
                <w:b/>
                <w:sz w:val="28"/>
                <w:szCs w:val="28"/>
              </w:rPr>
              <w:t>ộc lập - Tự do - Hạnh phúc</w:t>
            </w:r>
          </w:p>
        </w:tc>
      </w:tr>
      <w:tr>
        <w:trPr>
          <w:trHeight w:val="235"/>
        </w:trPr>
        <w:tc>
          <w:tcPr>
            <w:tcW w:w="3288" w:type="dxa"/>
          </w:tcPr>
          <w:p>
            <w:pPr>
              <w:jc w:val="center"/>
              <w:rPr>
                <w:sz w:val="16"/>
              </w:rPr>
            </w:pPr>
          </w:p>
        </w:tc>
        <w:tc>
          <w:tcPr>
            <w:tcW w:w="236" w:type="dxa"/>
          </w:tcPr>
          <w:p>
            <w:pPr>
              <w:ind w:firstLine="540"/>
              <w:jc w:val="center"/>
              <w:rPr>
                <w:sz w:val="16"/>
              </w:rPr>
            </w:pPr>
          </w:p>
        </w:tc>
        <w:tc>
          <w:tcPr>
            <w:tcW w:w="6116" w:type="dxa"/>
          </w:tcPr>
          <w:p>
            <w:pPr>
              <w:ind w:hanging="18"/>
              <w:jc w:val="center"/>
              <w:rPr>
                <w:sz w:val="16"/>
              </w:rPr>
            </w:pPr>
            <w:r>
              <w:rPr>
                <w:noProof/>
              </w:rPr>
              <mc:AlternateContent>
                <mc:Choice Requires="wps">
                  <w:drawing>
                    <wp:anchor distT="0" distB="0" distL="114300" distR="114300" simplePos="0" relativeHeight="251655680" behindDoc="0" locked="0" layoutInCell="1" allowOverlap="1">
                      <wp:simplePos x="0" y="0"/>
                      <wp:positionH relativeFrom="column">
                        <wp:posOffset>777240</wp:posOffset>
                      </wp:positionH>
                      <wp:positionV relativeFrom="paragraph">
                        <wp:posOffset>30480</wp:posOffset>
                      </wp:positionV>
                      <wp:extent cx="21717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2.4pt" to="23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R6S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"/>
                  </w:pict>
                </mc:Fallback>
              </mc:AlternateContent>
            </w:r>
          </w:p>
        </w:tc>
      </w:tr>
      <w:tr>
        <w:trPr>
          <w:trHeight w:val="322"/>
        </w:trPr>
        <w:tc>
          <w:tcPr>
            <w:tcW w:w="3524" w:type="dxa"/>
            <w:gridSpan w:val="2"/>
          </w:tcPr>
          <w:p>
            <w:pPr>
              <w:jc w:val="center"/>
            </w:pPr>
            <w:r>
              <w:rPr>
                <w:sz w:val="26"/>
              </w:rPr>
              <w:t>Số:          /2026/</w:t>
            </w:r>
            <w:r>
              <w:rPr>
                <w:sz w:val="26"/>
                <w:lang w:val="vi-VN"/>
              </w:rPr>
              <w:t>QĐ-</w:t>
            </w:r>
            <w:r>
              <w:rPr>
                <w:sz w:val="26"/>
              </w:rPr>
              <w:t>UBND</w:t>
            </w:r>
          </w:p>
        </w:tc>
        <w:tc>
          <w:tcPr>
            <w:tcW w:w="6116" w:type="dxa"/>
          </w:tcPr>
          <w:p>
            <w:pPr>
              <w:pStyle w:val="Heading1"/>
              <w:jc w:val="center"/>
              <w:rPr>
                <w:rFonts w:ascii="Times New Roman" w:hAnsi="Times New Roman"/>
                <w:i/>
              </w:rPr>
            </w:pPr>
            <w:r>
              <w:rPr>
                <w:rFonts w:ascii="Times New Roman" w:hAnsi="Times New Roman"/>
                <w:i/>
              </w:rPr>
              <w:t>Quảng Ninh, ngày      tháng     n</w:t>
            </w:r>
            <w:r>
              <w:rPr>
                <w:rFonts w:ascii="Times New Roman" w:hAnsi="Times New Roman" w:hint="eastAsia"/>
                <w:i/>
              </w:rPr>
              <w:t>ă</w:t>
            </w:r>
            <w:r>
              <w:rPr>
                <w:rFonts w:ascii="Times New Roman" w:hAnsi="Times New Roman"/>
                <w:i/>
              </w:rPr>
              <w:t>m 20</w:t>
            </w:r>
            <w:r>
              <w:rPr>
                <w:rFonts w:ascii="Times New Roman" w:hAnsi="Times New Roman"/>
                <w:i/>
                <w:lang w:val="vi-VN"/>
              </w:rPr>
              <w:t>2</w:t>
            </w:r>
            <w:r>
              <w:rPr>
                <w:rFonts w:ascii="Times New Roman" w:hAnsi="Times New Roman"/>
                <w:i/>
              </w:rPr>
              <w:t>6</w:t>
            </w:r>
          </w:p>
        </w:tc>
      </w:tr>
    </w:tbl>
    <w:p>
      <w:pPr>
        <w:spacing w:before="120"/>
        <w:jc w:val="center"/>
        <w:rPr>
          <w:b/>
          <w:bCs/>
          <w:sz w:val="28"/>
          <w:szCs w:val="28"/>
          <w:lang w:val="vi-VN"/>
        </w:rPr>
      </w:pPr>
      <w:bookmarkStart w:id="0" w:name="loai_1"/>
    </w:p>
    <w:p>
      <w:pPr>
        <w:spacing w:before="120"/>
        <w:jc w:val="center"/>
        <w:rPr>
          <w:sz w:val="28"/>
          <w:szCs w:val="28"/>
        </w:rPr>
      </w:pPr>
      <w:r>
        <w:rPr>
          <w:b/>
          <w:bCs/>
          <w:sz w:val="28"/>
          <w:szCs w:val="28"/>
          <w:lang w:val="vi-VN"/>
        </w:rPr>
        <w:t>QUYẾT ĐỊNH</w:t>
      </w:r>
      <w:bookmarkEnd w:id="0"/>
    </w:p>
    <w:p>
      <w:pPr>
        <w:jc w:val="center"/>
        <w:rPr>
          <w:b/>
          <w:spacing w:val="-4"/>
          <w:sz w:val="28"/>
          <w:szCs w:val="28"/>
        </w:rPr>
      </w:pPr>
      <w:r>
        <w:rPr>
          <w:b/>
          <w:spacing w:val="-4"/>
          <w:sz w:val="28"/>
          <w:szCs w:val="28"/>
        </w:rPr>
        <w:t>Sửa đổi, bổ sung một số điều của Quy định quản lý nhà nước về giá</w:t>
      </w:r>
    </w:p>
    <w:p>
      <w:pPr>
        <w:jc w:val="center"/>
        <w:rPr>
          <w:b/>
          <w:spacing w:val="-4"/>
          <w:sz w:val="28"/>
          <w:szCs w:val="28"/>
        </w:rPr>
      </w:pPr>
      <w:r>
        <w:rPr>
          <w:b/>
          <w:spacing w:val="-4"/>
          <w:sz w:val="28"/>
          <w:szCs w:val="28"/>
        </w:rPr>
        <w:t xml:space="preserve"> trên địa bàn tỉnh Quảng Ninh ban hành kèm theo Quyết định số</w:t>
      </w:r>
    </w:p>
    <w:p>
      <w:pPr>
        <w:jc w:val="center"/>
        <w:rPr>
          <w:b/>
          <w:spacing w:val="-4"/>
          <w:sz w:val="28"/>
          <w:szCs w:val="28"/>
        </w:rPr>
      </w:pPr>
      <w:r>
        <w:rPr>
          <w:b/>
          <w:spacing w:val="-4"/>
          <w:sz w:val="28"/>
          <w:szCs w:val="28"/>
        </w:rPr>
        <w:t xml:space="preserve"> 65/2024/QĐ-UBND ngày 24 tháng 12 năm 2024 (sửa đổi, bổ sung tại </w:t>
      </w:r>
    </w:p>
    <w:p>
      <w:pPr>
        <w:jc w:val="center"/>
        <w:rPr>
          <w:b/>
          <w:spacing w:val="-4"/>
          <w:sz w:val="28"/>
          <w:szCs w:val="28"/>
        </w:rPr>
      </w:pPr>
      <w:r>
        <w:rPr>
          <w:b/>
          <w:spacing w:val="-4"/>
          <w:sz w:val="28"/>
          <w:szCs w:val="28"/>
        </w:rPr>
        <w:t xml:space="preserve">Quyết định số 78/2025/QĐ-UBND ngày 09 tháng 10 năm 2025) </w:t>
      </w:r>
    </w:p>
    <w:p>
      <w:pPr>
        <w:jc w:val="center"/>
        <w:rPr>
          <w:b/>
          <w:spacing w:val="-4"/>
          <w:sz w:val="28"/>
          <w:szCs w:val="28"/>
        </w:rPr>
      </w:pPr>
      <w:r>
        <w:rPr>
          <w:b/>
          <w:spacing w:val="-4"/>
          <w:sz w:val="28"/>
          <w:szCs w:val="28"/>
        </w:rPr>
        <w:t xml:space="preserve">của Ủy ban nhân dân tỉnh Quảng Ninh </w:t>
      </w:r>
    </w:p>
    <w:p>
      <w:pPr>
        <w:jc w:val="center"/>
        <w:rPr>
          <w:rFonts w:ascii="Times New Roman Bold" w:hAnsi="Times New Roman Bold"/>
          <w:b/>
          <w:spacing w:val="-4"/>
          <w:sz w:val="28"/>
          <w:szCs w:val="28"/>
        </w:rPr>
      </w:pPr>
      <w:r>
        <w:rPr>
          <w:b/>
          <w:noProof/>
          <w:sz w:val="28"/>
          <w:szCs w:val="28"/>
        </w:rPr>
        <mc:AlternateContent>
          <mc:Choice Requires="wps">
            <w:drawing>
              <wp:anchor distT="0" distB="0" distL="114300" distR="114300" simplePos="0" relativeHeight="251661312" behindDoc="0" locked="0" layoutInCell="1" allowOverlap="1">
                <wp:simplePos x="0" y="0"/>
                <wp:positionH relativeFrom="column">
                  <wp:posOffset>2291715</wp:posOffset>
                </wp:positionH>
                <wp:positionV relativeFrom="paragraph">
                  <wp:posOffset>45085</wp:posOffset>
                </wp:positionV>
                <wp:extent cx="129540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80.45pt;margin-top:3.55pt;width:10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"/>
            </w:pict>
          </mc:Fallback>
        </mc:AlternateContent>
      </w:r>
    </w:p>
    <w:p>
      <w:pPr>
        <w:spacing w:before="120"/>
        <w:jc w:val="center"/>
        <w:rPr>
          <w:b/>
          <w:bCs/>
          <w:sz w:val="22"/>
          <w:szCs w:val="28"/>
        </w:rPr>
      </w:pPr>
    </w:p>
    <w:p>
      <w:pPr>
        <w:spacing w:after="80" w:line="247" w:lineRule="auto"/>
        <w:ind w:firstLine="709"/>
        <w:jc w:val="both"/>
        <w:rPr>
          <w:i/>
          <w:sz w:val="28"/>
          <w:szCs w:val="28"/>
        </w:rPr>
      </w:pPr>
      <w:r>
        <w:rPr>
          <w:i/>
          <w:sz w:val="28"/>
          <w:szCs w:val="28"/>
        </w:rPr>
        <w:t xml:space="preserve">Căn cứ Luật tổ chức chính quyền địa phương số 72/2025/QH15; </w:t>
      </w:r>
    </w:p>
    <w:p>
      <w:pPr>
        <w:spacing w:after="80" w:line="247" w:lineRule="auto"/>
        <w:ind w:firstLine="709"/>
        <w:jc w:val="both"/>
        <w:rPr>
          <w:i/>
          <w:sz w:val="28"/>
          <w:szCs w:val="28"/>
        </w:rPr>
      </w:pPr>
      <w:r>
        <w:rPr>
          <w:i/>
          <w:sz w:val="28"/>
          <w:szCs w:val="28"/>
        </w:rPr>
        <w:t>Căn cứ Luật Ban hành văn bản quy phạm pháp luật số 64/2025/QH15 được sửa đổi, bổ sung bởi Luật số 87/2025/QH15;</w:t>
      </w:r>
    </w:p>
    <w:p>
      <w:pPr>
        <w:spacing w:after="80" w:line="247" w:lineRule="auto"/>
        <w:ind w:firstLine="709"/>
        <w:jc w:val="both"/>
        <w:rPr>
          <w:i/>
          <w:sz w:val="28"/>
          <w:szCs w:val="28"/>
        </w:rPr>
      </w:pPr>
      <w:r>
        <w:rPr>
          <w:i/>
          <w:sz w:val="28"/>
          <w:szCs w:val="28"/>
        </w:rPr>
        <w:t>Căn cứ Luật Giá số 16/2023/QH15 được sửa đổi bổ sung bởi Luật số 140/2025/QH15;</w:t>
      </w:r>
    </w:p>
    <w:p>
      <w:pPr>
        <w:spacing w:after="80" w:line="247" w:lineRule="auto"/>
        <w:ind w:firstLine="709"/>
        <w:jc w:val="both"/>
        <w:rPr>
          <w:i/>
          <w:sz w:val="28"/>
          <w:szCs w:val="28"/>
        </w:rPr>
      </w:pPr>
      <w:r>
        <w:rPr>
          <w:i/>
          <w:sz w:val="28"/>
          <w:szCs w:val="28"/>
        </w:rPr>
        <w:t>Căn cứ Nghị định số 85/2024/NĐ-CP ngày 10 tháng 7 năm 2024 của Chính phủ quy định chi tiết một số điều của Luật Giá;</w:t>
      </w:r>
    </w:p>
    <w:p>
      <w:pPr>
        <w:spacing w:after="80" w:line="247" w:lineRule="auto"/>
        <w:ind w:firstLine="709"/>
        <w:jc w:val="both"/>
        <w:rPr>
          <w:i/>
          <w:sz w:val="28"/>
          <w:szCs w:val="28"/>
        </w:rPr>
      </w:pPr>
      <w:r>
        <w:rPr>
          <w:i/>
          <w:sz w:val="28"/>
          <w:szCs w:val="28"/>
        </w:rPr>
        <w:t xml:space="preserve">Căn cứ các Thông tư của Bộ Tài chính: Số 28/2024/TT-BTC ngày 16 tháng 5 năm 2024 Quy định về trình tự, thủ tục kiểm tra việc chấp hành pháp luật về giá, thẩm định giá; số 29/2024/TT-BTC ngày 16 tháng 5 năm 2024 của Bộ Tài chính quy định về công tác tổng hợp, phân tích, dự báo giá thị trường và kinh phí bảo đảm cho công tác tổng hợp, phân tích, dự báo giá thị trường; số 45/2024/TT-BTC ngày 01 tháng 7 năm 2024 vê ban hành phương pháp định giá chung đối với hàng hóa, dịch vụ do Nhà nước định giá; số 44/2025/TT-BTC ngày 18 tháng 6 năm 2025 về sửa đổi, bổ sung một số điều của Thông tư số 29/2024/TT-BTC ngày 16 tháng 5 năm 2024 của Bộ Tài chính quy định về công tác tổng hợp, phân tích, dự báo giá thị trường và kinh phí bảo đảm cho công tác tổng hợp, phân tích, dự báo giá thị trường; </w:t>
      </w:r>
    </w:p>
    <w:p>
      <w:pPr>
        <w:spacing w:after="80" w:line="247" w:lineRule="auto"/>
        <w:ind w:firstLine="720"/>
        <w:jc w:val="both"/>
        <w:rPr>
          <w:i/>
          <w:iCs/>
          <w:sz w:val="28"/>
          <w:szCs w:val="28"/>
        </w:rPr>
      </w:pPr>
      <w:r>
        <w:rPr>
          <w:i/>
          <w:iCs/>
          <w:sz w:val="28"/>
          <w:szCs w:val="28"/>
        </w:rPr>
        <w:t>Theo</w:t>
      </w:r>
      <w:r>
        <w:rPr>
          <w:i/>
          <w:iCs/>
          <w:sz w:val="28"/>
          <w:szCs w:val="28"/>
          <w:lang w:val="vi-VN"/>
        </w:rPr>
        <w:t xml:space="preserve"> đề nghị của Sở Tài chính tại Tờ trình số</w:t>
      </w:r>
      <w:r>
        <w:rPr>
          <w:i/>
          <w:iCs/>
          <w:sz w:val="28"/>
          <w:szCs w:val="28"/>
        </w:rPr>
        <w:t xml:space="preserve"> </w:t>
      </w:r>
      <w:r>
        <w:rPr>
          <w:i/>
          <w:iCs/>
          <w:sz w:val="28"/>
          <w:szCs w:val="28"/>
          <w:lang w:val="vi-VN"/>
        </w:rPr>
        <w:t>3310/TTr-STC ngày 31</w:t>
      </w:r>
      <w:r>
        <w:rPr>
          <w:i/>
          <w:iCs/>
          <w:sz w:val="28"/>
          <w:szCs w:val="28"/>
        </w:rPr>
        <w:t xml:space="preserve"> tháng </w:t>
      </w:r>
      <w:r>
        <w:rPr>
          <w:i/>
          <w:iCs/>
          <w:sz w:val="28"/>
          <w:szCs w:val="28"/>
          <w:lang w:val="vi-VN"/>
        </w:rPr>
        <w:t>3</w:t>
      </w:r>
      <w:r>
        <w:rPr>
          <w:i/>
          <w:iCs/>
          <w:sz w:val="28"/>
          <w:szCs w:val="28"/>
        </w:rPr>
        <w:t xml:space="preserve"> năm </w:t>
      </w:r>
      <w:r>
        <w:rPr>
          <w:i/>
          <w:iCs/>
          <w:sz w:val="28"/>
          <w:szCs w:val="28"/>
          <w:lang w:val="vi-VN"/>
        </w:rPr>
        <w:t>2026,</w:t>
      </w:r>
      <w:r>
        <w:t xml:space="preserve"> </w:t>
      </w:r>
      <w:r>
        <w:rPr>
          <w:i/>
          <w:iCs/>
          <w:sz w:val="28"/>
          <w:szCs w:val="28"/>
          <w:lang w:val="vi-VN"/>
        </w:rPr>
        <w:t>Báo cáo thẩm định số 286/BC-STP ngày 08 tháng 9 năm 2025 của Sở Tư pháp</w:t>
      </w:r>
      <w:r>
        <w:rPr>
          <w:i/>
          <w:iCs/>
          <w:sz w:val="28"/>
          <w:szCs w:val="28"/>
        </w:rPr>
        <w:t>;</w:t>
      </w:r>
    </w:p>
    <w:p>
      <w:pPr>
        <w:spacing w:after="80" w:line="247" w:lineRule="auto"/>
        <w:ind w:firstLine="720"/>
        <w:jc w:val="both"/>
        <w:rPr>
          <w:i/>
          <w:iCs/>
          <w:sz w:val="28"/>
          <w:szCs w:val="28"/>
        </w:rPr>
      </w:pPr>
      <w:r>
        <w:rPr>
          <w:i/>
          <w:iCs/>
          <w:sz w:val="28"/>
          <w:szCs w:val="28"/>
        </w:rPr>
        <w:t>Ủy ban nhân dân tỉnh Quảng Ninh ban hành Quyết định Sửa đổi, bổ sung một số điều của Quy định quản lý nhà nước về giá  trên địa bàn tỉnh Quảng Ninh ban hành kèm theo Quyết định số  65/2024/QĐ-UBND ngày 24 tháng 12 năm 2024 (sửa đổi, bổ sung tại Quyết định số 78/2025/QĐ-UBND ngày 09 tháng 10 năm 2025) của Ủy ban nhân dân tỉnh Quảng Ninh.</w:t>
      </w:r>
    </w:p>
    <w:p>
      <w:pPr>
        <w:spacing w:before="120" w:after="120"/>
        <w:ind w:firstLine="720"/>
        <w:jc w:val="both"/>
        <w:rPr>
          <w:b/>
          <w:bCs/>
          <w:sz w:val="28"/>
          <w:szCs w:val="28"/>
        </w:rPr>
      </w:pPr>
      <w:bookmarkStart w:id="1" w:name="dieu_1"/>
      <w:r>
        <w:rPr>
          <w:b/>
          <w:bCs/>
          <w:sz w:val="28"/>
          <w:szCs w:val="28"/>
          <w:lang w:val="vi-VN"/>
        </w:rPr>
        <w:t xml:space="preserve">Điều 1. </w:t>
      </w:r>
      <w:bookmarkStart w:id="2" w:name="dieu_5"/>
      <w:bookmarkEnd w:id="1"/>
      <w:r>
        <w:rPr>
          <w:b/>
          <w:bCs/>
          <w:sz w:val="28"/>
          <w:szCs w:val="28"/>
        </w:rPr>
        <w:t xml:space="preserve">Sửa đổi, bổ sung một số điều của Quy định quản lý nhà nước về giá trên địa bàn tỉnh Quảng Ninh và Phụ lục 01 ban hành kèm theo Quyết định số  65/2024/QĐ-UBND ngày 24 tháng 12 năm 2024 (sửa đổi, bổ sung tại </w:t>
      </w:r>
      <w:r>
        <w:rPr>
          <w:b/>
          <w:bCs/>
          <w:sz w:val="28"/>
          <w:szCs w:val="28"/>
        </w:rPr>
        <w:lastRenderedPageBreak/>
        <w:t>Quyết định số 78/2025/QĐ-UBND ngày 09 tháng 10 năm 2025) của Ủy ban nhân dân tỉnh Quảng Ninh</w:t>
      </w:r>
    </w:p>
    <w:p>
      <w:pPr>
        <w:spacing w:before="120" w:after="120"/>
        <w:ind w:firstLine="720"/>
        <w:jc w:val="both"/>
        <w:rPr>
          <w:bCs/>
          <w:sz w:val="28"/>
          <w:szCs w:val="28"/>
        </w:rPr>
      </w:pPr>
      <w:r>
        <w:rPr>
          <w:bCs/>
          <w:sz w:val="28"/>
          <w:szCs w:val="28"/>
        </w:rPr>
        <w:t>1. Thay thế cụm từ “thanh tra chuyên ngành về giá</w:t>
      </w:r>
      <w:bookmarkStart w:id="3" w:name="_GoBack"/>
      <w:bookmarkEnd w:id="3"/>
      <w:r>
        <w:rPr>
          <w:bCs/>
          <w:sz w:val="28"/>
          <w:szCs w:val="28"/>
        </w:rPr>
        <w:t>” tại Điều 1, khoản 1 Điều 14 và tên Chương V bằng cụm từ “thanh tra trong lĩnh vực giá”.</w:t>
      </w:r>
    </w:p>
    <w:p>
      <w:pPr>
        <w:spacing w:before="120" w:after="120" w:line="252" w:lineRule="auto"/>
        <w:ind w:firstLine="720"/>
        <w:jc w:val="both"/>
        <w:rPr>
          <w:bCs/>
          <w:spacing w:val="-8"/>
          <w:sz w:val="28"/>
          <w:szCs w:val="28"/>
        </w:rPr>
      </w:pPr>
      <w:r>
        <w:rPr>
          <w:bCs/>
          <w:sz w:val="28"/>
          <w:szCs w:val="28"/>
        </w:rPr>
        <w:t>2. Sửa đổi, bổ sung Phụ lục 01 ban hành kèm theo Quyết định số 65/2024/QĐ-UBND ngày 24 tháng 12 năm 2024 (sửa đổi, bổ sung tại Điều 1 Quyết định số 78/2025/QĐ-UBND</w:t>
      </w:r>
      <w:r>
        <w:t xml:space="preserve"> </w:t>
      </w:r>
      <w:r>
        <w:rPr>
          <w:bCs/>
          <w:sz w:val="28"/>
          <w:szCs w:val="28"/>
        </w:rPr>
        <w:t>ngày 09 tháng 10 năm 2025) theo Phụ lục ban hành kèm theo Quyết định này</w:t>
      </w:r>
      <w:r>
        <w:rPr>
          <w:bCs/>
          <w:spacing w:val="-8"/>
          <w:sz w:val="28"/>
          <w:szCs w:val="28"/>
        </w:rPr>
        <w:t>.</w:t>
      </w:r>
    </w:p>
    <w:p>
      <w:pPr>
        <w:spacing w:before="120" w:after="120" w:line="252" w:lineRule="auto"/>
        <w:ind w:firstLine="720"/>
        <w:jc w:val="both"/>
        <w:rPr>
          <w:b/>
          <w:bCs/>
          <w:sz w:val="28"/>
          <w:szCs w:val="28"/>
        </w:rPr>
      </w:pPr>
      <w:r>
        <w:rPr>
          <w:b/>
          <w:bCs/>
          <w:sz w:val="28"/>
          <w:szCs w:val="28"/>
          <w:lang w:val="vi-VN"/>
        </w:rPr>
        <w:t xml:space="preserve">Điều </w:t>
      </w:r>
      <w:r>
        <w:rPr>
          <w:b/>
          <w:bCs/>
          <w:sz w:val="28"/>
          <w:szCs w:val="28"/>
        </w:rPr>
        <w:t>2</w:t>
      </w:r>
      <w:r>
        <w:rPr>
          <w:b/>
          <w:bCs/>
          <w:sz w:val="28"/>
          <w:szCs w:val="28"/>
          <w:lang w:val="vi-VN"/>
        </w:rPr>
        <w:t xml:space="preserve">. </w:t>
      </w:r>
      <w:bookmarkStart w:id="4" w:name="dieu_4"/>
      <w:bookmarkEnd w:id="2"/>
      <w:r>
        <w:rPr>
          <w:b/>
          <w:bCs/>
          <w:sz w:val="28"/>
          <w:szCs w:val="28"/>
        </w:rPr>
        <w:t>Hiệu lực thi hành</w:t>
      </w:r>
    </w:p>
    <w:p>
      <w:pPr>
        <w:spacing w:before="120" w:after="120" w:line="252" w:lineRule="auto"/>
        <w:ind w:firstLine="720"/>
        <w:jc w:val="both"/>
        <w:rPr>
          <w:spacing w:val="-2"/>
          <w:sz w:val="28"/>
          <w:szCs w:val="28"/>
        </w:rPr>
      </w:pPr>
      <w:r>
        <w:rPr>
          <w:bCs/>
          <w:sz w:val="28"/>
          <w:szCs w:val="28"/>
        </w:rPr>
        <w:t>Quyết định này có hiệu lực thi hành kể từ ngày 01 tháng 5 năm 2026.</w:t>
      </w:r>
    </w:p>
    <w:p>
      <w:pPr>
        <w:spacing w:before="120" w:after="120" w:line="252" w:lineRule="auto"/>
        <w:ind w:firstLine="720"/>
        <w:jc w:val="both"/>
        <w:rPr>
          <w:b/>
          <w:bCs/>
          <w:sz w:val="28"/>
          <w:szCs w:val="28"/>
        </w:rPr>
      </w:pPr>
      <w:r>
        <w:rPr>
          <w:b/>
          <w:bCs/>
          <w:sz w:val="28"/>
          <w:szCs w:val="28"/>
          <w:lang w:val="vi-VN"/>
        </w:rPr>
        <w:t xml:space="preserve">Điều </w:t>
      </w:r>
      <w:r>
        <w:rPr>
          <w:b/>
          <w:bCs/>
          <w:sz w:val="28"/>
          <w:szCs w:val="28"/>
        </w:rPr>
        <w:t>3</w:t>
      </w:r>
      <w:r>
        <w:rPr>
          <w:b/>
          <w:bCs/>
          <w:sz w:val="28"/>
          <w:szCs w:val="28"/>
          <w:lang w:val="vi-VN"/>
        </w:rPr>
        <w:t xml:space="preserve">. </w:t>
      </w:r>
      <w:bookmarkEnd w:id="4"/>
      <w:r>
        <w:rPr>
          <w:b/>
          <w:bCs/>
          <w:sz w:val="28"/>
          <w:szCs w:val="28"/>
        </w:rPr>
        <w:t>Tổ chức thực hiện</w:t>
      </w:r>
    </w:p>
    <w:p>
      <w:pPr>
        <w:spacing w:before="120" w:after="120" w:line="252" w:lineRule="auto"/>
        <w:ind w:firstLine="720"/>
        <w:jc w:val="both"/>
        <w:rPr>
          <w:sz w:val="28"/>
          <w:szCs w:val="28"/>
        </w:rPr>
      </w:pPr>
      <w:r>
        <w:rPr>
          <w:sz w:val="28"/>
          <w:szCs w:val="28"/>
        </w:rPr>
        <w:t>Chánh Văn phòng Ủy ban nhân dân tỉnh; Giám đốc, Thủ trưởng các sở, ban, ngành, tổ chức, đoàn thể cấp tỉnh; Chủ tịch Ủy ban nhân dân các xã, phường, đặc khu và Thủ trưởng các cơ quan, đơn vị, tổ chức, cá nhân có liên quan chịu trách nhiệm thi hành Quyết định này.</w:t>
      </w:r>
    </w:p>
    <w:tbl>
      <w:tblPr>
        <w:tblW w:w="0" w:type="auto"/>
        <w:tblLook w:val="01E0" w:firstRow="1" w:lastRow="1" w:firstColumn="1" w:lastColumn="1" w:noHBand="0" w:noVBand="0"/>
      </w:tblPr>
      <w:tblGrid>
        <w:gridCol w:w="4502"/>
        <w:gridCol w:w="4678"/>
      </w:tblGrid>
      <w:tr>
        <w:tc>
          <w:tcPr>
            <w:tcW w:w="4502" w:type="dxa"/>
          </w:tcPr>
          <w:p>
            <w:pPr>
              <w:spacing w:before="60"/>
              <w:jc w:val="both"/>
              <w:rPr>
                <w:b/>
                <w:bCs/>
                <w:sz w:val="26"/>
                <w:lang w:val="it-IT"/>
              </w:rPr>
            </w:pPr>
            <w:r>
              <w:rPr>
                <w:b/>
                <w:i/>
                <w:lang w:val="it-IT"/>
              </w:rPr>
              <w:t>Nơi nhận</w:t>
            </w:r>
            <w:r>
              <w:rPr>
                <w:lang w:val="it-IT"/>
              </w:rPr>
              <w:t>:</w:t>
            </w:r>
            <w:r>
              <w:rPr>
                <w:lang w:val="it-IT"/>
              </w:rPr>
              <w:tab/>
            </w:r>
            <w:r>
              <w:rPr>
                <w:sz w:val="28"/>
                <w:lang w:val="it-IT"/>
              </w:rPr>
              <w:tab/>
            </w:r>
            <w:r>
              <w:rPr>
                <w:sz w:val="28"/>
                <w:lang w:val="it-IT"/>
              </w:rPr>
              <w:tab/>
            </w:r>
            <w:r>
              <w:rPr>
                <w:b/>
                <w:bCs/>
                <w:sz w:val="28"/>
                <w:lang w:val="it-IT"/>
              </w:rPr>
              <w:t xml:space="preserve">       </w:t>
            </w:r>
            <w:r>
              <w:rPr>
                <w:b/>
                <w:bCs/>
                <w:sz w:val="28"/>
                <w:lang w:val="it-IT"/>
              </w:rPr>
              <w:tab/>
              <w:t xml:space="preserve">                  </w:t>
            </w:r>
          </w:p>
          <w:p>
            <w:pPr>
              <w:jc w:val="both"/>
              <w:rPr>
                <w:sz w:val="22"/>
                <w:szCs w:val="22"/>
                <w:lang w:val="it-IT"/>
              </w:rPr>
            </w:pPr>
            <w:r>
              <w:rPr>
                <w:sz w:val="22"/>
                <w:szCs w:val="22"/>
                <w:lang w:val="it-IT"/>
              </w:rPr>
              <w:t>- Như Điều 3;</w:t>
            </w:r>
          </w:p>
          <w:p>
            <w:pPr>
              <w:jc w:val="both"/>
              <w:rPr>
                <w:sz w:val="22"/>
                <w:szCs w:val="22"/>
                <w:lang w:val="it-IT"/>
              </w:rPr>
            </w:pPr>
            <w:r>
              <w:rPr>
                <w:sz w:val="22"/>
                <w:szCs w:val="22"/>
                <w:lang w:val="it-IT"/>
              </w:rPr>
              <w:t>- Bộ Tài chính (B/c);</w:t>
            </w:r>
          </w:p>
          <w:p>
            <w:pPr>
              <w:jc w:val="both"/>
              <w:rPr>
                <w:spacing w:val="-8"/>
                <w:sz w:val="22"/>
                <w:szCs w:val="22"/>
                <w:lang w:val="it-IT"/>
              </w:rPr>
            </w:pPr>
            <w:r>
              <w:rPr>
                <w:spacing w:val="-8"/>
                <w:sz w:val="22"/>
                <w:szCs w:val="22"/>
                <w:lang w:val="it-IT"/>
              </w:rPr>
              <w:t>- Cục Kiểm tra VBQPPL, Bộ Tư pháp (B/c);</w:t>
            </w:r>
          </w:p>
          <w:p>
            <w:pPr>
              <w:jc w:val="both"/>
              <w:rPr>
                <w:sz w:val="22"/>
                <w:szCs w:val="22"/>
                <w:lang w:val="it-IT"/>
              </w:rPr>
            </w:pPr>
            <w:r>
              <w:rPr>
                <w:sz w:val="22"/>
                <w:szCs w:val="22"/>
                <w:lang w:val="it-IT"/>
              </w:rPr>
              <w:t>- TT Tỉnh ủy, TT HĐND tỉnh (B/c);</w:t>
            </w:r>
          </w:p>
          <w:p>
            <w:pPr>
              <w:jc w:val="both"/>
              <w:rPr>
                <w:sz w:val="22"/>
                <w:szCs w:val="22"/>
                <w:lang w:val="it-IT"/>
              </w:rPr>
            </w:pPr>
            <w:r>
              <w:rPr>
                <w:sz w:val="22"/>
                <w:szCs w:val="22"/>
                <w:lang w:val="it-IT"/>
              </w:rPr>
              <w:t>- Chủ tịch, các PCT UBND tỉnh;</w:t>
            </w:r>
          </w:p>
          <w:p>
            <w:pPr>
              <w:jc w:val="both"/>
              <w:rPr>
                <w:spacing w:val="-2"/>
                <w:sz w:val="22"/>
                <w:szCs w:val="22"/>
                <w:lang w:val="it-IT"/>
              </w:rPr>
            </w:pPr>
            <w:r>
              <w:rPr>
                <w:spacing w:val="-2"/>
                <w:sz w:val="22"/>
                <w:szCs w:val="22"/>
                <w:lang w:val="it-IT"/>
              </w:rPr>
              <w:t>- Báo, phát thanh và truyền hình tỉnh;</w:t>
            </w:r>
          </w:p>
          <w:p>
            <w:pPr>
              <w:jc w:val="both"/>
              <w:rPr>
                <w:spacing w:val="-2"/>
                <w:sz w:val="22"/>
                <w:szCs w:val="22"/>
                <w:lang w:val="it-IT"/>
              </w:rPr>
            </w:pPr>
            <w:r>
              <w:rPr>
                <w:spacing w:val="-2"/>
                <w:sz w:val="22"/>
                <w:szCs w:val="22"/>
                <w:lang w:val="it-IT"/>
              </w:rPr>
              <w:t>- Cổng TTĐT tỉnh;</w:t>
            </w:r>
          </w:p>
          <w:p>
            <w:pPr>
              <w:jc w:val="both"/>
              <w:rPr>
                <w:sz w:val="22"/>
                <w:szCs w:val="22"/>
              </w:rPr>
            </w:pPr>
            <w:r>
              <w:rPr>
                <w:sz w:val="22"/>
                <w:szCs w:val="22"/>
              </w:rPr>
              <w:t>- V0, V1-V4, TM, TH;</w:t>
            </w:r>
          </w:p>
          <w:p>
            <w:pPr>
              <w:jc w:val="both"/>
              <w:rPr>
                <w:sz w:val="22"/>
                <w:szCs w:val="22"/>
              </w:rPr>
            </w:pPr>
            <w:r>
              <w:rPr>
                <w:sz w:val="22"/>
                <w:szCs w:val="22"/>
              </w:rPr>
              <w:t>- Lưu: VT, TM6.</w:t>
            </w:r>
          </w:p>
          <w:p>
            <w:pPr>
              <w:jc w:val="both"/>
              <w:rPr>
                <w:spacing w:val="-8"/>
                <w:sz w:val="28"/>
                <w:szCs w:val="28"/>
              </w:rPr>
            </w:pPr>
          </w:p>
        </w:tc>
        <w:tc>
          <w:tcPr>
            <w:tcW w:w="4678" w:type="dxa"/>
          </w:tcPr>
          <w:p>
            <w:pPr>
              <w:spacing w:before="60"/>
              <w:jc w:val="center"/>
              <w:rPr>
                <w:b/>
                <w:bCs/>
                <w:sz w:val="28"/>
                <w:szCs w:val="28"/>
                <w:lang w:val="nl-NL"/>
              </w:rPr>
            </w:pPr>
            <w:r>
              <w:rPr>
                <w:b/>
                <w:bCs/>
                <w:sz w:val="28"/>
                <w:szCs w:val="28"/>
                <w:lang w:val="nl-NL"/>
              </w:rPr>
              <w:t>TM. UỶ BAN NHÂN DÂN</w:t>
            </w:r>
          </w:p>
          <w:p>
            <w:pPr>
              <w:jc w:val="center"/>
              <w:rPr>
                <w:b/>
                <w:bCs/>
                <w:sz w:val="28"/>
                <w:szCs w:val="28"/>
                <w:lang w:val="nl-NL"/>
              </w:rPr>
            </w:pPr>
            <w:r>
              <w:rPr>
                <w:b/>
                <w:bCs/>
                <w:sz w:val="28"/>
                <w:szCs w:val="28"/>
                <w:lang w:val="nl-NL"/>
              </w:rPr>
              <w:t>KT. CHỦ TỊCH</w:t>
            </w:r>
          </w:p>
          <w:p>
            <w:pPr>
              <w:jc w:val="center"/>
              <w:rPr>
                <w:b/>
                <w:bCs/>
                <w:sz w:val="28"/>
                <w:szCs w:val="28"/>
                <w:lang w:val="nl-NL"/>
              </w:rPr>
            </w:pPr>
            <w:r>
              <w:rPr>
                <w:b/>
                <w:bCs/>
                <w:sz w:val="28"/>
                <w:szCs w:val="28"/>
                <w:lang w:val="nl-NL"/>
              </w:rPr>
              <w:t>PHÓ CHỦ TỊCH</w:t>
            </w:r>
          </w:p>
          <w:p>
            <w:pPr>
              <w:pStyle w:val="BodyTextIndent2"/>
              <w:spacing w:before="120" w:after="0" w:line="240" w:lineRule="auto"/>
              <w:ind w:left="0"/>
              <w:jc w:val="both"/>
              <w:rPr>
                <w:rFonts w:ascii="Times New Roman" w:hAnsi="Times New Roman"/>
                <w:b/>
                <w:bCs/>
                <w:spacing w:val="-8"/>
                <w:sz w:val="28"/>
                <w:szCs w:val="28"/>
                <w:lang w:val="nl-NL"/>
              </w:rPr>
            </w:pPr>
          </w:p>
          <w:p>
            <w:pPr>
              <w:pStyle w:val="BodyTextIndent2"/>
              <w:spacing w:before="120" w:after="0" w:line="240" w:lineRule="auto"/>
              <w:ind w:left="0"/>
              <w:jc w:val="both"/>
              <w:rPr>
                <w:rFonts w:ascii="Times New Roman" w:hAnsi="Times New Roman"/>
                <w:b/>
                <w:bCs/>
                <w:spacing w:val="-8"/>
                <w:sz w:val="28"/>
                <w:szCs w:val="28"/>
                <w:lang w:val="nl-NL"/>
              </w:rPr>
            </w:pPr>
          </w:p>
          <w:p>
            <w:pPr>
              <w:pStyle w:val="BodyTextIndent2"/>
              <w:spacing w:before="120" w:after="0" w:line="240" w:lineRule="auto"/>
              <w:ind w:left="0"/>
              <w:jc w:val="both"/>
              <w:rPr>
                <w:rFonts w:ascii="Times New Roman" w:hAnsi="Times New Roman"/>
                <w:b/>
                <w:bCs/>
                <w:spacing w:val="-8"/>
                <w:sz w:val="28"/>
                <w:szCs w:val="28"/>
                <w:lang w:val="nl-NL"/>
              </w:rPr>
            </w:pPr>
          </w:p>
          <w:p>
            <w:pPr>
              <w:pStyle w:val="BodyTextIndent2"/>
              <w:spacing w:before="120" w:after="0" w:line="240" w:lineRule="auto"/>
              <w:ind w:left="0"/>
              <w:jc w:val="center"/>
              <w:rPr>
                <w:rFonts w:ascii="Times New Roman" w:hAnsi="Times New Roman"/>
                <w:b/>
                <w:bCs/>
                <w:spacing w:val="-8"/>
                <w:sz w:val="28"/>
                <w:szCs w:val="28"/>
                <w:lang w:val="nl-NL"/>
              </w:rPr>
            </w:pPr>
          </w:p>
          <w:p>
            <w:pPr>
              <w:pStyle w:val="BodyTextIndent2"/>
              <w:spacing w:before="120" w:after="0" w:line="240" w:lineRule="auto"/>
              <w:ind w:left="0"/>
              <w:jc w:val="center"/>
              <w:rPr>
                <w:rFonts w:ascii="Times New Roman" w:hAnsi="Times New Roman"/>
                <w:b/>
                <w:bCs/>
                <w:spacing w:val="-8"/>
                <w:sz w:val="28"/>
                <w:szCs w:val="28"/>
                <w:lang w:val="nl-NL"/>
              </w:rPr>
            </w:pPr>
            <w:r>
              <w:rPr>
                <w:rFonts w:ascii="Times New Roman" w:hAnsi="Times New Roman"/>
                <w:b/>
                <w:bCs/>
                <w:spacing w:val="-8"/>
                <w:sz w:val="28"/>
                <w:szCs w:val="28"/>
                <w:lang w:val="nl-NL"/>
              </w:rPr>
              <w:t>Vũ Văn Diện</w:t>
            </w:r>
          </w:p>
        </w:tc>
      </w:tr>
    </w:tbl>
    <w:p/>
    <w:p/>
    <w:p/>
    <w:p/>
    <w:p/>
    <w:p/>
    <w:p/>
    <w:p/>
    <w:p/>
    <w:p/>
    <w:p/>
    <w:p/>
    <w:p/>
    <w:p/>
    <w:p/>
    <w:p/>
    <w:p/>
    <w:p/>
    <w:p/>
    <w:p/>
    <w:p>
      <w:pPr>
        <w:jc w:val="center"/>
        <w:rPr>
          <w:b/>
          <w:sz w:val="28"/>
          <w:szCs w:val="28"/>
        </w:rPr>
      </w:pPr>
      <w:r>
        <w:rPr>
          <w:b/>
          <w:sz w:val="28"/>
          <w:szCs w:val="28"/>
        </w:rPr>
        <w:lastRenderedPageBreak/>
        <w:t>PHỤ LỤC 01</w:t>
      </w:r>
    </w:p>
    <w:p>
      <w:pPr>
        <w:jc w:val="center"/>
        <w:rPr>
          <w:b/>
          <w:sz w:val="28"/>
          <w:szCs w:val="28"/>
        </w:rPr>
      </w:pPr>
      <w:r>
        <w:rPr>
          <w:b/>
          <w:sz w:val="28"/>
          <w:szCs w:val="28"/>
        </w:rPr>
        <w:t xml:space="preserve">PHÂN CÔNG THỰC HIỆN ĐỊNH GIÁ ĐỐI VỚI DANH MỤC </w:t>
      </w:r>
    </w:p>
    <w:p>
      <w:pPr>
        <w:jc w:val="center"/>
        <w:rPr>
          <w:b/>
          <w:sz w:val="28"/>
          <w:szCs w:val="28"/>
        </w:rPr>
      </w:pPr>
      <w:r>
        <w:rPr>
          <w:b/>
          <w:sz w:val="28"/>
          <w:szCs w:val="28"/>
        </w:rPr>
        <w:t xml:space="preserve">HÀNG HÓA, DỊCH VỤ THUỘC THẨM QUYỀN ĐỊNH GIÁ </w:t>
      </w:r>
    </w:p>
    <w:p>
      <w:pPr>
        <w:jc w:val="center"/>
        <w:rPr>
          <w:b/>
          <w:sz w:val="28"/>
          <w:szCs w:val="28"/>
        </w:rPr>
      </w:pPr>
      <w:r>
        <w:rPr>
          <w:b/>
          <w:sz w:val="28"/>
          <w:szCs w:val="28"/>
        </w:rPr>
        <w:t>CỦA ỦY BAN NHÂN DÂN TỈNH</w:t>
      </w:r>
    </w:p>
    <w:p>
      <w:pPr>
        <w:spacing w:after="120"/>
        <w:jc w:val="center"/>
        <w:rPr>
          <w:rFonts w:ascii="Times New Roman Italic" w:hAnsi="Times New Roman Italic"/>
          <w:b/>
          <w:spacing w:val="-4"/>
          <w:sz w:val="28"/>
          <w:szCs w:val="28"/>
        </w:rPr>
      </w:pPr>
      <w:r>
        <w:rPr>
          <w:rFonts w:ascii="Times New Roman Italic" w:hAnsi="Times New Roman Italic"/>
          <w:i/>
          <w:spacing w:val="-4"/>
          <w:sz w:val="28"/>
          <w:szCs w:val="28"/>
        </w:rPr>
        <w:t>(Ban hành kèm theo Quyết định số       /2026/QĐ-UBND ngày      tháng 4 năm 2026 của Ủy ban nhân dân tỉnh Quảng Ninh)</w:t>
      </w:r>
    </w:p>
    <w:tbl>
      <w:tblPr>
        <w:tblW w:w="10207" w:type="dxa"/>
        <w:tblInd w:w="-601" w:type="dxa"/>
        <w:tblLook w:val="04A0" w:firstRow="1" w:lastRow="0" w:firstColumn="1" w:lastColumn="0" w:noHBand="0" w:noVBand="1"/>
      </w:tblPr>
      <w:tblGrid>
        <w:gridCol w:w="709"/>
        <w:gridCol w:w="4395"/>
        <w:gridCol w:w="2693"/>
        <w:gridCol w:w="2410"/>
      </w:tblGrid>
      <w:tr>
        <w:trPr>
          <w:trHeight w:val="1986"/>
          <w:tblHead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b/>
                <w:bCs/>
                <w:sz w:val="26"/>
                <w:szCs w:val="26"/>
              </w:rPr>
            </w:pPr>
            <w:r>
              <w:rPr>
                <w:b/>
                <w:bCs/>
                <w:sz w:val="26"/>
                <w:szCs w:val="26"/>
              </w:rPr>
              <w:t>STT</w:t>
            </w:r>
          </w:p>
        </w:tc>
        <w:tc>
          <w:tcPr>
            <w:tcW w:w="4395" w:type="dxa"/>
            <w:tcBorders>
              <w:top w:val="single" w:sz="4" w:space="0" w:color="auto"/>
              <w:left w:val="nil"/>
              <w:bottom w:val="single" w:sz="4" w:space="0" w:color="auto"/>
              <w:right w:val="single" w:sz="4" w:space="0" w:color="auto"/>
            </w:tcBorders>
            <w:shd w:val="clear" w:color="auto" w:fill="auto"/>
            <w:vAlign w:val="center"/>
            <w:hideMark/>
          </w:tcPr>
          <w:p>
            <w:pPr>
              <w:jc w:val="center"/>
              <w:rPr>
                <w:b/>
                <w:bCs/>
                <w:sz w:val="26"/>
                <w:szCs w:val="26"/>
              </w:rPr>
            </w:pPr>
            <w:r>
              <w:rPr>
                <w:b/>
                <w:bCs/>
                <w:sz w:val="26"/>
                <w:szCs w:val="26"/>
              </w:rPr>
              <w:t>Tên hàng hóa, dịch vụ</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pPr>
              <w:jc w:val="center"/>
              <w:rPr>
                <w:b/>
                <w:bCs/>
                <w:sz w:val="26"/>
                <w:szCs w:val="26"/>
              </w:rPr>
            </w:pPr>
            <w:r>
              <w:rPr>
                <w:b/>
                <w:bCs/>
                <w:sz w:val="26"/>
                <w:szCs w:val="26"/>
              </w:rPr>
              <w:t>Hình thức định giá</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pPr>
              <w:ind w:left="-57" w:right="-57"/>
              <w:jc w:val="center"/>
              <w:rPr>
                <w:rFonts w:ascii="Times New Roman Bold" w:hAnsi="Times New Roman Bold"/>
                <w:b/>
                <w:bCs/>
                <w:spacing w:val="-4"/>
                <w:sz w:val="26"/>
                <w:szCs w:val="26"/>
              </w:rPr>
            </w:pPr>
            <w:r>
              <w:rPr>
                <w:rFonts w:ascii="Times New Roman Bold" w:hAnsi="Times New Roman Bold"/>
                <w:b/>
                <w:bCs/>
                <w:spacing w:val="-4"/>
                <w:sz w:val="26"/>
                <w:szCs w:val="26"/>
              </w:rPr>
              <w:t>Cơ quan, đơn vị chủ trì tham mưu lựa chọn tổ chức lập phương án giá, thẩm định phương án giá và trình ban hành văn bản định giá</w:t>
            </w:r>
          </w:p>
        </w:tc>
      </w:tr>
      <w:tr>
        <w:trPr>
          <w:trHeight w:val="37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b/>
                <w:bCs/>
                <w:sz w:val="27"/>
                <w:szCs w:val="27"/>
              </w:rPr>
            </w:pPr>
            <w:r>
              <w:rPr>
                <w:b/>
                <w:bCs/>
                <w:sz w:val="27"/>
                <w:szCs w:val="27"/>
              </w:rPr>
              <w:t>I</w:t>
            </w:r>
          </w:p>
        </w:tc>
        <w:tc>
          <w:tcPr>
            <w:tcW w:w="9498" w:type="dxa"/>
            <w:gridSpan w:val="3"/>
            <w:tcBorders>
              <w:top w:val="single" w:sz="4" w:space="0" w:color="auto"/>
              <w:left w:val="nil"/>
              <w:bottom w:val="single" w:sz="4" w:space="0" w:color="auto"/>
              <w:right w:val="single" w:sz="4" w:space="0" w:color="auto"/>
            </w:tcBorders>
            <w:shd w:val="clear" w:color="auto" w:fill="auto"/>
            <w:vAlign w:val="center"/>
            <w:hideMark/>
          </w:tcPr>
          <w:p>
            <w:pPr>
              <w:rPr>
                <w:b/>
                <w:bCs/>
                <w:sz w:val="27"/>
                <w:szCs w:val="27"/>
              </w:rPr>
            </w:pPr>
            <w:r>
              <w:rPr>
                <w:b/>
                <w:bCs/>
                <w:sz w:val="27"/>
                <w:szCs w:val="27"/>
              </w:rPr>
              <w:t>Danh mục hàng hóa, dịch vụ do một cấp định giá</w:t>
            </w:r>
          </w:p>
        </w:tc>
      </w:tr>
      <w:tr>
        <w:trPr>
          <w:trHeight w:val="112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7"/>
                <w:szCs w:val="27"/>
              </w:rPr>
            </w:pPr>
            <w:r>
              <w:rPr>
                <w:sz w:val="27"/>
                <w:szCs w:val="27"/>
              </w:rPr>
              <w:t>1</w:t>
            </w:r>
          </w:p>
        </w:tc>
        <w:tc>
          <w:tcPr>
            <w:tcW w:w="4395" w:type="dxa"/>
            <w:tcBorders>
              <w:top w:val="single" w:sz="4" w:space="0" w:color="auto"/>
              <w:left w:val="nil"/>
              <w:bottom w:val="single" w:sz="4" w:space="0" w:color="auto"/>
              <w:right w:val="single" w:sz="4" w:space="0" w:color="auto"/>
            </w:tcBorders>
            <w:shd w:val="clear" w:color="auto" w:fill="auto"/>
            <w:vAlign w:val="center"/>
            <w:hideMark/>
          </w:tcPr>
          <w:p>
            <w:pPr>
              <w:spacing w:before="40" w:after="40"/>
              <w:rPr>
                <w:sz w:val="27"/>
                <w:szCs w:val="27"/>
              </w:rPr>
            </w:pPr>
            <w:r>
              <w:rPr>
                <w:sz w:val="27"/>
                <w:szCs w:val="27"/>
              </w:rPr>
              <w:t>Dịch vụ sử dụng đường bộ của các dự án đầu tư xây dựng đường bộ (trừ dịch vụ sử dụng đường bộ cao tốc) để kinh doanh, do địa phương quản lý</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pPr>
              <w:rPr>
                <w:sz w:val="27"/>
                <w:szCs w:val="27"/>
              </w:rPr>
            </w:pPr>
            <w:r>
              <w:rPr>
                <w:sz w:val="27"/>
                <w:szCs w:val="27"/>
              </w:rPr>
              <w:t>Giá tối đa</w:t>
            </w:r>
          </w:p>
        </w:tc>
        <w:tc>
          <w:tcPr>
            <w:tcW w:w="2410" w:type="dxa"/>
            <w:vMerge w:val="restart"/>
            <w:tcBorders>
              <w:top w:val="single" w:sz="4" w:space="0" w:color="auto"/>
              <w:left w:val="single" w:sz="4" w:space="0" w:color="auto"/>
              <w:right w:val="single" w:sz="4" w:space="0" w:color="auto"/>
            </w:tcBorders>
            <w:shd w:val="clear" w:color="auto" w:fill="auto"/>
            <w:vAlign w:val="center"/>
            <w:hideMark/>
          </w:tcPr>
          <w:p>
            <w:pPr>
              <w:jc w:val="center"/>
              <w:rPr>
                <w:sz w:val="27"/>
                <w:szCs w:val="27"/>
              </w:rPr>
            </w:pPr>
            <w:r>
              <w:rPr>
                <w:sz w:val="27"/>
                <w:szCs w:val="27"/>
              </w:rPr>
              <w:t>Sở Xây dựng</w:t>
            </w:r>
          </w:p>
          <w:p>
            <w:pPr>
              <w:jc w:val="center"/>
              <w:rPr>
                <w:sz w:val="27"/>
                <w:szCs w:val="27"/>
              </w:rPr>
            </w:pPr>
          </w:p>
        </w:tc>
      </w:tr>
      <w:tr>
        <w:trPr>
          <w:trHeight w:val="750"/>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7"/>
                <w:szCs w:val="27"/>
              </w:rPr>
            </w:pPr>
            <w:r>
              <w:rPr>
                <w:sz w:val="27"/>
                <w:szCs w:val="27"/>
              </w:rPr>
              <w:t>2</w:t>
            </w:r>
          </w:p>
        </w:tc>
        <w:tc>
          <w:tcPr>
            <w:tcW w:w="4395" w:type="dxa"/>
            <w:tcBorders>
              <w:top w:val="single" w:sz="4" w:space="0" w:color="auto"/>
              <w:left w:val="nil"/>
              <w:bottom w:val="single" w:sz="4" w:space="0" w:color="auto"/>
              <w:right w:val="single" w:sz="4" w:space="0" w:color="auto"/>
            </w:tcBorders>
            <w:shd w:val="clear" w:color="auto" w:fill="auto"/>
            <w:vAlign w:val="center"/>
            <w:hideMark/>
          </w:tcPr>
          <w:p>
            <w:pPr>
              <w:spacing w:before="40" w:after="40"/>
              <w:rPr>
                <w:sz w:val="27"/>
                <w:szCs w:val="27"/>
              </w:rPr>
            </w:pPr>
            <w:r>
              <w:rPr>
                <w:sz w:val="27"/>
                <w:szCs w:val="27"/>
              </w:rPr>
              <w:t>Dịch vụ sử dụng phà được đầu tư từ nguồn vốn ngân sách nhà nước, do địa phương quản lý</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pPr>
              <w:rPr>
                <w:sz w:val="27"/>
                <w:szCs w:val="27"/>
              </w:rPr>
            </w:pPr>
            <w:r>
              <w:rPr>
                <w:sz w:val="27"/>
                <w:szCs w:val="27"/>
              </w:rPr>
              <w:t>Khung giá</w:t>
            </w:r>
          </w:p>
        </w:tc>
        <w:tc>
          <w:tcPr>
            <w:tcW w:w="2410" w:type="dxa"/>
            <w:vMerge/>
            <w:tcBorders>
              <w:left w:val="single" w:sz="4" w:space="0" w:color="auto"/>
              <w:right w:val="single" w:sz="4" w:space="0" w:color="auto"/>
            </w:tcBorders>
            <w:shd w:val="clear" w:color="auto" w:fill="auto"/>
            <w:vAlign w:val="center"/>
            <w:hideMark/>
          </w:tcPr>
          <w:p>
            <w:pPr>
              <w:jc w:val="center"/>
              <w:rPr>
                <w:sz w:val="27"/>
                <w:szCs w:val="27"/>
              </w:rPr>
            </w:pPr>
          </w:p>
        </w:tc>
      </w:tr>
      <w:tr>
        <w:trPr>
          <w:trHeight w:val="750"/>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7"/>
                <w:szCs w:val="27"/>
              </w:rPr>
            </w:pPr>
            <w:r>
              <w:rPr>
                <w:sz w:val="27"/>
                <w:szCs w:val="27"/>
              </w:rPr>
              <w:t>3</w:t>
            </w:r>
          </w:p>
        </w:tc>
        <w:tc>
          <w:tcPr>
            <w:tcW w:w="4395" w:type="dxa"/>
            <w:tcBorders>
              <w:top w:val="single" w:sz="4" w:space="0" w:color="auto"/>
              <w:left w:val="nil"/>
              <w:bottom w:val="single" w:sz="4" w:space="0" w:color="auto"/>
              <w:right w:val="single" w:sz="4" w:space="0" w:color="auto"/>
            </w:tcBorders>
            <w:shd w:val="clear" w:color="auto" w:fill="auto"/>
            <w:vAlign w:val="center"/>
            <w:hideMark/>
          </w:tcPr>
          <w:p>
            <w:pPr>
              <w:spacing w:before="40" w:after="40"/>
              <w:rPr>
                <w:sz w:val="27"/>
                <w:szCs w:val="27"/>
              </w:rPr>
            </w:pPr>
            <w:r>
              <w:rPr>
                <w:sz w:val="27"/>
                <w:szCs w:val="27"/>
              </w:rPr>
              <w:t>Dịch vụ sử dụng phà được đầu tư từ nguồn vốn ngoài ngân sách nhà nước, do địa phương quản lý</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pPr>
              <w:rPr>
                <w:sz w:val="27"/>
                <w:szCs w:val="27"/>
              </w:rPr>
            </w:pPr>
            <w:r>
              <w:rPr>
                <w:sz w:val="27"/>
                <w:szCs w:val="27"/>
              </w:rPr>
              <w:t>Giá tối đa</w:t>
            </w:r>
          </w:p>
        </w:tc>
        <w:tc>
          <w:tcPr>
            <w:tcW w:w="2410" w:type="dxa"/>
            <w:vMerge/>
            <w:tcBorders>
              <w:left w:val="single" w:sz="4" w:space="0" w:color="auto"/>
              <w:right w:val="single" w:sz="4" w:space="0" w:color="auto"/>
            </w:tcBorders>
            <w:shd w:val="clear" w:color="auto" w:fill="auto"/>
            <w:vAlign w:val="center"/>
            <w:hideMark/>
          </w:tcPr>
          <w:p>
            <w:pPr>
              <w:jc w:val="center"/>
              <w:rPr>
                <w:sz w:val="27"/>
                <w:szCs w:val="27"/>
              </w:rPr>
            </w:pPr>
          </w:p>
        </w:tc>
      </w:tr>
      <w:tr>
        <w:trPr>
          <w:trHeight w:val="112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7"/>
                <w:szCs w:val="27"/>
              </w:rPr>
            </w:pPr>
            <w:r>
              <w:rPr>
                <w:sz w:val="27"/>
                <w:szCs w:val="27"/>
              </w:rPr>
              <w:t>4</w:t>
            </w:r>
          </w:p>
        </w:tc>
        <w:tc>
          <w:tcPr>
            <w:tcW w:w="4395" w:type="dxa"/>
            <w:tcBorders>
              <w:top w:val="single" w:sz="4" w:space="0" w:color="auto"/>
              <w:left w:val="nil"/>
              <w:bottom w:val="single" w:sz="4" w:space="0" w:color="auto"/>
              <w:right w:val="single" w:sz="4" w:space="0" w:color="auto"/>
            </w:tcBorders>
            <w:shd w:val="clear" w:color="auto" w:fill="auto"/>
            <w:vAlign w:val="center"/>
            <w:hideMark/>
          </w:tcPr>
          <w:p>
            <w:pPr>
              <w:spacing w:before="40" w:after="40"/>
              <w:rPr>
                <w:sz w:val="27"/>
                <w:szCs w:val="27"/>
              </w:rPr>
            </w:pPr>
            <w:r>
              <w:rPr>
                <w:sz w:val="27"/>
                <w:szCs w:val="27"/>
              </w:rPr>
              <w:t xml:space="preserve">Dịch vụ sử dụng cảng, nhà ga (bao gồm cảng, bến thủy nội địa; cảng cá) được đầu tư từ nguồn vốn ngân sách nhà nước, do địa phương quản lý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pPr>
              <w:rPr>
                <w:sz w:val="27"/>
                <w:szCs w:val="27"/>
              </w:rPr>
            </w:pPr>
            <w:r>
              <w:rPr>
                <w:sz w:val="27"/>
                <w:szCs w:val="27"/>
              </w:rPr>
              <w:t>Giá tối đa</w:t>
            </w:r>
          </w:p>
        </w:tc>
        <w:tc>
          <w:tcPr>
            <w:tcW w:w="2410" w:type="dxa"/>
            <w:vMerge/>
            <w:tcBorders>
              <w:left w:val="single" w:sz="4" w:space="0" w:color="auto"/>
              <w:right w:val="single" w:sz="4" w:space="0" w:color="auto"/>
            </w:tcBorders>
            <w:shd w:val="clear" w:color="auto" w:fill="auto"/>
            <w:vAlign w:val="center"/>
            <w:hideMark/>
          </w:tcPr>
          <w:p>
            <w:pPr>
              <w:jc w:val="center"/>
              <w:rPr>
                <w:sz w:val="27"/>
                <w:szCs w:val="27"/>
              </w:rPr>
            </w:pPr>
          </w:p>
        </w:tc>
      </w:tr>
      <w:tr>
        <w:trPr>
          <w:trHeight w:val="37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7"/>
                <w:szCs w:val="27"/>
              </w:rPr>
            </w:pPr>
            <w:r>
              <w:rPr>
                <w:sz w:val="27"/>
                <w:szCs w:val="27"/>
              </w:rPr>
              <w:t>5</w:t>
            </w:r>
          </w:p>
        </w:tc>
        <w:tc>
          <w:tcPr>
            <w:tcW w:w="4395" w:type="dxa"/>
            <w:tcBorders>
              <w:top w:val="single" w:sz="4" w:space="0" w:color="auto"/>
              <w:left w:val="nil"/>
              <w:bottom w:val="single" w:sz="4" w:space="0" w:color="auto"/>
              <w:right w:val="single" w:sz="4" w:space="0" w:color="auto"/>
            </w:tcBorders>
            <w:shd w:val="clear" w:color="auto" w:fill="auto"/>
            <w:vAlign w:val="center"/>
            <w:hideMark/>
          </w:tcPr>
          <w:p>
            <w:pPr>
              <w:spacing w:before="40" w:after="40"/>
              <w:rPr>
                <w:sz w:val="27"/>
                <w:szCs w:val="27"/>
              </w:rPr>
            </w:pPr>
            <w:r>
              <w:rPr>
                <w:sz w:val="27"/>
                <w:szCs w:val="27"/>
              </w:rPr>
              <w:t>Dịch vụ ra, vào bến xe ô tô</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pPr>
              <w:rPr>
                <w:sz w:val="27"/>
                <w:szCs w:val="27"/>
              </w:rPr>
            </w:pPr>
            <w:r>
              <w:rPr>
                <w:sz w:val="27"/>
                <w:szCs w:val="27"/>
              </w:rPr>
              <w:t>Giá tối đa</w:t>
            </w:r>
          </w:p>
        </w:tc>
        <w:tc>
          <w:tcPr>
            <w:tcW w:w="2410" w:type="dxa"/>
            <w:vMerge/>
            <w:tcBorders>
              <w:left w:val="single" w:sz="4" w:space="0" w:color="auto"/>
              <w:right w:val="single" w:sz="4" w:space="0" w:color="auto"/>
            </w:tcBorders>
            <w:shd w:val="clear" w:color="auto" w:fill="auto"/>
            <w:vAlign w:val="center"/>
            <w:hideMark/>
          </w:tcPr>
          <w:p>
            <w:pPr>
              <w:jc w:val="center"/>
              <w:rPr>
                <w:sz w:val="27"/>
                <w:szCs w:val="27"/>
              </w:rPr>
            </w:pPr>
          </w:p>
        </w:tc>
      </w:tr>
      <w:tr>
        <w:trPr>
          <w:trHeight w:val="37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sz w:val="27"/>
                <w:szCs w:val="27"/>
              </w:rPr>
            </w:pPr>
            <w:r>
              <w:rPr>
                <w:sz w:val="27"/>
                <w:szCs w:val="27"/>
              </w:rPr>
              <w:t>6</w:t>
            </w:r>
          </w:p>
        </w:tc>
        <w:tc>
          <w:tcPr>
            <w:tcW w:w="4395" w:type="dxa"/>
            <w:tcBorders>
              <w:top w:val="single" w:sz="4" w:space="0" w:color="auto"/>
              <w:left w:val="nil"/>
              <w:bottom w:val="single" w:sz="4" w:space="0" w:color="auto"/>
              <w:right w:val="single" w:sz="4" w:space="0" w:color="auto"/>
            </w:tcBorders>
            <w:shd w:val="clear" w:color="auto" w:fill="auto"/>
            <w:vAlign w:val="center"/>
          </w:tcPr>
          <w:p>
            <w:pPr>
              <w:spacing w:before="40" w:after="40"/>
              <w:rPr>
                <w:sz w:val="27"/>
                <w:szCs w:val="27"/>
              </w:rPr>
            </w:pPr>
            <w:r>
              <w:rPr>
                <w:sz w:val="27"/>
                <w:szCs w:val="27"/>
              </w:rPr>
              <w:t>Dịch vụ điều hành giao thông vận tải đường sắt trên kết cấu hạ tầng đường sắt địa phương do mình đầu tư</w:t>
            </w:r>
          </w:p>
        </w:tc>
        <w:tc>
          <w:tcPr>
            <w:tcW w:w="2693" w:type="dxa"/>
            <w:tcBorders>
              <w:top w:val="single" w:sz="4" w:space="0" w:color="auto"/>
              <w:left w:val="nil"/>
              <w:bottom w:val="single" w:sz="4" w:space="0" w:color="auto"/>
              <w:right w:val="single" w:sz="4" w:space="0" w:color="auto"/>
            </w:tcBorders>
            <w:shd w:val="clear" w:color="auto" w:fill="auto"/>
            <w:vAlign w:val="center"/>
          </w:tcPr>
          <w:p>
            <w:pPr>
              <w:rPr>
                <w:sz w:val="27"/>
                <w:szCs w:val="27"/>
              </w:rPr>
            </w:pPr>
            <w:r>
              <w:rPr>
                <w:sz w:val="27"/>
                <w:szCs w:val="27"/>
              </w:rPr>
              <w:t>Giá tối đa</w:t>
            </w:r>
          </w:p>
        </w:tc>
        <w:tc>
          <w:tcPr>
            <w:tcW w:w="2410" w:type="dxa"/>
            <w:vMerge/>
            <w:tcBorders>
              <w:left w:val="single" w:sz="4" w:space="0" w:color="auto"/>
              <w:right w:val="single" w:sz="4" w:space="0" w:color="auto"/>
            </w:tcBorders>
            <w:shd w:val="clear" w:color="auto" w:fill="auto"/>
            <w:vAlign w:val="center"/>
          </w:tcPr>
          <w:p>
            <w:pPr>
              <w:jc w:val="center"/>
              <w:rPr>
                <w:sz w:val="27"/>
                <w:szCs w:val="27"/>
              </w:rPr>
            </w:pPr>
          </w:p>
        </w:tc>
      </w:tr>
      <w:tr>
        <w:trPr>
          <w:trHeight w:val="37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7"/>
                <w:szCs w:val="27"/>
              </w:rPr>
            </w:pPr>
            <w:r>
              <w:rPr>
                <w:sz w:val="27"/>
                <w:szCs w:val="27"/>
              </w:rPr>
              <w:t>7</w:t>
            </w:r>
          </w:p>
        </w:tc>
        <w:tc>
          <w:tcPr>
            <w:tcW w:w="4395" w:type="dxa"/>
            <w:tcBorders>
              <w:top w:val="single" w:sz="4" w:space="0" w:color="auto"/>
              <w:left w:val="nil"/>
              <w:bottom w:val="single" w:sz="4" w:space="0" w:color="auto"/>
              <w:right w:val="single" w:sz="4" w:space="0" w:color="auto"/>
            </w:tcBorders>
            <w:shd w:val="clear" w:color="auto" w:fill="auto"/>
            <w:vAlign w:val="center"/>
            <w:hideMark/>
          </w:tcPr>
          <w:p>
            <w:pPr>
              <w:spacing w:before="40" w:after="40"/>
              <w:rPr>
                <w:sz w:val="27"/>
                <w:szCs w:val="27"/>
              </w:rPr>
            </w:pPr>
            <w:r>
              <w:rPr>
                <w:sz w:val="27"/>
                <w:szCs w:val="27"/>
              </w:rPr>
              <w:t>Dịch vụ vận chuyển hành khách trên đường sắt địa phương</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pPr>
              <w:rPr>
                <w:sz w:val="27"/>
                <w:szCs w:val="27"/>
              </w:rPr>
            </w:pPr>
            <w:r>
              <w:rPr>
                <w:sz w:val="27"/>
                <w:szCs w:val="27"/>
              </w:rPr>
              <w:t>Giá cụ thể</w:t>
            </w:r>
          </w:p>
        </w:tc>
        <w:tc>
          <w:tcPr>
            <w:tcW w:w="2410" w:type="dxa"/>
            <w:vMerge/>
            <w:tcBorders>
              <w:left w:val="single" w:sz="4" w:space="0" w:color="auto"/>
              <w:right w:val="single" w:sz="4" w:space="0" w:color="auto"/>
            </w:tcBorders>
            <w:shd w:val="clear" w:color="auto" w:fill="auto"/>
            <w:vAlign w:val="center"/>
            <w:hideMark/>
          </w:tcPr>
          <w:p>
            <w:pPr>
              <w:jc w:val="center"/>
              <w:rPr>
                <w:sz w:val="27"/>
                <w:szCs w:val="27"/>
              </w:rPr>
            </w:pPr>
          </w:p>
        </w:tc>
      </w:tr>
      <w:tr>
        <w:trPr>
          <w:trHeight w:val="37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7"/>
                <w:szCs w:val="27"/>
              </w:rPr>
            </w:pPr>
            <w:r>
              <w:rPr>
                <w:sz w:val="27"/>
                <w:szCs w:val="27"/>
              </w:rPr>
              <w:t>8</w:t>
            </w:r>
          </w:p>
        </w:tc>
        <w:tc>
          <w:tcPr>
            <w:tcW w:w="4395" w:type="dxa"/>
            <w:tcBorders>
              <w:top w:val="single" w:sz="4" w:space="0" w:color="auto"/>
              <w:left w:val="nil"/>
              <w:bottom w:val="single" w:sz="4" w:space="0" w:color="auto"/>
              <w:right w:val="single" w:sz="4" w:space="0" w:color="auto"/>
            </w:tcBorders>
            <w:shd w:val="clear" w:color="auto" w:fill="auto"/>
            <w:vAlign w:val="center"/>
            <w:hideMark/>
          </w:tcPr>
          <w:p>
            <w:pPr>
              <w:spacing w:before="40" w:after="40"/>
              <w:rPr>
                <w:sz w:val="27"/>
                <w:szCs w:val="27"/>
              </w:rPr>
            </w:pPr>
            <w:r>
              <w:rPr>
                <w:sz w:val="27"/>
                <w:szCs w:val="27"/>
              </w:rPr>
              <w:t>Dịch vụ trông giữ xe được đầu tư bằng nguồn vốn ngân sách nhà nước</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pPr>
              <w:rPr>
                <w:sz w:val="27"/>
                <w:szCs w:val="27"/>
              </w:rPr>
            </w:pPr>
            <w:r>
              <w:rPr>
                <w:sz w:val="27"/>
                <w:szCs w:val="27"/>
              </w:rPr>
              <w:t>Giá cụ thể</w:t>
            </w:r>
          </w:p>
        </w:tc>
        <w:tc>
          <w:tcPr>
            <w:tcW w:w="2410" w:type="dxa"/>
            <w:vMerge/>
            <w:tcBorders>
              <w:left w:val="single" w:sz="4" w:space="0" w:color="auto"/>
              <w:right w:val="single" w:sz="4" w:space="0" w:color="auto"/>
            </w:tcBorders>
            <w:shd w:val="clear" w:color="auto" w:fill="auto"/>
            <w:noWrap/>
            <w:vAlign w:val="bottom"/>
            <w:hideMark/>
          </w:tcPr>
          <w:p>
            <w:pPr>
              <w:jc w:val="center"/>
              <w:rPr>
                <w:rFonts w:ascii="Calibri" w:hAnsi="Calibri" w:cs="Calibri"/>
                <w:sz w:val="27"/>
                <w:szCs w:val="27"/>
              </w:rPr>
            </w:pPr>
          </w:p>
        </w:tc>
      </w:tr>
      <w:tr>
        <w:trPr>
          <w:trHeight w:val="37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sz w:val="27"/>
                <w:szCs w:val="27"/>
              </w:rPr>
            </w:pPr>
            <w:r>
              <w:rPr>
                <w:sz w:val="27"/>
                <w:szCs w:val="27"/>
              </w:rPr>
              <w:t>9</w:t>
            </w:r>
          </w:p>
        </w:tc>
        <w:tc>
          <w:tcPr>
            <w:tcW w:w="4395" w:type="dxa"/>
            <w:tcBorders>
              <w:top w:val="single" w:sz="4" w:space="0" w:color="auto"/>
              <w:left w:val="nil"/>
              <w:bottom w:val="single" w:sz="4" w:space="0" w:color="auto"/>
              <w:right w:val="single" w:sz="4" w:space="0" w:color="auto"/>
            </w:tcBorders>
            <w:shd w:val="clear" w:color="auto" w:fill="auto"/>
            <w:vAlign w:val="center"/>
          </w:tcPr>
          <w:p>
            <w:pPr>
              <w:spacing w:before="40" w:after="40"/>
              <w:rPr>
                <w:sz w:val="27"/>
                <w:szCs w:val="27"/>
              </w:rPr>
            </w:pPr>
            <w:r>
              <w:rPr>
                <w:sz w:val="27"/>
                <w:szCs w:val="27"/>
              </w:rPr>
              <w:t>Dịch vụ nghĩa trang, dịch vụ hỏa táng của cơ sở hỏa táng được đầu tư từ nguồn vốn ngân sách nhà nước</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pPr>
              <w:rPr>
                <w:sz w:val="27"/>
                <w:szCs w:val="27"/>
              </w:rPr>
            </w:pPr>
            <w:r>
              <w:rPr>
                <w:sz w:val="27"/>
                <w:szCs w:val="27"/>
              </w:rPr>
              <w:t>Giá cụ thể</w:t>
            </w:r>
          </w:p>
        </w:tc>
        <w:tc>
          <w:tcPr>
            <w:tcW w:w="2410" w:type="dxa"/>
            <w:vMerge/>
            <w:tcBorders>
              <w:left w:val="single" w:sz="4" w:space="0" w:color="auto"/>
              <w:right w:val="single" w:sz="4" w:space="0" w:color="auto"/>
            </w:tcBorders>
            <w:shd w:val="clear" w:color="auto" w:fill="auto"/>
            <w:noWrap/>
            <w:vAlign w:val="bottom"/>
          </w:tcPr>
          <w:p>
            <w:pPr>
              <w:jc w:val="center"/>
              <w:rPr>
                <w:rFonts w:ascii="Calibri" w:hAnsi="Calibri" w:cs="Calibri"/>
                <w:sz w:val="27"/>
                <w:szCs w:val="27"/>
              </w:rPr>
            </w:pPr>
          </w:p>
        </w:tc>
      </w:tr>
      <w:tr>
        <w:trPr>
          <w:trHeight w:val="37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sz w:val="27"/>
                <w:szCs w:val="27"/>
              </w:rPr>
            </w:pPr>
            <w:r>
              <w:rPr>
                <w:sz w:val="27"/>
                <w:szCs w:val="27"/>
              </w:rPr>
              <w:t>10</w:t>
            </w:r>
          </w:p>
        </w:tc>
        <w:tc>
          <w:tcPr>
            <w:tcW w:w="4395" w:type="dxa"/>
            <w:tcBorders>
              <w:top w:val="single" w:sz="4" w:space="0" w:color="auto"/>
              <w:left w:val="nil"/>
              <w:bottom w:val="single" w:sz="4" w:space="0" w:color="auto"/>
              <w:right w:val="single" w:sz="4" w:space="0" w:color="auto"/>
            </w:tcBorders>
            <w:shd w:val="clear" w:color="auto" w:fill="auto"/>
            <w:vAlign w:val="center"/>
          </w:tcPr>
          <w:p>
            <w:pPr>
              <w:spacing w:before="40" w:after="40"/>
              <w:rPr>
                <w:sz w:val="27"/>
                <w:szCs w:val="27"/>
              </w:rPr>
            </w:pPr>
            <w:r>
              <w:rPr>
                <w:sz w:val="27"/>
                <w:szCs w:val="27"/>
              </w:rPr>
              <w:t>Dịch vụ thoát nước và xử lý nước thải (trừ giá dịch vụ thoát nước và xử lý nước thải đối khu công nghiệp, cụm công nghiệp được đầu tư bằng nguồn vốn ngoài ngân sách nhà nước)</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pPr>
              <w:rPr>
                <w:sz w:val="27"/>
                <w:szCs w:val="27"/>
              </w:rPr>
            </w:pPr>
            <w:r>
              <w:rPr>
                <w:sz w:val="27"/>
                <w:szCs w:val="27"/>
              </w:rPr>
              <w:t>Giá cụ thể</w:t>
            </w:r>
          </w:p>
        </w:tc>
        <w:tc>
          <w:tcPr>
            <w:tcW w:w="2410" w:type="dxa"/>
            <w:vMerge/>
            <w:tcBorders>
              <w:left w:val="single" w:sz="4" w:space="0" w:color="auto"/>
              <w:bottom w:val="single" w:sz="4" w:space="0" w:color="auto"/>
              <w:right w:val="single" w:sz="4" w:space="0" w:color="auto"/>
            </w:tcBorders>
            <w:shd w:val="clear" w:color="auto" w:fill="auto"/>
            <w:noWrap/>
            <w:vAlign w:val="center"/>
          </w:tcPr>
          <w:p>
            <w:pPr>
              <w:jc w:val="center"/>
              <w:rPr>
                <w:rFonts w:ascii="Calibri" w:hAnsi="Calibri" w:cs="Calibri"/>
                <w:sz w:val="27"/>
                <w:szCs w:val="27"/>
              </w:rPr>
            </w:pPr>
          </w:p>
        </w:tc>
      </w:tr>
      <w:tr>
        <w:trPr>
          <w:trHeight w:val="37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sz w:val="27"/>
                <w:szCs w:val="27"/>
              </w:rPr>
            </w:pPr>
            <w:r>
              <w:rPr>
                <w:sz w:val="27"/>
                <w:szCs w:val="27"/>
              </w:rPr>
              <w:lastRenderedPageBreak/>
              <w:t>11</w:t>
            </w:r>
          </w:p>
        </w:tc>
        <w:tc>
          <w:tcPr>
            <w:tcW w:w="4395" w:type="dxa"/>
            <w:tcBorders>
              <w:top w:val="single" w:sz="4" w:space="0" w:color="auto"/>
              <w:left w:val="nil"/>
              <w:bottom w:val="single" w:sz="4" w:space="0" w:color="auto"/>
              <w:right w:val="single" w:sz="4" w:space="0" w:color="auto"/>
            </w:tcBorders>
            <w:shd w:val="clear" w:color="auto" w:fill="auto"/>
            <w:vAlign w:val="center"/>
          </w:tcPr>
          <w:p>
            <w:pPr>
              <w:spacing w:before="40" w:after="40"/>
              <w:rPr>
                <w:sz w:val="27"/>
                <w:szCs w:val="27"/>
              </w:rPr>
            </w:pPr>
            <w:r>
              <w:rPr>
                <w:sz w:val="27"/>
                <w:szCs w:val="27"/>
              </w:rPr>
              <w:t xml:space="preserve">Dịch vụ thuê công trình hạ tầng kỹ thuật dùng chung đầu tư từ nguồn ngân sách nhà nước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pPr>
              <w:rPr>
                <w:sz w:val="27"/>
                <w:szCs w:val="27"/>
              </w:rPr>
            </w:pPr>
            <w:r>
              <w:rPr>
                <w:sz w:val="27"/>
                <w:szCs w:val="27"/>
              </w:rPr>
              <w:t>Giá cụ thể</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tcPr>
          <w:p>
            <w:pPr>
              <w:jc w:val="center"/>
              <w:rPr>
                <w:sz w:val="27"/>
                <w:szCs w:val="27"/>
              </w:rPr>
            </w:pPr>
            <w:r>
              <w:rPr>
                <w:sz w:val="27"/>
                <w:szCs w:val="27"/>
              </w:rPr>
              <w:t>Sở Xây dựng</w:t>
            </w:r>
          </w:p>
        </w:tc>
      </w:tr>
      <w:tr>
        <w:trPr>
          <w:trHeight w:val="37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sz w:val="27"/>
                <w:szCs w:val="27"/>
              </w:rPr>
            </w:pPr>
            <w:r>
              <w:rPr>
                <w:sz w:val="27"/>
                <w:szCs w:val="27"/>
              </w:rPr>
              <w:t>12</w:t>
            </w:r>
          </w:p>
        </w:tc>
        <w:tc>
          <w:tcPr>
            <w:tcW w:w="4395" w:type="dxa"/>
            <w:tcBorders>
              <w:top w:val="single" w:sz="4" w:space="0" w:color="auto"/>
              <w:left w:val="nil"/>
              <w:bottom w:val="single" w:sz="4" w:space="0" w:color="auto"/>
              <w:right w:val="single" w:sz="4" w:space="0" w:color="auto"/>
            </w:tcBorders>
            <w:shd w:val="clear" w:color="auto" w:fill="auto"/>
            <w:vAlign w:val="center"/>
          </w:tcPr>
          <w:p>
            <w:pPr>
              <w:spacing w:before="20" w:after="20"/>
              <w:rPr>
                <w:sz w:val="27"/>
                <w:szCs w:val="27"/>
              </w:rPr>
            </w:pPr>
            <w:r>
              <w:rPr>
                <w:sz w:val="27"/>
                <w:szCs w:val="27"/>
              </w:rPr>
              <w:t>Dịch vụ theo yêu cầu liên quan đến việc công chứng</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pPr>
              <w:rPr>
                <w:sz w:val="27"/>
                <w:szCs w:val="27"/>
              </w:rPr>
            </w:pPr>
            <w:r>
              <w:rPr>
                <w:sz w:val="27"/>
                <w:szCs w:val="27"/>
              </w:rPr>
              <w:t>Giá tối đa</w:t>
            </w:r>
          </w:p>
        </w:tc>
        <w:tc>
          <w:tcPr>
            <w:tcW w:w="2410" w:type="dxa"/>
            <w:tcBorders>
              <w:left w:val="single" w:sz="4" w:space="0" w:color="auto"/>
              <w:bottom w:val="single" w:sz="4" w:space="0" w:color="auto"/>
              <w:right w:val="single" w:sz="4" w:space="0" w:color="auto"/>
            </w:tcBorders>
            <w:shd w:val="clear" w:color="auto" w:fill="auto"/>
            <w:noWrap/>
            <w:vAlign w:val="center"/>
          </w:tcPr>
          <w:p>
            <w:pPr>
              <w:jc w:val="center"/>
              <w:rPr>
                <w:sz w:val="27"/>
                <w:szCs w:val="27"/>
              </w:rPr>
            </w:pPr>
            <w:r>
              <w:rPr>
                <w:sz w:val="27"/>
                <w:szCs w:val="27"/>
              </w:rPr>
              <w:t>Sở Tư pháp</w:t>
            </w:r>
          </w:p>
        </w:tc>
      </w:tr>
      <w:tr>
        <w:trPr>
          <w:trHeight w:val="112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7"/>
                <w:szCs w:val="27"/>
              </w:rPr>
            </w:pPr>
            <w:r>
              <w:rPr>
                <w:sz w:val="27"/>
                <w:szCs w:val="27"/>
              </w:rPr>
              <w:t>13</w:t>
            </w:r>
          </w:p>
        </w:tc>
        <w:tc>
          <w:tcPr>
            <w:tcW w:w="4395" w:type="dxa"/>
            <w:tcBorders>
              <w:top w:val="single" w:sz="4" w:space="0" w:color="auto"/>
              <w:left w:val="nil"/>
              <w:bottom w:val="single" w:sz="4" w:space="0" w:color="auto"/>
              <w:right w:val="single" w:sz="4" w:space="0" w:color="auto"/>
            </w:tcBorders>
            <w:shd w:val="clear" w:color="auto" w:fill="auto"/>
            <w:vAlign w:val="center"/>
            <w:hideMark/>
          </w:tcPr>
          <w:p>
            <w:pPr>
              <w:spacing w:before="20" w:after="20"/>
              <w:rPr>
                <w:sz w:val="27"/>
                <w:szCs w:val="27"/>
              </w:rPr>
            </w:pPr>
            <w:r>
              <w:rPr>
                <w:sz w:val="27"/>
                <w:szCs w:val="27"/>
              </w:rPr>
              <w:t>Sản phẩm, dịch vụ công ích thủy lợi đối với công trình thủy lợi sử dụng vốn nhà nước thuộc phạm vi, thẩm quyền quản lý, đặt hàng của địa phương</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pPr>
              <w:rPr>
                <w:sz w:val="27"/>
                <w:szCs w:val="27"/>
              </w:rPr>
            </w:pPr>
            <w:r>
              <w:rPr>
                <w:sz w:val="27"/>
                <w:szCs w:val="27"/>
              </w:rPr>
              <w:t>Giá cụ thể</w:t>
            </w:r>
          </w:p>
        </w:tc>
        <w:tc>
          <w:tcPr>
            <w:tcW w:w="2410" w:type="dxa"/>
            <w:vMerge w:val="restart"/>
            <w:tcBorders>
              <w:top w:val="single" w:sz="4" w:space="0" w:color="auto"/>
              <w:left w:val="single" w:sz="4" w:space="0" w:color="auto"/>
              <w:right w:val="single" w:sz="4" w:space="0" w:color="auto"/>
            </w:tcBorders>
            <w:shd w:val="clear" w:color="auto" w:fill="auto"/>
            <w:vAlign w:val="center"/>
            <w:hideMark/>
          </w:tcPr>
          <w:p>
            <w:pPr>
              <w:jc w:val="center"/>
              <w:rPr>
                <w:sz w:val="27"/>
                <w:szCs w:val="27"/>
              </w:rPr>
            </w:pPr>
            <w:r>
              <w:rPr>
                <w:sz w:val="27"/>
                <w:szCs w:val="27"/>
              </w:rPr>
              <w:t>Sở Nông nghiệp và Môi trường</w:t>
            </w:r>
          </w:p>
        </w:tc>
      </w:tr>
      <w:tr>
        <w:trPr>
          <w:trHeight w:val="750"/>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7"/>
                <w:szCs w:val="27"/>
              </w:rPr>
            </w:pPr>
            <w:r>
              <w:rPr>
                <w:sz w:val="27"/>
                <w:szCs w:val="27"/>
              </w:rPr>
              <w:t>14</w:t>
            </w:r>
          </w:p>
        </w:tc>
        <w:tc>
          <w:tcPr>
            <w:tcW w:w="4395" w:type="dxa"/>
            <w:tcBorders>
              <w:top w:val="single" w:sz="4" w:space="0" w:color="auto"/>
              <w:left w:val="nil"/>
              <w:bottom w:val="single" w:sz="4" w:space="0" w:color="auto"/>
              <w:right w:val="single" w:sz="4" w:space="0" w:color="auto"/>
            </w:tcBorders>
            <w:shd w:val="clear" w:color="auto" w:fill="auto"/>
            <w:vAlign w:val="center"/>
            <w:hideMark/>
          </w:tcPr>
          <w:p>
            <w:pPr>
              <w:spacing w:before="20" w:after="20"/>
              <w:rPr>
                <w:sz w:val="27"/>
                <w:szCs w:val="27"/>
              </w:rPr>
            </w:pPr>
            <w:r>
              <w:rPr>
                <w:sz w:val="27"/>
                <w:szCs w:val="27"/>
              </w:rPr>
              <w:t>Sản phẩm, dịch vụ thủy lợi khác đối với công trình thủy lợi sử dụng vốn nhà nước thuộc phạm vi, thẩm quyền quản lý của địa phương</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pPr>
              <w:rPr>
                <w:sz w:val="27"/>
                <w:szCs w:val="27"/>
              </w:rPr>
            </w:pPr>
            <w:r>
              <w:rPr>
                <w:sz w:val="27"/>
                <w:szCs w:val="27"/>
              </w:rPr>
              <w:t>Giá cụ thể</w:t>
            </w:r>
          </w:p>
        </w:tc>
        <w:tc>
          <w:tcPr>
            <w:tcW w:w="2410" w:type="dxa"/>
            <w:vMerge/>
            <w:tcBorders>
              <w:left w:val="single" w:sz="4" w:space="0" w:color="auto"/>
              <w:right w:val="single" w:sz="4" w:space="0" w:color="auto"/>
            </w:tcBorders>
            <w:vAlign w:val="center"/>
            <w:hideMark/>
          </w:tcPr>
          <w:p>
            <w:pPr>
              <w:jc w:val="center"/>
              <w:rPr>
                <w:sz w:val="27"/>
                <w:szCs w:val="27"/>
              </w:rPr>
            </w:pPr>
          </w:p>
        </w:tc>
      </w:tr>
      <w:tr>
        <w:trPr>
          <w:trHeight w:val="750"/>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7"/>
                <w:szCs w:val="27"/>
              </w:rPr>
            </w:pPr>
            <w:r>
              <w:rPr>
                <w:sz w:val="27"/>
                <w:szCs w:val="27"/>
              </w:rPr>
              <w:t>15</w:t>
            </w:r>
          </w:p>
        </w:tc>
        <w:tc>
          <w:tcPr>
            <w:tcW w:w="4395" w:type="dxa"/>
            <w:tcBorders>
              <w:top w:val="single" w:sz="4" w:space="0" w:color="auto"/>
              <w:left w:val="nil"/>
              <w:bottom w:val="single" w:sz="4" w:space="0" w:color="auto"/>
              <w:right w:val="single" w:sz="4" w:space="0" w:color="auto"/>
            </w:tcBorders>
            <w:shd w:val="clear" w:color="auto" w:fill="auto"/>
            <w:vAlign w:val="center"/>
            <w:hideMark/>
          </w:tcPr>
          <w:p>
            <w:pPr>
              <w:spacing w:before="20" w:after="20"/>
              <w:rPr>
                <w:sz w:val="27"/>
                <w:szCs w:val="27"/>
              </w:rPr>
            </w:pPr>
            <w:r>
              <w:rPr>
                <w:sz w:val="27"/>
                <w:szCs w:val="27"/>
              </w:rPr>
              <w:t>Rừng đặc dụng, rừng phòng hộ, rừng sản xuất thuộc sở hữu toàn dân thuộc phạm vi quản lý của địa phương</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pPr>
              <w:rPr>
                <w:sz w:val="27"/>
                <w:szCs w:val="27"/>
              </w:rPr>
            </w:pPr>
            <w:r>
              <w:rPr>
                <w:sz w:val="27"/>
                <w:szCs w:val="27"/>
              </w:rPr>
              <w:t>Khung giá</w:t>
            </w:r>
          </w:p>
        </w:tc>
        <w:tc>
          <w:tcPr>
            <w:tcW w:w="2410" w:type="dxa"/>
            <w:vMerge/>
            <w:tcBorders>
              <w:left w:val="single" w:sz="4" w:space="0" w:color="auto"/>
              <w:right w:val="single" w:sz="4" w:space="0" w:color="auto"/>
            </w:tcBorders>
            <w:vAlign w:val="center"/>
            <w:hideMark/>
          </w:tcPr>
          <w:p>
            <w:pPr>
              <w:jc w:val="center"/>
              <w:rPr>
                <w:sz w:val="27"/>
                <w:szCs w:val="27"/>
              </w:rPr>
            </w:pPr>
          </w:p>
        </w:tc>
      </w:tr>
      <w:tr>
        <w:trPr>
          <w:trHeight w:val="750"/>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sz w:val="27"/>
                <w:szCs w:val="27"/>
              </w:rPr>
            </w:pPr>
            <w:r>
              <w:rPr>
                <w:sz w:val="27"/>
                <w:szCs w:val="27"/>
              </w:rPr>
              <w:t>16</w:t>
            </w:r>
          </w:p>
        </w:tc>
        <w:tc>
          <w:tcPr>
            <w:tcW w:w="4395" w:type="dxa"/>
            <w:tcBorders>
              <w:top w:val="single" w:sz="4" w:space="0" w:color="auto"/>
              <w:left w:val="nil"/>
              <w:bottom w:val="single" w:sz="4" w:space="0" w:color="auto"/>
              <w:right w:val="single" w:sz="4" w:space="0" w:color="auto"/>
            </w:tcBorders>
            <w:shd w:val="clear" w:color="auto" w:fill="auto"/>
            <w:vAlign w:val="center"/>
          </w:tcPr>
          <w:p>
            <w:pPr>
              <w:spacing w:before="20" w:after="20"/>
              <w:rPr>
                <w:sz w:val="27"/>
                <w:szCs w:val="27"/>
              </w:rPr>
            </w:pPr>
            <w:r>
              <w:rPr>
                <w:sz w:val="27"/>
                <w:szCs w:val="27"/>
              </w:rPr>
              <w:t>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p>
        </w:tc>
        <w:tc>
          <w:tcPr>
            <w:tcW w:w="2693" w:type="dxa"/>
            <w:tcBorders>
              <w:top w:val="single" w:sz="4" w:space="0" w:color="auto"/>
              <w:left w:val="nil"/>
              <w:bottom w:val="single" w:sz="4" w:space="0" w:color="auto"/>
              <w:right w:val="single" w:sz="4" w:space="0" w:color="auto"/>
            </w:tcBorders>
            <w:shd w:val="clear" w:color="auto" w:fill="auto"/>
            <w:vAlign w:val="center"/>
          </w:tcPr>
          <w:p>
            <w:pPr>
              <w:rPr>
                <w:sz w:val="27"/>
                <w:szCs w:val="27"/>
              </w:rPr>
            </w:pPr>
            <w:r>
              <w:rPr>
                <w:sz w:val="27"/>
                <w:szCs w:val="27"/>
              </w:rPr>
              <w:t>Giá cụ thể</w:t>
            </w:r>
          </w:p>
        </w:tc>
        <w:tc>
          <w:tcPr>
            <w:tcW w:w="2410" w:type="dxa"/>
            <w:vMerge/>
            <w:tcBorders>
              <w:left w:val="single" w:sz="4" w:space="0" w:color="auto"/>
              <w:right w:val="single" w:sz="4" w:space="0" w:color="auto"/>
            </w:tcBorders>
            <w:vAlign w:val="center"/>
          </w:tcPr>
          <w:p>
            <w:pPr>
              <w:jc w:val="center"/>
              <w:rPr>
                <w:sz w:val="27"/>
                <w:szCs w:val="27"/>
              </w:rPr>
            </w:pPr>
          </w:p>
        </w:tc>
      </w:tr>
      <w:tr>
        <w:trPr>
          <w:trHeight w:val="750"/>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sz w:val="27"/>
                <w:szCs w:val="27"/>
              </w:rPr>
            </w:pPr>
            <w:r>
              <w:rPr>
                <w:sz w:val="27"/>
                <w:szCs w:val="27"/>
              </w:rPr>
              <w:t>17</w:t>
            </w:r>
          </w:p>
        </w:tc>
        <w:tc>
          <w:tcPr>
            <w:tcW w:w="4395" w:type="dxa"/>
            <w:tcBorders>
              <w:top w:val="single" w:sz="4" w:space="0" w:color="auto"/>
              <w:left w:val="nil"/>
              <w:bottom w:val="single" w:sz="4" w:space="0" w:color="auto"/>
              <w:right w:val="single" w:sz="4" w:space="0" w:color="auto"/>
            </w:tcBorders>
            <w:shd w:val="clear" w:color="auto" w:fill="auto"/>
            <w:vAlign w:val="center"/>
          </w:tcPr>
          <w:p>
            <w:pPr>
              <w:spacing w:before="20" w:after="20"/>
              <w:rPr>
                <w:sz w:val="27"/>
                <w:szCs w:val="27"/>
              </w:rPr>
            </w:pPr>
            <w:r>
              <w:rPr>
                <w:sz w:val="27"/>
                <w:szCs w:val="27"/>
              </w:rPr>
              <w:t>Dịch vụ thu gom, vận chuyển, xử lý chất thải rắn sinh hoạt và dịch vụ vệ sinh công cộng</w:t>
            </w:r>
          </w:p>
        </w:tc>
        <w:tc>
          <w:tcPr>
            <w:tcW w:w="2693" w:type="dxa"/>
            <w:tcBorders>
              <w:top w:val="single" w:sz="4" w:space="0" w:color="auto"/>
              <w:left w:val="nil"/>
              <w:bottom w:val="single" w:sz="4" w:space="0" w:color="auto"/>
              <w:right w:val="single" w:sz="4" w:space="0" w:color="auto"/>
            </w:tcBorders>
            <w:shd w:val="clear" w:color="auto" w:fill="auto"/>
            <w:vAlign w:val="center"/>
          </w:tcPr>
          <w:p>
            <w:pPr>
              <w:rPr>
                <w:sz w:val="27"/>
                <w:szCs w:val="27"/>
              </w:rPr>
            </w:pPr>
            <w:r>
              <w:rPr>
                <w:sz w:val="27"/>
                <w:szCs w:val="27"/>
              </w:rPr>
              <w:t>Định giá tối đa đối với chủ đầu tư, cơ sở cung cấp dịch vụ thu gom, vận chuyển và xử lý chất thải rắn sinh hoạt và dịch vụ vệ sinh công cộng (trừ trường hợp thực hiện theo quy định của pháp luật về đấu thầu)</w:t>
            </w:r>
          </w:p>
        </w:tc>
        <w:tc>
          <w:tcPr>
            <w:tcW w:w="2410" w:type="dxa"/>
            <w:vMerge/>
            <w:tcBorders>
              <w:left w:val="single" w:sz="4" w:space="0" w:color="auto"/>
              <w:bottom w:val="single" w:sz="4" w:space="0" w:color="auto"/>
              <w:right w:val="single" w:sz="4" w:space="0" w:color="auto"/>
            </w:tcBorders>
            <w:vAlign w:val="center"/>
          </w:tcPr>
          <w:p>
            <w:pPr>
              <w:jc w:val="center"/>
              <w:rPr>
                <w:sz w:val="27"/>
                <w:szCs w:val="27"/>
              </w:rPr>
            </w:pPr>
          </w:p>
        </w:tc>
      </w:tr>
      <w:tr>
        <w:trPr>
          <w:trHeight w:val="1189"/>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7"/>
                <w:szCs w:val="27"/>
              </w:rPr>
            </w:pPr>
            <w:r>
              <w:rPr>
                <w:sz w:val="27"/>
                <w:szCs w:val="27"/>
              </w:rPr>
              <w:t>18</w:t>
            </w:r>
          </w:p>
        </w:tc>
        <w:tc>
          <w:tcPr>
            <w:tcW w:w="4395" w:type="dxa"/>
            <w:tcBorders>
              <w:top w:val="single" w:sz="4" w:space="0" w:color="auto"/>
              <w:left w:val="nil"/>
              <w:bottom w:val="single" w:sz="4" w:space="0" w:color="auto"/>
              <w:right w:val="single" w:sz="4" w:space="0" w:color="auto"/>
            </w:tcBorders>
            <w:shd w:val="clear" w:color="auto" w:fill="auto"/>
            <w:vAlign w:val="center"/>
            <w:hideMark/>
          </w:tcPr>
          <w:p>
            <w:pPr>
              <w:spacing w:before="20" w:after="20"/>
              <w:rPr>
                <w:sz w:val="27"/>
                <w:szCs w:val="27"/>
              </w:rPr>
            </w:pPr>
            <w:r>
              <w:rPr>
                <w:sz w:val="27"/>
                <w:szCs w:val="27"/>
              </w:rPr>
              <w:t>Dịch vụ sự nghiệp công sử dụng ngân sách nhà nước tính giá theo lộ trình thu của người sử dụng dịch vụ</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pPr>
              <w:rPr>
                <w:sz w:val="27"/>
                <w:szCs w:val="27"/>
              </w:rPr>
            </w:pPr>
            <w:r>
              <w:rPr>
                <w:sz w:val="27"/>
                <w:szCs w:val="27"/>
              </w:rPr>
              <w:t>UBND tỉnh theo lĩnh vực định giá khung giá, giá tối đa, giá cụ thể tùy dịch vụ</w:t>
            </w:r>
          </w:p>
        </w:tc>
        <w:tc>
          <w:tcPr>
            <w:tcW w:w="2410" w:type="dxa"/>
            <w:tcBorders>
              <w:top w:val="single" w:sz="4" w:space="0" w:color="auto"/>
              <w:left w:val="nil"/>
              <w:bottom w:val="single" w:sz="4" w:space="0" w:color="auto"/>
              <w:right w:val="single" w:sz="4" w:space="0" w:color="auto"/>
            </w:tcBorders>
            <w:shd w:val="clear" w:color="auto" w:fill="auto"/>
            <w:hideMark/>
          </w:tcPr>
          <w:p>
            <w:pPr>
              <w:jc w:val="center"/>
              <w:rPr>
                <w:sz w:val="27"/>
                <w:szCs w:val="27"/>
              </w:rPr>
            </w:pPr>
            <w:r>
              <w:rPr>
                <w:sz w:val="27"/>
                <w:szCs w:val="27"/>
              </w:rPr>
              <w:t>Sở quản lý ngành, lĩnh vực</w:t>
            </w:r>
          </w:p>
        </w:tc>
      </w:tr>
      <w:tr>
        <w:trPr>
          <w:trHeight w:val="418"/>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 w:val="27"/>
                <w:szCs w:val="27"/>
                <w:lang w:val="vi-VN"/>
              </w:rPr>
            </w:pPr>
            <w:r>
              <w:rPr>
                <w:sz w:val="27"/>
                <w:szCs w:val="27"/>
              </w:rPr>
              <w:t>19</w:t>
            </w:r>
          </w:p>
        </w:tc>
        <w:tc>
          <w:tcPr>
            <w:tcW w:w="4395" w:type="dxa"/>
            <w:tcBorders>
              <w:top w:val="single" w:sz="4" w:space="0" w:color="auto"/>
              <w:left w:val="nil"/>
              <w:bottom w:val="single" w:sz="4" w:space="0" w:color="auto"/>
              <w:right w:val="single" w:sz="4" w:space="0" w:color="auto"/>
            </w:tcBorders>
            <w:shd w:val="clear" w:color="auto" w:fill="auto"/>
            <w:vAlign w:val="center"/>
            <w:hideMark/>
          </w:tcPr>
          <w:p>
            <w:pPr>
              <w:spacing w:before="20" w:after="20"/>
              <w:rPr>
                <w:sz w:val="27"/>
                <w:szCs w:val="27"/>
              </w:rPr>
            </w:pPr>
            <w:r>
              <w:rPr>
                <w:sz w:val="27"/>
                <w:szCs w:val="27"/>
              </w:rPr>
              <w:t xml:space="preserve">Sản phẩm, dịch vụ công (dịch vụ sự nghiệp công và sản phẩm, dịch vụ </w:t>
            </w:r>
            <w:r>
              <w:rPr>
                <w:sz w:val="27"/>
                <w:szCs w:val="27"/>
              </w:rPr>
              <w:lastRenderedPageBreak/>
              <w:t>công ích) trong danh mục được cấp có thẩm quyền ban hành, sử dụng ngân sách nhà nước từ nguồn chi thường xuyên và thuộc thẩm quyền đặt hàng của cơ quan, tổ chức ở địa phương</w:t>
            </w:r>
          </w:p>
        </w:tc>
        <w:tc>
          <w:tcPr>
            <w:tcW w:w="26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rPr>
                <w:sz w:val="27"/>
                <w:szCs w:val="27"/>
              </w:rPr>
            </w:pPr>
            <w:r>
              <w:rPr>
                <w:sz w:val="27"/>
                <w:szCs w:val="27"/>
              </w:rPr>
              <w:lastRenderedPageBreak/>
              <w:t>Giá cụ thể</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pPr>
              <w:jc w:val="center"/>
              <w:rPr>
                <w:sz w:val="27"/>
                <w:szCs w:val="27"/>
              </w:rPr>
            </w:pPr>
          </w:p>
        </w:tc>
      </w:tr>
      <w:tr>
        <w:trPr>
          <w:trHeight w:val="750"/>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i/>
                <w:iCs/>
                <w:sz w:val="27"/>
                <w:szCs w:val="27"/>
              </w:rPr>
            </w:pPr>
            <w:r>
              <w:rPr>
                <w:i/>
                <w:iCs/>
                <w:sz w:val="27"/>
                <w:szCs w:val="27"/>
              </w:rPr>
              <w:lastRenderedPageBreak/>
              <w:t>19.1</w:t>
            </w:r>
          </w:p>
        </w:tc>
        <w:tc>
          <w:tcPr>
            <w:tcW w:w="4395" w:type="dxa"/>
            <w:tcBorders>
              <w:top w:val="single" w:sz="4" w:space="0" w:color="auto"/>
              <w:left w:val="nil"/>
              <w:bottom w:val="single" w:sz="4" w:space="0" w:color="auto"/>
              <w:right w:val="single" w:sz="4" w:space="0" w:color="auto"/>
            </w:tcBorders>
            <w:shd w:val="clear" w:color="auto" w:fill="auto"/>
            <w:vAlign w:val="center"/>
            <w:hideMark/>
          </w:tcPr>
          <w:p>
            <w:pPr>
              <w:spacing w:before="20" w:after="20"/>
              <w:rPr>
                <w:i/>
                <w:iCs/>
                <w:sz w:val="27"/>
                <w:szCs w:val="27"/>
              </w:rPr>
            </w:pPr>
            <w:r>
              <w:rPr>
                <w:i/>
                <w:iCs/>
                <w:sz w:val="27"/>
                <w:szCs w:val="27"/>
              </w:rPr>
              <w:t>Trường hợp sử dụng ngân sách nhà nước cấp tỉnh và không thuộc trường hợp tại mục 19.3</w:t>
            </w:r>
            <w:r>
              <w:rPr>
                <w:i/>
                <w:iCs/>
                <w:strike/>
                <w:sz w:val="27"/>
                <w:szCs w:val="27"/>
              </w:rPr>
              <w:t xml:space="preserve"> </w:t>
            </w:r>
          </w:p>
        </w:tc>
        <w:tc>
          <w:tcPr>
            <w:tcW w:w="2693" w:type="dxa"/>
            <w:vMerge/>
            <w:tcBorders>
              <w:top w:val="single" w:sz="4" w:space="0" w:color="auto"/>
              <w:left w:val="single" w:sz="4" w:space="0" w:color="auto"/>
              <w:bottom w:val="single" w:sz="4" w:space="0" w:color="auto"/>
              <w:right w:val="single" w:sz="4" w:space="0" w:color="auto"/>
            </w:tcBorders>
            <w:vAlign w:val="center"/>
            <w:hideMark/>
          </w:tcPr>
          <w:p>
            <w:pPr>
              <w:rPr>
                <w:sz w:val="27"/>
                <w:szCs w:val="27"/>
              </w:rPr>
            </w:pPr>
          </w:p>
        </w:tc>
        <w:tc>
          <w:tcPr>
            <w:tcW w:w="2410" w:type="dxa"/>
            <w:tcBorders>
              <w:top w:val="single" w:sz="4" w:space="0" w:color="auto"/>
              <w:left w:val="nil"/>
              <w:bottom w:val="single" w:sz="4" w:space="0" w:color="auto"/>
              <w:right w:val="single" w:sz="4" w:space="0" w:color="auto"/>
            </w:tcBorders>
            <w:shd w:val="clear" w:color="auto" w:fill="auto"/>
            <w:vAlign w:val="center"/>
            <w:hideMark/>
          </w:tcPr>
          <w:p>
            <w:pPr>
              <w:jc w:val="center"/>
              <w:rPr>
                <w:sz w:val="27"/>
                <w:szCs w:val="27"/>
              </w:rPr>
            </w:pPr>
            <w:r>
              <w:rPr>
                <w:sz w:val="27"/>
                <w:szCs w:val="27"/>
              </w:rPr>
              <w:t>Sở quản lý ngành, lĩnh vực</w:t>
            </w:r>
          </w:p>
        </w:tc>
      </w:tr>
      <w:tr>
        <w:trPr>
          <w:trHeight w:val="750"/>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i/>
                <w:iCs/>
                <w:sz w:val="27"/>
                <w:szCs w:val="27"/>
              </w:rPr>
            </w:pPr>
            <w:r>
              <w:rPr>
                <w:i/>
                <w:iCs/>
                <w:sz w:val="27"/>
                <w:szCs w:val="27"/>
              </w:rPr>
              <w:t>19.2</w:t>
            </w:r>
          </w:p>
        </w:tc>
        <w:tc>
          <w:tcPr>
            <w:tcW w:w="4395" w:type="dxa"/>
            <w:tcBorders>
              <w:top w:val="single" w:sz="4" w:space="0" w:color="auto"/>
              <w:left w:val="nil"/>
              <w:bottom w:val="single" w:sz="4" w:space="0" w:color="auto"/>
              <w:right w:val="single" w:sz="4" w:space="0" w:color="auto"/>
            </w:tcBorders>
            <w:shd w:val="clear" w:color="auto" w:fill="auto"/>
            <w:vAlign w:val="center"/>
            <w:hideMark/>
          </w:tcPr>
          <w:p>
            <w:pPr>
              <w:spacing w:before="20" w:after="20"/>
              <w:rPr>
                <w:i/>
                <w:iCs/>
                <w:sz w:val="27"/>
                <w:szCs w:val="27"/>
              </w:rPr>
            </w:pPr>
            <w:r>
              <w:rPr>
                <w:i/>
                <w:iCs/>
                <w:sz w:val="27"/>
                <w:szCs w:val="27"/>
              </w:rPr>
              <w:t>Trường hợp sử dụng ngân sách nhà nước cấp xã</w:t>
            </w:r>
          </w:p>
        </w:tc>
        <w:tc>
          <w:tcPr>
            <w:tcW w:w="2693" w:type="dxa"/>
            <w:vMerge/>
            <w:tcBorders>
              <w:top w:val="single" w:sz="4" w:space="0" w:color="auto"/>
              <w:left w:val="single" w:sz="4" w:space="0" w:color="auto"/>
              <w:bottom w:val="single" w:sz="4" w:space="0" w:color="auto"/>
              <w:right w:val="single" w:sz="4" w:space="0" w:color="auto"/>
            </w:tcBorders>
            <w:vAlign w:val="center"/>
            <w:hideMark/>
          </w:tcPr>
          <w:p>
            <w:pPr>
              <w:rPr>
                <w:sz w:val="27"/>
                <w:szCs w:val="27"/>
              </w:rPr>
            </w:pPr>
          </w:p>
        </w:tc>
        <w:tc>
          <w:tcPr>
            <w:tcW w:w="2410" w:type="dxa"/>
            <w:tcBorders>
              <w:top w:val="single" w:sz="4" w:space="0" w:color="auto"/>
              <w:left w:val="nil"/>
              <w:bottom w:val="single" w:sz="4" w:space="0" w:color="auto"/>
              <w:right w:val="single" w:sz="4" w:space="0" w:color="auto"/>
            </w:tcBorders>
            <w:shd w:val="clear" w:color="auto" w:fill="auto"/>
            <w:vAlign w:val="center"/>
            <w:hideMark/>
          </w:tcPr>
          <w:p>
            <w:pPr>
              <w:jc w:val="center"/>
              <w:rPr>
                <w:sz w:val="27"/>
                <w:szCs w:val="27"/>
              </w:rPr>
            </w:pPr>
            <w:r>
              <w:rPr>
                <w:sz w:val="27"/>
                <w:szCs w:val="27"/>
              </w:rPr>
              <w:t>Ủy ban nhân dân cấp xã</w:t>
            </w:r>
          </w:p>
        </w:tc>
      </w:tr>
      <w:tr>
        <w:trPr>
          <w:trHeight w:val="112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i/>
                <w:iCs/>
                <w:sz w:val="27"/>
                <w:szCs w:val="27"/>
              </w:rPr>
            </w:pPr>
            <w:r>
              <w:rPr>
                <w:i/>
                <w:iCs/>
                <w:sz w:val="27"/>
                <w:szCs w:val="27"/>
              </w:rPr>
              <w:t>19.3</w:t>
            </w:r>
          </w:p>
        </w:tc>
        <w:tc>
          <w:tcPr>
            <w:tcW w:w="4395" w:type="dxa"/>
            <w:tcBorders>
              <w:top w:val="single" w:sz="4" w:space="0" w:color="auto"/>
              <w:left w:val="nil"/>
              <w:bottom w:val="single" w:sz="4" w:space="0" w:color="auto"/>
              <w:right w:val="single" w:sz="4" w:space="0" w:color="auto"/>
            </w:tcBorders>
            <w:shd w:val="clear" w:color="auto" w:fill="auto"/>
            <w:vAlign w:val="center"/>
            <w:hideMark/>
          </w:tcPr>
          <w:p>
            <w:pPr>
              <w:spacing w:before="20" w:after="20"/>
              <w:rPr>
                <w:i/>
                <w:iCs/>
                <w:sz w:val="27"/>
                <w:szCs w:val="27"/>
              </w:rPr>
            </w:pPr>
            <w:r>
              <w:rPr>
                <w:i/>
                <w:iCs/>
                <w:sz w:val="27"/>
                <w:szCs w:val="27"/>
              </w:rPr>
              <w:t>Trường hợp sử dụng ngân sách nhà nước cấp tỉnh, đặt hàng cho đơn vị sự nghiệp công lập trực thuộc sở, ban, ngành, Ủy ban nhân dân cấp xã cung cấp</w:t>
            </w:r>
          </w:p>
        </w:tc>
        <w:tc>
          <w:tcPr>
            <w:tcW w:w="2693" w:type="dxa"/>
            <w:vMerge/>
            <w:tcBorders>
              <w:top w:val="single" w:sz="4" w:space="0" w:color="auto"/>
              <w:left w:val="single" w:sz="4" w:space="0" w:color="auto"/>
              <w:bottom w:val="single" w:sz="4" w:space="0" w:color="auto"/>
              <w:right w:val="single" w:sz="4" w:space="0" w:color="auto"/>
            </w:tcBorders>
            <w:vAlign w:val="center"/>
            <w:hideMark/>
          </w:tcPr>
          <w:p>
            <w:pPr>
              <w:rPr>
                <w:sz w:val="27"/>
                <w:szCs w:val="27"/>
              </w:rPr>
            </w:pPr>
          </w:p>
        </w:tc>
        <w:tc>
          <w:tcPr>
            <w:tcW w:w="2410" w:type="dxa"/>
            <w:tcBorders>
              <w:top w:val="single" w:sz="4" w:space="0" w:color="auto"/>
              <w:left w:val="nil"/>
              <w:bottom w:val="single" w:sz="4" w:space="0" w:color="auto"/>
              <w:right w:val="single" w:sz="4" w:space="0" w:color="auto"/>
            </w:tcBorders>
            <w:shd w:val="clear" w:color="auto" w:fill="auto"/>
            <w:vAlign w:val="center"/>
            <w:hideMark/>
          </w:tcPr>
          <w:p>
            <w:pPr>
              <w:jc w:val="center"/>
              <w:rPr>
                <w:sz w:val="27"/>
                <w:szCs w:val="27"/>
              </w:rPr>
            </w:pPr>
            <w:r>
              <w:rPr>
                <w:sz w:val="27"/>
                <w:szCs w:val="27"/>
              </w:rPr>
              <w:t>Cơ quan quản lý cấp trên của đơn vị sự nghiệp công lập được đặt hàng</w:t>
            </w:r>
          </w:p>
        </w:tc>
      </w:tr>
      <w:tr>
        <w:trPr>
          <w:trHeight w:val="1125"/>
        </w:trPr>
        <w:tc>
          <w:tcPr>
            <w:tcW w:w="709" w:type="dxa"/>
            <w:vMerge w:val="restart"/>
            <w:tcBorders>
              <w:top w:val="single" w:sz="4" w:space="0" w:color="auto"/>
              <w:left w:val="single" w:sz="4" w:space="0" w:color="auto"/>
              <w:right w:val="single" w:sz="4" w:space="0" w:color="auto"/>
            </w:tcBorders>
            <w:shd w:val="clear" w:color="auto" w:fill="auto"/>
            <w:vAlign w:val="center"/>
          </w:tcPr>
          <w:p>
            <w:pPr>
              <w:jc w:val="center"/>
              <w:rPr>
                <w:sz w:val="27"/>
                <w:szCs w:val="27"/>
              </w:rPr>
            </w:pPr>
            <w:r>
              <w:rPr>
                <w:sz w:val="27"/>
                <w:szCs w:val="27"/>
              </w:rPr>
              <w:t>20</w:t>
            </w:r>
          </w:p>
        </w:tc>
        <w:tc>
          <w:tcPr>
            <w:tcW w:w="4395" w:type="dxa"/>
            <w:tcBorders>
              <w:top w:val="single" w:sz="4" w:space="0" w:color="auto"/>
              <w:left w:val="nil"/>
              <w:bottom w:val="single" w:sz="4" w:space="0" w:color="auto"/>
              <w:right w:val="single" w:sz="4" w:space="0" w:color="auto"/>
            </w:tcBorders>
            <w:shd w:val="clear" w:color="auto" w:fill="auto"/>
            <w:vAlign w:val="center"/>
          </w:tcPr>
          <w:p>
            <w:pPr>
              <w:spacing w:before="20" w:after="20"/>
              <w:rPr>
                <w:spacing w:val="-2"/>
                <w:sz w:val="27"/>
                <w:szCs w:val="27"/>
              </w:rPr>
            </w:pPr>
            <w:r>
              <w:rPr>
                <w:spacing w:val="-2"/>
                <w:sz w:val="27"/>
                <w:szCs w:val="27"/>
              </w:rPr>
              <w:t>Dịch vụ kiểm dịch y tế, y tế dự phòng tại cơ sở y tế công lập (không bao gồm dịch vụ công không sử dụng ngân sách nhà nước, dịch vụ theo yêu cầu)</w:t>
            </w:r>
          </w:p>
        </w:tc>
        <w:tc>
          <w:tcPr>
            <w:tcW w:w="2693" w:type="dxa"/>
            <w:vMerge w:val="restart"/>
            <w:tcBorders>
              <w:top w:val="single" w:sz="4" w:space="0" w:color="auto"/>
              <w:left w:val="single" w:sz="4" w:space="0" w:color="auto"/>
              <w:right w:val="single" w:sz="4" w:space="0" w:color="auto"/>
            </w:tcBorders>
            <w:vAlign w:val="center"/>
          </w:tcPr>
          <w:p>
            <w:pPr>
              <w:rPr>
                <w:sz w:val="27"/>
                <w:szCs w:val="27"/>
              </w:rPr>
            </w:pPr>
            <w:r>
              <w:rPr>
                <w:sz w:val="27"/>
                <w:szCs w:val="27"/>
              </w:rPr>
              <w:t>Giá cụ thể</w:t>
            </w:r>
          </w:p>
          <w:p>
            <w:pPr>
              <w:rPr>
                <w:sz w:val="27"/>
                <w:szCs w:val="27"/>
              </w:rPr>
            </w:pPr>
            <w:r>
              <w:rPr>
                <w:sz w:val="27"/>
                <w:szCs w:val="27"/>
              </w:rPr>
              <w:t> </w:t>
            </w:r>
          </w:p>
        </w:tc>
        <w:tc>
          <w:tcPr>
            <w:tcW w:w="2410" w:type="dxa"/>
            <w:vMerge w:val="restart"/>
            <w:tcBorders>
              <w:top w:val="single" w:sz="4" w:space="0" w:color="auto"/>
              <w:left w:val="nil"/>
              <w:right w:val="single" w:sz="4" w:space="0" w:color="auto"/>
            </w:tcBorders>
            <w:shd w:val="clear" w:color="auto" w:fill="auto"/>
            <w:vAlign w:val="center"/>
          </w:tcPr>
          <w:p>
            <w:pPr>
              <w:jc w:val="center"/>
              <w:rPr>
                <w:sz w:val="27"/>
                <w:szCs w:val="27"/>
              </w:rPr>
            </w:pPr>
            <w:r>
              <w:rPr>
                <w:sz w:val="27"/>
                <w:szCs w:val="27"/>
              </w:rPr>
              <w:t>Sở Y tế</w:t>
            </w:r>
          </w:p>
          <w:p>
            <w:pPr>
              <w:jc w:val="center"/>
              <w:rPr>
                <w:sz w:val="27"/>
                <w:szCs w:val="27"/>
              </w:rPr>
            </w:pPr>
          </w:p>
        </w:tc>
      </w:tr>
      <w:tr>
        <w:trPr>
          <w:trHeight w:val="375"/>
        </w:trPr>
        <w:tc>
          <w:tcPr>
            <w:tcW w:w="709" w:type="dxa"/>
            <w:vMerge/>
            <w:tcBorders>
              <w:left w:val="single" w:sz="4" w:space="0" w:color="auto"/>
              <w:bottom w:val="single" w:sz="4" w:space="0" w:color="auto"/>
              <w:right w:val="single" w:sz="4" w:space="0" w:color="auto"/>
            </w:tcBorders>
            <w:shd w:val="clear" w:color="auto" w:fill="auto"/>
            <w:vAlign w:val="center"/>
          </w:tcPr>
          <w:p>
            <w:pPr>
              <w:jc w:val="center"/>
              <w:rPr>
                <w:sz w:val="27"/>
                <w:szCs w:val="27"/>
              </w:rPr>
            </w:pPr>
          </w:p>
        </w:tc>
        <w:tc>
          <w:tcPr>
            <w:tcW w:w="4395" w:type="dxa"/>
            <w:tcBorders>
              <w:top w:val="single" w:sz="4" w:space="0" w:color="auto"/>
              <w:left w:val="nil"/>
              <w:bottom w:val="single" w:sz="4" w:space="0" w:color="auto"/>
              <w:right w:val="single" w:sz="4" w:space="0" w:color="auto"/>
            </w:tcBorders>
            <w:shd w:val="clear" w:color="auto" w:fill="auto"/>
            <w:vAlign w:val="center"/>
          </w:tcPr>
          <w:p>
            <w:pPr>
              <w:spacing w:before="20" w:after="20"/>
              <w:rPr>
                <w:sz w:val="27"/>
                <w:szCs w:val="27"/>
              </w:rPr>
            </w:pPr>
            <w:r>
              <w:rPr>
                <w:sz w:val="27"/>
                <w:szCs w:val="27"/>
              </w:rPr>
              <w:t>Dịch vụ điều trị nghiện bằng thuốc thay thế tại các đơn vị sự nghiệp công lập (không bao gồm dịch vụ công không sử dụng ngân sách nhà nước, dịch vụ theo yêu cầu)</w:t>
            </w:r>
          </w:p>
        </w:tc>
        <w:tc>
          <w:tcPr>
            <w:tcW w:w="2693" w:type="dxa"/>
            <w:vMerge/>
            <w:tcBorders>
              <w:left w:val="single" w:sz="4" w:space="0" w:color="auto"/>
              <w:bottom w:val="single" w:sz="4" w:space="0" w:color="auto"/>
              <w:right w:val="single" w:sz="4" w:space="0" w:color="auto"/>
            </w:tcBorders>
            <w:shd w:val="clear" w:color="auto" w:fill="auto"/>
            <w:vAlign w:val="center"/>
            <w:hideMark/>
          </w:tcPr>
          <w:p>
            <w:pPr>
              <w:rPr>
                <w:sz w:val="27"/>
                <w:szCs w:val="27"/>
              </w:rPr>
            </w:pPr>
          </w:p>
        </w:tc>
        <w:tc>
          <w:tcPr>
            <w:tcW w:w="2410" w:type="dxa"/>
            <w:vMerge/>
            <w:tcBorders>
              <w:left w:val="nil"/>
              <w:right w:val="single" w:sz="4" w:space="0" w:color="auto"/>
            </w:tcBorders>
            <w:shd w:val="clear" w:color="auto" w:fill="auto"/>
            <w:vAlign w:val="center"/>
            <w:hideMark/>
          </w:tcPr>
          <w:p>
            <w:pPr>
              <w:jc w:val="both"/>
              <w:rPr>
                <w:sz w:val="27"/>
                <w:szCs w:val="27"/>
              </w:rPr>
            </w:pPr>
          </w:p>
        </w:tc>
      </w:tr>
      <w:tr>
        <w:trPr>
          <w:trHeight w:val="766"/>
        </w:trPr>
        <w:tc>
          <w:tcPr>
            <w:tcW w:w="709" w:type="dxa"/>
            <w:tcBorders>
              <w:top w:val="single" w:sz="4" w:space="0" w:color="auto"/>
              <w:left w:val="single" w:sz="4" w:space="0" w:color="auto"/>
              <w:bottom w:val="single" w:sz="4" w:space="0" w:color="auto"/>
              <w:right w:val="single" w:sz="4" w:space="0" w:color="auto"/>
            </w:tcBorders>
            <w:vAlign w:val="center"/>
            <w:hideMark/>
          </w:tcPr>
          <w:p>
            <w:pPr>
              <w:jc w:val="center"/>
              <w:rPr>
                <w:sz w:val="27"/>
                <w:szCs w:val="27"/>
              </w:rPr>
            </w:pPr>
            <w:r>
              <w:rPr>
                <w:sz w:val="27"/>
                <w:szCs w:val="27"/>
              </w:rPr>
              <w:t>21</w:t>
            </w:r>
          </w:p>
        </w:tc>
        <w:tc>
          <w:tcPr>
            <w:tcW w:w="4395" w:type="dxa"/>
            <w:tcBorders>
              <w:top w:val="single" w:sz="4" w:space="0" w:color="auto"/>
              <w:left w:val="single" w:sz="4" w:space="0" w:color="auto"/>
              <w:bottom w:val="single" w:sz="4" w:space="0" w:color="auto"/>
              <w:right w:val="single" w:sz="4" w:space="0" w:color="auto"/>
            </w:tcBorders>
            <w:vAlign w:val="center"/>
            <w:hideMark/>
          </w:tcPr>
          <w:p>
            <w:pPr>
              <w:spacing w:before="20" w:after="20"/>
              <w:rPr>
                <w:sz w:val="27"/>
                <w:szCs w:val="27"/>
              </w:rPr>
            </w:pPr>
            <w:r>
              <w:rPr>
                <w:sz w:val="27"/>
                <w:szCs w:val="27"/>
              </w:rPr>
              <w:t>Máu toàn phần và chế phẩm máu đạt tiêu chuẩn</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pPr>
              <w:rPr>
                <w:sz w:val="27"/>
                <w:szCs w:val="27"/>
              </w:rPr>
            </w:pPr>
            <w:r>
              <w:rPr>
                <w:sz w:val="27"/>
                <w:szCs w:val="27"/>
              </w:rPr>
              <w:t>Giá cụ thể</w:t>
            </w:r>
          </w:p>
        </w:tc>
        <w:tc>
          <w:tcPr>
            <w:tcW w:w="2410" w:type="dxa"/>
            <w:vMerge/>
            <w:tcBorders>
              <w:left w:val="single" w:sz="4" w:space="0" w:color="auto"/>
              <w:right w:val="single" w:sz="4" w:space="0" w:color="auto"/>
            </w:tcBorders>
            <w:vAlign w:val="center"/>
            <w:hideMark/>
          </w:tcPr>
          <w:p>
            <w:pPr>
              <w:jc w:val="both"/>
              <w:rPr>
                <w:sz w:val="27"/>
                <w:szCs w:val="27"/>
              </w:rPr>
            </w:pPr>
          </w:p>
        </w:tc>
      </w:tr>
      <w:tr>
        <w:trPr>
          <w:trHeight w:val="834"/>
        </w:trPr>
        <w:tc>
          <w:tcPr>
            <w:tcW w:w="709" w:type="dxa"/>
            <w:tcBorders>
              <w:top w:val="single" w:sz="4" w:space="0" w:color="auto"/>
              <w:left w:val="single" w:sz="4" w:space="0" w:color="auto"/>
              <w:bottom w:val="single" w:sz="4" w:space="0" w:color="auto"/>
              <w:right w:val="single" w:sz="4" w:space="0" w:color="auto"/>
            </w:tcBorders>
            <w:vAlign w:val="center"/>
          </w:tcPr>
          <w:p>
            <w:pPr>
              <w:jc w:val="center"/>
              <w:rPr>
                <w:sz w:val="27"/>
                <w:szCs w:val="27"/>
              </w:rPr>
            </w:pPr>
            <w:r>
              <w:rPr>
                <w:sz w:val="27"/>
                <w:szCs w:val="27"/>
              </w:rPr>
              <w:t>22</w:t>
            </w:r>
          </w:p>
        </w:tc>
        <w:tc>
          <w:tcPr>
            <w:tcW w:w="4395" w:type="dxa"/>
            <w:tcBorders>
              <w:top w:val="single" w:sz="4" w:space="0" w:color="auto"/>
              <w:left w:val="single" w:sz="4" w:space="0" w:color="auto"/>
              <w:bottom w:val="single" w:sz="4" w:space="0" w:color="auto"/>
              <w:right w:val="single" w:sz="4" w:space="0" w:color="auto"/>
            </w:tcBorders>
            <w:vAlign w:val="center"/>
          </w:tcPr>
          <w:p>
            <w:pPr>
              <w:spacing w:before="20" w:after="20"/>
              <w:rPr>
                <w:sz w:val="27"/>
                <w:szCs w:val="27"/>
              </w:rPr>
            </w:pPr>
            <w:r>
              <w:rPr>
                <w:sz w:val="27"/>
                <w:szCs w:val="27"/>
              </w:rPr>
              <w:t>Dịch vụ kiểm nghiệm mẫu thuốc, nguyên liệu làm thuốc tại đơn vị sự nghiệp công lập (không bao gồm dịch vụ công không sử dụng ngân sách nhà nước, dịch vụ theo yêu cầu)</w:t>
            </w:r>
          </w:p>
        </w:tc>
        <w:tc>
          <w:tcPr>
            <w:tcW w:w="2693" w:type="dxa"/>
            <w:tcBorders>
              <w:top w:val="single" w:sz="4" w:space="0" w:color="auto"/>
              <w:left w:val="nil"/>
              <w:bottom w:val="single" w:sz="4" w:space="0" w:color="auto"/>
              <w:right w:val="single" w:sz="4" w:space="0" w:color="auto"/>
            </w:tcBorders>
            <w:shd w:val="clear" w:color="auto" w:fill="auto"/>
            <w:vAlign w:val="center"/>
          </w:tcPr>
          <w:p>
            <w:pPr>
              <w:rPr>
                <w:sz w:val="27"/>
                <w:szCs w:val="27"/>
              </w:rPr>
            </w:pPr>
            <w:r>
              <w:rPr>
                <w:sz w:val="27"/>
                <w:szCs w:val="27"/>
              </w:rPr>
              <w:t>Giá cụ thể</w:t>
            </w:r>
          </w:p>
        </w:tc>
        <w:tc>
          <w:tcPr>
            <w:tcW w:w="2410" w:type="dxa"/>
            <w:vMerge/>
            <w:tcBorders>
              <w:left w:val="single" w:sz="4" w:space="0" w:color="auto"/>
              <w:bottom w:val="single" w:sz="4" w:space="0" w:color="auto"/>
              <w:right w:val="single" w:sz="4" w:space="0" w:color="auto"/>
            </w:tcBorders>
            <w:vAlign w:val="center"/>
          </w:tcPr>
          <w:p>
            <w:pPr>
              <w:jc w:val="both"/>
              <w:rPr>
                <w:sz w:val="27"/>
                <w:szCs w:val="27"/>
              </w:rPr>
            </w:pPr>
          </w:p>
        </w:tc>
      </w:tr>
      <w:tr>
        <w:trPr>
          <w:trHeight w:val="834"/>
        </w:trPr>
        <w:tc>
          <w:tcPr>
            <w:tcW w:w="709" w:type="dxa"/>
            <w:tcBorders>
              <w:top w:val="single" w:sz="4" w:space="0" w:color="auto"/>
              <w:left w:val="single" w:sz="4" w:space="0" w:color="auto"/>
              <w:bottom w:val="single" w:sz="4" w:space="0" w:color="auto"/>
              <w:right w:val="single" w:sz="4" w:space="0" w:color="auto"/>
            </w:tcBorders>
            <w:vAlign w:val="center"/>
          </w:tcPr>
          <w:p>
            <w:pPr>
              <w:jc w:val="center"/>
              <w:rPr>
                <w:sz w:val="27"/>
                <w:szCs w:val="27"/>
              </w:rPr>
            </w:pPr>
            <w:r>
              <w:rPr>
                <w:sz w:val="27"/>
                <w:szCs w:val="27"/>
              </w:rPr>
              <w:t>23</w:t>
            </w:r>
          </w:p>
        </w:tc>
        <w:tc>
          <w:tcPr>
            <w:tcW w:w="4395" w:type="dxa"/>
            <w:tcBorders>
              <w:top w:val="single" w:sz="4" w:space="0" w:color="auto"/>
              <w:left w:val="single" w:sz="4" w:space="0" w:color="auto"/>
              <w:bottom w:val="single" w:sz="4" w:space="0" w:color="auto"/>
              <w:right w:val="single" w:sz="4" w:space="0" w:color="auto"/>
            </w:tcBorders>
            <w:vAlign w:val="center"/>
          </w:tcPr>
          <w:p>
            <w:pPr>
              <w:rPr>
                <w:sz w:val="27"/>
                <w:szCs w:val="27"/>
              </w:rPr>
            </w:pPr>
            <w:r>
              <w:rPr>
                <w:sz w:val="27"/>
                <w:szCs w:val="27"/>
              </w:rPr>
              <w:t>Dịch vụ sử dụng hạ tầng trong khu công nghiệp, khu kinh tế, khu công nghệ số tập trung, khu công nghệ cao và cụm công nghiệp đầu tư từ nguồn vốn ngân sách nhà nước</w:t>
            </w:r>
          </w:p>
        </w:tc>
        <w:tc>
          <w:tcPr>
            <w:tcW w:w="2693" w:type="dxa"/>
            <w:tcBorders>
              <w:top w:val="single" w:sz="4" w:space="0" w:color="auto"/>
              <w:left w:val="nil"/>
              <w:bottom w:val="single" w:sz="4" w:space="0" w:color="auto"/>
              <w:right w:val="single" w:sz="4" w:space="0" w:color="auto"/>
            </w:tcBorders>
            <w:shd w:val="clear" w:color="auto" w:fill="auto"/>
            <w:vAlign w:val="center"/>
          </w:tcPr>
          <w:p>
            <w:pPr>
              <w:rPr>
                <w:sz w:val="27"/>
                <w:szCs w:val="27"/>
              </w:rPr>
            </w:pPr>
            <w:r>
              <w:rPr>
                <w:sz w:val="27"/>
                <w:szCs w:val="27"/>
              </w:rPr>
              <w:t>Giá cụ thể</w:t>
            </w:r>
          </w:p>
        </w:tc>
        <w:tc>
          <w:tcPr>
            <w:tcW w:w="2410" w:type="dxa"/>
            <w:tcBorders>
              <w:top w:val="single" w:sz="4" w:space="0" w:color="auto"/>
              <w:left w:val="single" w:sz="4" w:space="0" w:color="auto"/>
              <w:bottom w:val="single" w:sz="4" w:space="0" w:color="auto"/>
              <w:right w:val="single" w:sz="4" w:space="0" w:color="auto"/>
            </w:tcBorders>
            <w:vAlign w:val="center"/>
          </w:tcPr>
          <w:p>
            <w:pPr>
              <w:ind w:left="-57" w:right="-57"/>
              <w:jc w:val="both"/>
              <w:rPr>
                <w:spacing w:val="-2"/>
                <w:sz w:val="27"/>
                <w:szCs w:val="27"/>
              </w:rPr>
            </w:pPr>
            <w:r>
              <w:rPr>
                <w:spacing w:val="-2"/>
                <w:sz w:val="27"/>
                <w:szCs w:val="27"/>
              </w:rPr>
              <w:t>- Ban quản lý khu kinh tế: đối với khu công nghiệp, khu kinh tế, khu công nghệ số tập trung, khu công nghệ cao</w:t>
            </w:r>
          </w:p>
          <w:p>
            <w:pPr>
              <w:ind w:left="-57" w:right="-57"/>
              <w:jc w:val="both"/>
              <w:rPr>
                <w:spacing w:val="-2"/>
                <w:sz w:val="27"/>
                <w:szCs w:val="27"/>
              </w:rPr>
            </w:pPr>
            <w:r>
              <w:rPr>
                <w:spacing w:val="-2"/>
                <w:sz w:val="27"/>
                <w:szCs w:val="27"/>
              </w:rPr>
              <w:t xml:space="preserve">- Sở Công Thương: đối với cụm công </w:t>
            </w:r>
            <w:r>
              <w:rPr>
                <w:spacing w:val="-2"/>
                <w:sz w:val="27"/>
                <w:szCs w:val="27"/>
              </w:rPr>
              <w:lastRenderedPageBreak/>
              <w:t>nghiệp đầu tư từ nguồn vốn ngân sách nhà nước</w:t>
            </w:r>
          </w:p>
        </w:tc>
      </w:tr>
      <w:tr>
        <w:trPr>
          <w:trHeight w:val="625"/>
        </w:trPr>
        <w:tc>
          <w:tcPr>
            <w:tcW w:w="709" w:type="dxa"/>
            <w:tcBorders>
              <w:top w:val="single" w:sz="4" w:space="0" w:color="auto"/>
              <w:left w:val="single" w:sz="4" w:space="0" w:color="auto"/>
              <w:bottom w:val="single" w:sz="4" w:space="0" w:color="auto"/>
              <w:right w:val="single" w:sz="4" w:space="0" w:color="auto"/>
            </w:tcBorders>
            <w:vAlign w:val="center"/>
          </w:tcPr>
          <w:p>
            <w:pPr>
              <w:rPr>
                <w:b/>
                <w:sz w:val="27"/>
                <w:szCs w:val="27"/>
              </w:rPr>
            </w:pPr>
            <w:r>
              <w:rPr>
                <w:b/>
                <w:sz w:val="27"/>
                <w:szCs w:val="27"/>
              </w:rPr>
              <w:lastRenderedPageBreak/>
              <w:t>II</w:t>
            </w:r>
          </w:p>
        </w:tc>
        <w:tc>
          <w:tcPr>
            <w:tcW w:w="9498" w:type="dxa"/>
            <w:gridSpan w:val="3"/>
            <w:tcBorders>
              <w:top w:val="single" w:sz="4" w:space="0" w:color="auto"/>
              <w:left w:val="single" w:sz="4" w:space="0" w:color="auto"/>
              <w:bottom w:val="single" w:sz="4" w:space="0" w:color="auto"/>
              <w:right w:val="single" w:sz="4" w:space="0" w:color="auto"/>
            </w:tcBorders>
            <w:vAlign w:val="center"/>
          </w:tcPr>
          <w:p>
            <w:pPr>
              <w:jc w:val="both"/>
              <w:rPr>
                <w:b/>
                <w:sz w:val="27"/>
                <w:szCs w:val="27"/>
              </w:rPr>
            </w:pPr>
            <w:r>
              <w:rPr>
                <w:b/>
                <w:sz w:val="27"/>
                <w:szCs w:val="27"/>
              </w:rPr>
              <w:t>Danh mục hàng hóa, dịch vụ do hai cấp định giá</w:t>
            </w:r>
          </w:p>
        </w:tc>
      </w:tr>
      <w:tr>
        <w:trPr>
          <w:trHeight w:val="827"/>
        </w:trPr>
        <w:tc>
          <w:tcPr>
            <w:tcW w:w="709" w:type="dxa"/>
            <w:tcBorders>
              <w:top w:val="single" w:sz="4" w:space="0" w:color="auto"/>
              <w:left w:val="single" w:sz="4" w:space="0" w:color="auto"/>
              <w:bottom w:val="single" w:sz="4" w:space="0" w:color="auto"/>
              <w:right w:val="single" w:sz="4" w:space="0" w:color="auto"/>
            </w:tcBorders>
            <w:vAlign w:val="center"/>
          </w:tcPr>
          <w:p>
            <w:pPr>
              <w:jc w:val="center"/>
              <w:rPr>
                <w:sz w:val="27"/>
                <w:szCs w:val="27"/>
              </w:rPr>
            </w:pPr>
            <w:r>
              <w:rPr>
                <w:sz w:val="27"/>
                <w:szCs w:val="27"/>
              </w:rPr>
              <w:t>24</w:t>
            </w:r>
          </w:p>
        </w:tc>
        <w:tc>
          <w:tcPr>
            <w:tcW w:w="4395" w:type="dxa"/>
            <w:tcBorders>
              <w:top w:val="single" w:sz="4" w:space="0" w:color="auto"/>
              <w:left w:val="single" w:sz="4" w:space="0" w:color="auto"/>
              <w:bottom w:val="single" w:sz="4" w:space="0" w:color="auto"/>
              <w:right w:val="single" w:sz="4" w:space="0" w:color="auto"/>
            </w:tcBorders>
            <w:vAlign w:val="center"/>
          </w:tcPr>
          <w:p>
            <w:pPr>
              <w:rPr>
                <w:sz w:val="27"/>
                <w:szCs w:val="27"/>
              </w:rPr>
            </w:pPr>
            <w:r>
              <w:rPr>
                <w:sz w:val="27"/>
                <w:szCs w:val="27"/>
              </w:rPr>
              <w:t>Nước sạch</w:t>
            </w:r>
          </w:p>
        </w:tc>
        <w:tc>
          <w:tcPr>
            <w:tcW w:w="2693" w:type="dxa"/>
            <w:vMerge w:val="restart"/>
            <w:tcBorders>
              <w:top w:val="single" w:sz="4" w:space="0" w:color="auto"/>
              <w:left w:val="nil"/>
              <w:right w:val="single" w:sz="4" w:space="0" w:color="auto"/>
            </w:tcBorders>
            <w:shd w:val="clear" w:color="auto" w:fill="auto"/>
            <w:vAlign w:val="center"/>
          </w:tcPr>
          <w:p>
            <w:pPr>
              <w:rPr>
                <w:sz w:val="27"/>
                <w:szCs w:val="27"/>
              </w:rPr>
            </w:pPr>
            <w:r>
              <w:rPr>
                <w:sz w:val="27"/>
                <w:szCs w:val="27"/>
              </w:rPr>
              <w:t>- Ủy ban nhân dân cấp tỉnh định giá cụ thể (trên cơ sở khung giá do Bộ Tài chính quy định)</w:t>
            </w:r>
          </w:p>
        </w:tc>
        <w:tc>
          <w:tcPr>
            <w:tcW w:w="2410" w:type="dxa"/>
            <w:vMerge w:val="restart"/>
            <w:tcBorders>
              <w:top w:val="single" w:sz="4" w:space="0" w:color="auto"/>
              <w:left w:val="single" w:sz="4" w:space="0" w:color="auto"/>
              <w:right w:val="single" w:sz="4" w:space="0" w:color="auto"/>
            </w:tcBorders>
            <w:vAlign w:val="center"/>
          </w:tcPr>
          <w:p>
            <w:pPr>
              <w:jc w:val="both"/>
              <w:rPr>
                <w:sz w:val="27"/>
                <w:szCs w:val="27"/>
              </w:rPr>
            </w:pPr>
            <w:r>
              <w:rPr>
                <w:sz w:val="27"/>
                <w:szCs w:val="27"/>
              </w:rPr>
              <w:t> Ủy ban nhân dân tỉnh phân công đối với từng trường hợp cụ thể (Sở Xây dựng hoặc Sở Nông nghiệp và Môi trường)</w:t>
            </w:r>
          </w:p>
        </w:tc>
      </w:tr>
      <w:tr>
        <w:trPr>
          <w:trHeight w:val="697"/>
        </w:trPr>
        <w:tc>
          <w:tcPr>
            <w:tcW w:w="709" w:type="dxa"/>
            <w:tcBorders>
              <w:top w:val="single" w:sz="4" w:space="0" w:color="auto"/>
              <w:left w:val="single" w:sz="4" w:space="0" w:color="auto"/>
              <w:bottom w:val="single" w:sz="4" w:space="0" w:color="auto"/>
              <w:right w:val="single" w:sz="4" w:space="0" w:color="auto"/>
            </w:tcBorders>
            <w:vAlign w:val="center"/>
          </w:tcPr>
          <w:p>
            <w:pPr>
              <w:jc w:val="center"/>
              <w:rPr>
                <w:sz w:val="27"/>
                <w:szCs w:val="27"/>
              </w:rPr>
            </w:pPr>
            <w:r>
              <w:rPr>
                <w:sz w:val="27"/>
                <w:szCs w:val="27"/>
              </w:rPr>
              <w:t>24.1</w:t>
            </w:r>
          </w:p>
        </w:tc>
        <w:tc>
          <w:tcPr>
            <w:tcW w:w="4395" w:type="dxa"/>
            <w:tcBorders>
              <w:top w:val="single" w:sz="4" w:space="0" w:color="auto"/>
              <w:left w:val="single" w:sz="4" w:space="0" w:color="auto"/>
              <w:bottom w:val="single" w:sz="4" w:space="0" w:color="auto"/>
              <w:right w:val="single" w:sz="4" w:space="0" w:color="auto"/>
            </w:tcBorders>
            <w:vAlign w:val="center"/>
          </w:tcPr>
          <w:p>
            <w:pPr>
              <w:rPr>
                <w:i/>
                <w:iCs/>
                <w:sz w:val="27"/>
                <w:szCs w:val="27"/>
              </w:rPr>
            </w:pPr>
            <w:r>
              <w:rPr>
                <w:i/>
                <w:iCs/>
                <w:sz w:val="27"/>
                <w:szCs w:val="27"/>
              </w:rPr>
              <w:t>Nước sạch đô thị</w:t>
            </w:r>
          </w:p>
        </w:tc>
        <w:tc>
          <w:tcPr>
            <w:tcW w:w="2693" w:type="dxa"/>
            <w:vMerge/>
            <w:tcBorders>
              <w:left w:val="nil"/>
              <w:right w:val="single" w:sz="4" w:space="0" w:color="auto"/>
            </w:tcBorders>
            <w:shd w:val="clear" w:color="auto" w:fill="auto"/>
            <w:vAlign w:val="center"/>
          </w:tcPr>
          <w:p>
            <w:pPr>
              <w:rPr>
                <w:sz w:val="27"/>
                <w:szCs w:val="27"/>
              </w:rPr>
            </w:pPr>
          </w:p>
        </w:tc>
        <w:tc>
          <w:tcPr>
            <w:tcW w:w="2410" w:type="dxa"/>
            <w:vMerge/>
            <w:tcBorders>
              <w:left w:val="single" w:sz="4" w:space="0" w:color="auto"/>
              <w:right w:val="single" w:sz="4" w:space="0" w:color="auto"/>
            </w:tcBorders>
            <w:vAlign w:val="center"/>
          </w:tcPr>
          <w:p>
            <w:pPr>
              <w:jc w:val="both"/>
              <w:rPr>
                <w:sz w:val="27"/>
                <w:szCs w:val="27"/>
              </w:rPr>
            </w:pPr>
          </w:p>
        </w:tc>
      </w:tr>
      <w:tr>
        <w:trPr>
          <w:trHeight w:val="931"/>
        </w:trPr>
        <w:tc>
          <w:tcPr>
            <w:tcW w:w="709" w:type="dxa"/>
            <w:tcBorders>
              <w:top w:val="single" w:sz="4" w:space="0" w:color="auto"/>
              <w:left w:val="single" w:sz="4" w:space="0" w:color="auto"/>
              <w:bottom w:val="single" w:sz="4" w:space="0" w:color="auto"/>
              <w:right w:val="single" w:sz="4" w:space="0" w:color="auto"/>
            </w:tcBorders>
            <w:vAlign w:val="center"/>
          </w:tcPr>
          <w:p>
            <w:pPr>
              <w:jc w:val="center"/>
              <w:rPr>
                <w:sz w:val="27"/>
                <w:szCs w:val="27"/>
              </w:rPr>
            </w:pPr>
            <w:r>
              <w:rPr>
                <w:sz w:val="27"/>
                <w:szCs w:val="27"/>
              </w:rPr>
              <w:t>24.2</w:t>
            </w:r>
          </w:p>
        </w:tc>
        <w:tc>
          <w:tcPr>
            <w:tcW w:w="4395" w:type="dxa"/>
            <w:tcBorders>
              <w:top w:val="single" w:sz="4" w:space="0" w:color="auto"/>
              <w:left w:val="single" w:sz="4" w:space="0" w:color="auto"/>
              <w:bottom w:val="single" w:sz="4" w:space="0" w:color="auto"/>
              <w:right w:val="single" w:sz="4" w:space="0" w:color="auto"/>
            </w:tcBorders>
            <w:vAlign w:val="center"/>
          </w:tcPr>
          <w:p>
            <w:pPr>
              <w:rPr>
                <w:i/>
                <w:iCs/>
                <w:sz w:val="27"/>
                <w:szCs w:val="27"/>
              </w:rPr>
            </w:pPr>
            <w:r>
              <w:rPr>
                <w:i/>
                <w:iCs/>
                <w:sz w:val="27"/>
                <w:szCs w:val="27"/>
              </w:rPr>
              <w:t>Nước sạch nông thôn</w:t>
            </w:r>
          </w:p>
        </w:tc>
        <w:tc>
          <w:tcPr>
            <w:tcW w:w="2693" w:type="dxa"/>
            <w:vMerge/>
            <w:tcBorders>
              <w:left w:val="nil"/>
              <w:bottom w:val="single" w:sz="4" w:space="0" w:color="auto"/>
              <w:right w:val="single" w:sz="4" w:space="0" w:color="auto"/>
            </w:tcBorders>
            <w:shd w:val="clear" w:color="auto" w:fill="auto"/>
            <w:vAlign w:val="center"/>
          </w:tcPr>
          <w:p>
            <w:pPr>
              <w:rPr>
                <w:sz w:val="27"/>
                <w:szCs w:val="27"/>
              </w:rPr>
            </w:pPr>
          </w:p>
        </w:tc>
        <w:tc>
          <w:tcPr>
            <w:tcW w:w="2410" w:type="dxa"/>
            <w:vMerge/>
            <w:tcBorders>
              <w:left w:val="single" w:sz="4" w:space="0" w:color="auto"/>
              <w:bottom w:val="single" w:sz="4" w:space="0" w:color="auto"/>
              <w:right w:val="single" w:sz="4" w:space="0" w:color="auto"/>
            </w:tcBorders>
            <w:vAlign w:val="center"/>
          </w:tcPr>
          <w:p>
            <w:pPr>
              <w:jc w:val="both"/>
              <w:rPr>
                <w:sz w:val="27"/>
                <w:szCs w:val="27"/>
              </w:rPr>
            </w:pPr>
          </w:p>
        </w:tc>
      </w:tr>
      <w:tr>
        <w:trPr>
          <w:trHeight w:val="701"/>
        </w:trPr>
        <w:tc>
          <w:tcPr>
            <w:tcW w:w="709" w:type="dxa"/>
            <w:tcBorders>
              <w:top w:val="single" w:sz="4" w:space="0" w:color="auto"/>
              <w:left w:val="single" w:sz="4" w:space="0" w:color="auto"/>
              <w:bottom w:val="single" w:sz="4" w:space="0" w:color="auto"/>
              <w:right w:val="single" w:sz="4" w:space="0" w:color="auto"/>
            </w:tcBorders>
            <w:vAlign w:val="center"/>
          </w:tcPr>
          <w:p>
            <w:pPr>
              <w:jc w:val="center"/>
              <w:rPr>
                <w:b/>
                <w:sz w:val="27"/>
                <w:szCs w:val="27"/>
              </w:rPr>
            </w:pPr>
            <w:r>
              <w:rPr>
                <w:b/>
                <w:sz w:val="27"/>
                <w:szCs w:val="27"/>
              </w:rPr>
              <w:t>III</w:t>
            </w:r>
          </w:p>
        </w:tc>
        <w:tc>
          <w:tcPr>
            <w:tcW w:w="9498" w:type="dxa"/>
            <w:gridSpan w:val="3"/>
            <w:tcBorders>
              <w:top w:val="single" w:sz="4" w:space="0" w:color="auto"/>
              <w:left w:val="single" w:sz="4" w:space="0" w:color="auto"/>
              <w:bottom w:val="single" w:sz="4" w:space="0" w:color="auto"/>
              <w:right w:val="single" w:sz="4" w:space="0" w:color="auto"/>
            </w:tcBorders>
            <w:vAlign w:val="center"/>
          </w:tcPr>
          <w:p>
            <w:pPr>
              <w:jc w:val="both"/>
              <w:rPr>
                <w:sz w:val="27"/>
                <w:szCs w:val="27"/>
              </w:rPr>
            </w:pPr>
            <w:r>
              <w:rPr>
                <w:b/>
                <w:iCs/>
                <w:sz w:val="27"/>
                <w:szCs w:val="27"/>
              </w:rPr>
              <w:t>Danh mục hàng hóa, dịch vụ Ủy ban nhân dân tỉnh phân cấp định giá cụ thể</w:t>
            </w:r>
          </w:p>
        </w:tc>
      </w:tr>
      <w:tr>
        <w:trPr>
          <w:trHeight w:val="931"/>
        </w:trPr>
        <w:tc>
          <w:tcPr>
            <w:tcW w:w="709" w:type="dxa"/>
            <w:tcBorders>
              <w:top w:val="single" w:sz="4" w:space="0" w:color="auto"/>
              <w:left w:val="single" w:sz="4" w:space="0" w:color="auto"/>
              <w:bottom w:val="single" w:sz="4" w:space="0" w:color="auto"/>
              <w:right w:val="single" w:sz="4" w:space="0" w:color="auto"/>
            </w:tcBorders>
            <w:vAlign w:val="center"/>
          </w:tcPr>
          <w:p>
            <w:pPr>
              <w:jc w:val="center"/>
              <w:rPr>
                <w:sz w:val="27"/>
                <w:szCs w:val="27"/>
              </w:rPr>
            </w:pPr>
            <w:r>
              <w:rPr>
                <w:sz w:val="27"/>
                <w:szCs w:val="27"/>
              </w:rPr>
              <w:t>25</w:t>
            </w:r>
          </w:p>
        </w:tc>
        <w:tc>
          <w:tcPr>
            <w:tcW w:w="4395" w:type="dxa"/>
            <w:tcBorders>
              <w:top w:val="single" w:sz="4" w:space="0" w:color="auto"/>
              <w:left w:val="single" w:sz="4" w:space="0" w:color="auto"/>
              <w:bottom w:val="single" w:sz="4" w:space="0" w:color="auto"/>
              <w:right w:val="single" w:sz="4" w:space="0" w:color="auto"/>
            </w:tcBorders>
            <w:vAlign w:val="center"/>
          </w:tcPr>
          <w:p>
            <w:pPr>
              <w:rPr>
                <w:sz w:val="27"/>
                <w:szCs w:val="27"/>
              </w:rPr>
            </w:pPr>
            <w:r>
              <w:rPr>
                <w:sz w:val="27"/>
                <w:szCs w:val="27"/>
              </w:rPr>
              <w:t>Dịch vụ thu gom, vận chuyển, xử lý chất thải rắn sinh hoạt và dịch vụ vệ sinh công cộng</w:t>
            </w:r>
          </w:p>
        </w:tc>
        <w:tc>
          <w:tcPr>
            <w:tcW w:w="2693" w:type="dxa"/>
            <w:tcBorders>
              <w:top w:val="single" w:sz="4" w:space="0" w:color="auto"/>
              <w:left w:val="nil"/>
              <w:bottom w:val="single" w:sz="4" w:space="0" w:color="auto"/>
              <w:right w:val="single" w:sz="4" w:space="0" w:color="auto"/>
            </w:tcBorders>
            <w:shd w:val="clear" w:color="auto" w:fill="auto"/>
            <w:vAlign w:val="center"/>
          </w:tcPr>
          <w:p>
            <w:pPr>
              <w:spacing w:before="20"/>
              <w:rPr>
                <w:sz w:val="27"/>
                <w:szCs w:val="27"/>
              </w:rPr>
            </w:pPr>
            <w:r>
              <w:rPr>
                <w:sz w:val="27"/>
                <w:szCs w:val="27"/>
              </w:rPr>
              <w:t>Ủy ban nhân dân tỉnh phân cấp cho Ủy ban nhân dân cấp xã định giá cụ thể đối với cơ quan, tổ chức, cơ sở sản xuất, kinh doanh, dịch vụ, khu sản xuất, kinh doanh, dịch vụ tập trung, cụm công nghiệp, hộ gia đình, cá nhân sử dụng dịch vụ thu gom, vận chuyển và xử lý chất thải rắn sinh hoạt</w:t>
            </w:r>
          </w:p>
        </w:tc>
        <w:tc>
          <w:tcPr>
            <w:tcW w:w="2410" w:type="dxa"/>
            <w:tcBorders>
              <w:top w:val="single" w:sz="4" w:space="0" w:color="auto"/>
              <w:left w:val="single" w:sz="4" w:space="0" w:color="auto"/>
              <w:bottom w:val="single" w:sz="4" w:space="0" w:color="auto"/>
              <w:right w:val="single" w:sz="4" w:space="0" w:color="auto"/>
            </w:tcBorders>
            <w:vAlign w:val="center"/>
          </w:tcPr>
          <w:p>
            <w:pPr>
              <w:jc w:val="both"/>
              <w:rPr>
                <w:sz w:val="27"/>
                <w:szCs w:val="27"/>
              </w:rPr>
            </w:pPr>
            <w:r>
              <w:rPr>
                <w:sz w:val="27"/>
                <w:szCs w:val="27"/>
              </w:rPr>
              <w:t>Theo phân công của Ủy ban nhân dân cấp xã</w:t>
            </w:r>
          </w:p>
        </w:tc>
      </w:tr>
      <w:tr>
        <w:trPr>
          <w:trHeight w:val="931"/>
        </w:trPr>
        <w:tc>
          <w:tcPr>
            <w:tcW w:w="709" w:type="dxa"/>
            <w:tcBorders>
              <w:top w:val="single" w:sz="4" w:space="0" w:color="auto"/>
              <w:left w:val="single" w:sz="4" w:space="0" w:color="auto"/>
              <w:bottom w:val="single" w:sz="4" w:space="0" w:color="auto"/>
              <w:right w:val="single" w:sz="4" w:space="0" w:color="auto"/>
            </w:tcBorders>
            <w:vAlign w:val="center"/>
          </w:tcPr>
          <w:p>
            <w:pPr>
              <w:jc w:val="center"/>
              <w:rPr>
                <w:sz w:val="27"/>
                <w:szCs w:val="27"/>
              </w:rPr>
            </w:pPr>
            <w:r>
              <w:rPr>
                <w:sz w:val="27"/>
                <w:szCs w:val="27"/>
              </w:rPr>
              <w:t>26</w:t>
            </w:r>
          </w:p>
        </w:tc>
        <w:tc>
          <w:tcPr>
            <w:tcW w:w="4395" w:type="dxa"/>
            <w:tcBorders>
              <w:top w:val="single" w:sz="4" w:space="0" w:color="auto"/>
              <w:left w:val="single" w:sz="4" w:space="0" w:color="auto"/>
              <w:bottom w:val="single" w:sz="4" w:space="0" w:color="auto"/>
              <w:right w:val="single" w:sz="4" w:space="0" w:color="auto"/>
            </w:tcBorders>
            <w:vAlign w:val="center"/>
          </w:tcPr>
          <w:p>
            <w:pPr>
              <w:rPr>
                <w:sz w:val="27"/>
                <w:szCs w:val="27"/>
              </w:rPr>
            </w:pPr>
            <w:r>
              <w:rPr>
                <w:sz w:val="27"/>
                <w:szCs w:val="27"/>
              </w:rPr>
              <w:t>Dịch vụ sử dụng diện tích bán hàng tại chợ được đầu tư từ nguồn vốn nhà nước</w:t>
            </w:r>
          </w:p>
        </w:tc>
        <w:tc>
          <w:tcPr>
            <w:tcW w:w="2693" w:type="dxa"/>
            <w:tcBorders>
              <w:top w:val="single" w:sz="4" w:space="0" w:color="auto"/>
              <w:left w:val="nil"/>
              <w:bottom w:val="single" w:sz="4" w:space="0" w:color="auto"/>
              <w:right w:val="single" w:sz="4" w:space="0" w:color="auto"/>
            </w:tcBorders>
            <w:shd w:val="clear" w:color="auto" w:fill="auto"/>
            <w:vAlign w:val="center"/>
          </w:tcPr>
          <w:p>
            <w:pPr>
              <w:rPr>
                <w:sz w:val="27"/>
                <w:szCs w:val="27"/>
              </w:rPr>
            </w:pPr>
            <w:r>
              <w:rPr>
                <w:sz w:val="27"/>
                <w:szCs w:val="27"/>
              </w:rPr>
              <w:t>Ủy ban nhân dân tỉnh phân cấp cho Ủy ban nhân dân cấp xã định giá cụ thể</w:t>
            </w:r>
          </w:p>
        </w:tc>
        <w:tc>
          <w:tcPr>
            <w:tcW w:w="2410" w:type="dxa"/>
            <w:tcBorders>
              <w:top w:val="single" w:sz="4" w:space="0" w:color="auto"/>
              <w:left w:val="single" w:sz="4" w:space="0" w:color="auto"/>
              <w:bottom w:val="single" w:sz="4" w:space="0" w:color="auto"/>
              <w:right w:val="single" w:sz="4" w:space="0" w:color="auto"/>
            </w:tcBorders>
            <w:vAlign w:val="center"/>
          </w:tcPr>
          <w:p>
            <w:pPr>
              <w:jc w:val="both"/>
              <w:rPr>
                <w:sz w:val="27"/>
                <w:szCs w:val="27"/>
              </w:rPr>
            </w:pPr>
            <w:r>
              <w:rPr>
                <w:sz w:val="27"/>
                <w:szCs w:val="27"/>
              </w:rPr>
              <w:t>Theo phân công của Ủy ban nhân dân cấp xã</w:t>
            </w:r>
          </w:p>
        </w:tc>
      </w:tr>
    </w:tbl>
    <w:p>
      <w:pPr>
        <w:ind w:firstLine="720"/>
      </w:pPr>
    </w:p>
    <w:p/>
    <w:sectPr>
      <w:headerReference w:type="default" r:id="rId7"/>
      <w:pgSz w:w="11906" w:h="16838" w:code="9"/>
      <w:pgMar w:top="964" w:right="1021" w:bottom="907"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2312740"/>
      <w:docPartObj>
        <w:docPartGallery w:val="Page Numbers (Top of Page)"/>
        <w:docPartUnique/>
      </w:docPartObj>
    </w:sdtPr>
    <w:sdtEndPr>
      <w:rPr>
        <w:noProof/>
      </w:rPr>
    </w:sdtEndPr>
    <w:sdtContent>
      <w:p>
        <w:pPr>
          <w:pStyle w:val="Header"/>
          <w:spacing w:after="80"/>
          <w:jc w:val="center"/>
        </w:pPr>
        <w:r>
          <w:fldChar w:fldCharType="begin"/>
        </w:r>
        <w:r>
          <w:instrText xml:space="preserve"> PAGE   \* MERGEFORMAT </w:instrText>
        </w:r>
        <w:r>
          <w:fldChar w:fldCharType="separate"/>
        </w:r>
        <w:r>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inkAnnotation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FC49823-C6B6-49AE-830A-7073337E2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eastAsia="Times New Roman" w:cs="Times New Roman"/>
      <w:sz w:val="24"/>
      <w:szCs w:val="24"/>
    </w:rPr>
  </w:style>
  <w:style w:type="paragraph" w:styleId="Heading1">
    <w:name w:val="heading 1"/>
    <w:basedOn w:val="Normal"/>
    <w:next w:val="Normal"/>
    <w:link w:val="Heading1Char"/>
    <w:qFormat/>
    <w:pPr>
      <w:keepNext/>
      <w:outlineLvl w:val="0"/>
    </w:pPr>
    <w:rPr>
      <w:rFonts w:ascii=".VnTime" w:hAnsi=".VnTime"/>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VnTime" w:eastAsia="Times New Roman" w:hAnsi=".VnTime" w:cs="Times New Roman"/>
      <w:szCs w:val="20"/>
    </w:rPr>
  </w:style>
  <w:style w:type="paragraph" w:styleId="BodyTextIndent2">
    <w:name w:val="Body Text Indent 2"/>
    <w:basedOn w:val="Normal"/>
    <w:link w:val="BodyTextIndent2Char"/>
    <w:pPr>
      <w:spacing w:after="120" w:line="480" w:lineRule="auto"/>
      <w:ind w:left="360"/>
    </w:pPr>
    <w:rPr>
      <w:rFonts w:ascii=".VnTime" w:hAnsi=".VnTime"/>
      <w:szCs w:val="20"/>
      <w:lang w:val="en-GB"/>
    </w:rPr>
  </w:style>
  <w:style w:type="character" w:customStyle="1" w:styleId="BodyTextIndent2Char">
    <w:name w:val="Body Text Indent 2 Char"/>
    <w:basedOn w:val="DefaultParagraphFont"/>
    <w:link w:val="BodyTextIndent2"/>
    <w:rPr>
      <w:rFonts w:ascii=".VnTime" w:eastAsia="Times New Roman" w:hAnsi=".VnTime" w:cs="Times New Roman"/>
      <w:sz w:val="24"/>
      <w:szCs w:val="20"/>
      <w:lang w:val="en-GB"/>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imes New Roman" w:cs="Times New Roman"/>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69F81-9327-468C-8A4C-862B1157A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6</Pages>
  <Words>1375</Words>
  <Characters>7842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CV Tai Mau 6</cp:lastModifiedBy>
  <cp:revision>18</cp:revision>
  <cp:lastPrinted>2026-04-07T02:56:00Z</cp:lastPrinted>
  <dcterms:created xsi:type="dcterms:W3CDTF">2026-03-30T07:13:00Z</dcterms:created>
  <dcterms:modified xsi:type="dcterms:W3CDTF">2026-04-18T09:26:00Z</dcterms:modified>
</cp:coreProperties>
</file>