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7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63"/>
        <w:gridCol w:w="5748"/>
      </w:tblGrid>
      <w:tr>
        <w:trPr>
          <w:trHeight w:val="660" w:hRule="atLeast"/>
        </w:trPr>
        <w:tc>
          <w:tcPr>
            <w:tcW w:w="2863" w:type="dxa"/>
          </w:tcPr>
          <w:p>
            <w:pPr>
              <w:pStyle w:val="TableParagraph"/>
              <w:ind w:left="306" w:hanging="212"/>
              <w:rPr>
                <w:b/>
                <w:sz w:val="26"/>
              </w:rPr>
            </w:pPr>
            <w:r>
              <w:rPr>
                <w:b/>
                <w:sz w:val="26"/>
              </w:rPr>
              <w:t>ỦY</w:t>
            </w:r>
            <w:r>
              <w:rPr>
                <w:b/>
                <w:spacing w:val="-13"/>
                <w:sz w:val="26"/>
              </w:rPr>
              <w:t> </w:t>
            </w:r>
            <w:r>
              <w:rPr>
                <w:b/>
                <w:sz w:val="26"/>
              </w:rPr>
              <w:t>BAN</w:t>
            </w:r>
            <w:r>
              <w:rPr>
                <w:b/>
                <w:spacing w:val="-15"/>
                <w:sz w:val="26"/>
              </w:rPr>
              <w:t> </w:t>
            </w:r>
            <w:r>
              <w:rPr>
                <w:b/>
                <w:sz w:val="26"/>
              </w:rPr>
              <w:t>NHÂN</w:t>
            </w:r>
            <w:r>
              <w:rPr>
                <w:b/>
                <w:spacing w:val="-13"/>
                <w:sz w:val="26"/>
              </w:rPr>
              <w:t> </w:t>
            </w:r>
            <w:r>
              <w:rPr>
                <w:b/>
                <w:sz w:val="26"/>
              </w:rPr>
              <w:t>DÂN TỈNH LAI CHÂU</w:t>
            </w:r>
          </w:p>
        </w:tc>
        <w:tc>
          <w:tcPr>
            <w:tcW w:w="5748" w:type="dxa"/>
          </w:tcPr>
          <w:p>
            <w:pPr>
              <w:pStyle w:val="TableParagraph"/>
              <w:spacing w:line="287" w:lineRule="exact"/>
              <w:ind w:left="237" w:right="8"/>
              <w:jc w:val="center"/>
              <w:rPr>
                <w:b/>
                <w:sz w:val="26"/>
              </w:rPr>
            </w:pPr>
            <w:r>
              <w:rPr>
                <w:b/>
                <w:sz w:val="26"/>
              </w:rPr>
              <w:t>CỘNG</w:t>
            </w:r>
            <w:r>
              <w:rPr>
                <w:b/>
                <w:spacing w:val="-8"/>
                <w:sz w:val="26"/>
              </w:rPr>
              <w:t> </w:t>
            </w:r>
            <w:r>
              <w:rPr>
                <w:b/>
                <w:sz w:val="26"/>
              </w:rPr>
              <w:t>HÒA</w:t>
            </w:r>
            <w:r>
              <w:rPr>
                <w:b/>
                <w:spacing w:val="-5"/>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ind w:left="237"/>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tc>
      </w:tr>
      <w:tr>
        <w:trPr>
          <w:trHeight w:val="636" w:hRule="atLeast"/>
        </w:trPr>
        <w:tc>
          <w:tcPr>
            <w:tcW w:w="2863" w:type="dxa"/>
          </w:tcPr>
          <w:p>
            <w:pPr>
              <w:pStyle w:val="TableParagraph"/>
              <w:spacing w:line="20" w:lineRule="exact"/>
              <w:ind w:left="852"/>
              <w:rPr>
                <w:sz w:val="2"/>
              </w:rPr>
            </w:pPr>
            <w:r>
              <w:rPr>
                <w:sz w:val="2"/>
              </w:rPr>
              <mc:AlternateContent>
                <mc:Choice Requires="wps">
                  <w:drawing>
                    <wp:inline distT="0" distB="0" distL="0" distR="0">
                      <wp:extent cx="551815" cy="6350"/>
                      <wp:effectExtent l="9525" t="0" r="634" b="3175"/>
                      <wp:docPr id="1" name="Group 1"/>
                      <wp:cNvGraphicFramePr>
                        <a:graphicFrameLocks/>
                      </wp:cNvGraphicFramePr>
                      <a:graphic>
                        <a:graphicData uri="http://schemas.microsoft.com/office/word/2010/wordprocessingGroup">
                          <wpg:wgp>
                            <wpg:cNvPr id="1" name="Group 1"/>
                            <wpg:cNvGrpSpPr/>
                            <wpg:grpSpPr>
                              <a:xfrm>
                                <a:off x="0" y="0"/>
                                <a:ext cx="551815" cy="6350"/>
                                <a:chExt cx="551815" cy="6350"/>
                              </a:xfrm>
                            </wpg:grpSpPr>
                            <wps:wsp>
                              <wps:cNvPr id="2" name="Graphic 2"/>
                              <wps:cNvSpPr/>
                              <wps:spPr>
                                <a:xfrm>
                                  <a:off x="0" y="3175"/>
                                  <a:ext cx="551815" cy="1270"/>
                                </a:xfrm>
                                <a:custGeom>
                                  <a:avLst/>
                                  <a:gdLst/>
                                  <a:ahLst/>
                                  <a:cxnLst/>
                                  <a:rect l="l" t="t" r="r" b="b"/>
                                  <a:pathLst>
                                    <a:path w="551815" h="0">
                                      <a:moveTo>
                                        <a:pt x="0" y="0"/>
                                      </a:moveTo>
                                      <a:lnTo>
                                        <a:pt x="551814"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45pt;height:.5pt;mso-position-horizontal-relative:char;mso-position-vertical-relative:line" id="docshapegroup1" coordorigin="0,0" coordsize="869,10">
                      <v:line style="position:absolute" from="0,5" to="869,5" stroked="true" strokeweight=".5pt" strokecolor="#000000">
                        <v:stroke dashstyle="solid"/>
                      </v:line>
                    </v:group>
                  </w:pict>
                </mc:Fallback>
              </mc:AlternateContent>
            </w:r>
            <w:r>
              <w:rPr>
                <w:sz w:val="2"/>
              </w:rPr>
            </w:r>
          </w:p>
          <w:p>
            <w:pPr>
              <w:pStyle w:val="TableParagraph"/>
              <w:spacing w:before="21"/>
              <w:rPr>
                <w:sz w:val="26"/>
              </w:rPr>
            </w:pPr>
          </w:p>
          <w:p>
            <w:pPr>
              <w:pStyle w:val="TableParagraph"/>
              <w:ind w:left="50"/>
              <w:rPr>
                <w:sz w:val="26"/>
              </w:rPr>
            </w:pPr>
            <w:r>
              <w:rPr>
                <w:spacing w:val="-2"/>
                <w:sz w:val="26"/>
              </w:rPr>
              <w:t>Số:</w:t>
            </w:r>
            <w:r>
              <w:rPr>
                <w:spacing w:val="9"/>
                <w:sz w:val="26"/>
              </w:rPr>
              <w:t> </w:t>
            </w:r>
            <w:r>
              <w:rPr>
                <w:spacing w:val="-2"/>
                <w:sz w:val="26"/>
              </w:rPr>
              <w:t>49/2026/QĐ-</w:t>
            </w:r>
            <w:r>
              <w:rPr>
                <w:spacing w:val="-4"/>
                <w:sz w:val="26"/>
              </w:rPr>
              <w:t>UBND</w:t>
            </w:r>
          </w:p>
        </w:tc>
        <w:tc>
          <w:tcPr>
            <w:tcW w:w="5748" w:type="dxa"/>
          </w:tcPr>
          <w:p>
            <w:pPr>
              <w:pStyle w:val="TableParagraph"/>
              <w:spacing w:line="20" w:lineRule="exact"/>
              <w:ind w:left="1314"/>
              <w:rPr>
                <w:sz w:val="2"/>
              </w:rPr>
            </w:pPr>
            <w:r>
              <w:rPr>
                <w:sz w:val="2"/>
              </w:rPr>
              <mc:AlternateContent>
                <mc:Choice Requires="wps">
                  <w:drawing>
                    <wp:inline distT="0" distB="0" distL="0" distR="0">
                      <wp:extent cx="2176145" cy="6350"/>
                      <wp:effectExtent l="9525" t="0" r="0" b="3175"/>
                      <wp:docPr id="3" name="Group 3"/>
                      <wp:cNvGraphicFramePr>
                        <a:graphicFrameLocks/>
                      </wp:cNvGraphicFramePr>
                      <a:graphic>
                        <a:graphicData uri="http://schemas.microsoft.com/office/word/2010/wordprocessingGroup">
                          <wpg:wgp>
                            <wpg:cNvPr id="3" name="Group 3"/>
                            <wpg:cNvGrpSpPr/>
                            <wpg:grpSpPr>
                              <a:xfrm>
                                <a:off x="0" y="0"/>
                                <a:ext cx="2176145" cy="6350"/>
                                <a:chExt cx="2176145" cy="6350"/>
                              </a:xfrm>
                            </wpg:grpSpPr>
                            <wps:wsp>
                              <wps:cNvPr id="4" name="Graphic 4"/>
                              <wps:cNvSpPr/>
                              <wps:spPr>
                                <a:xfrm>
                                  <a:off x="0" y="3175"/>
                                  <a:ext cx="2176145" cy="1270"/>
                                </a:xfrm>
                                <a:custGeom>
                                  <a:avLst/>
                                  <a:gdLst/>
                                  <a:ahLst/>
                                  <a:cxnLst/>
                                  <a:rect l="l" t="t" r="r" b="b"/>
                                  <a:pathLst>
                                    <a:path w="2176145" h="0">
                                      <a:moveTo>
                                        <a:pt x="0" y="0"/>
                                      </a:moveTo>
                                      <a:lnTo>
                                        <a:pt x="21761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1.35pt;height:.5pt;mso-position-horizontal-relative:char;mso-position-vertical-relative:line" id="docshapegroup2" coordorigin="0,0" coordsize="3427,10">
                      <v:line style="position:absolute" from="0,5" to="3427,5" stroked="true" strokeweight=".5pt" strokecolor="#000000">
                        <v:stroke dashstyle="solid"/>
                      </v:line>
                    </v:group>
                  </w:pict>
                </mc:Fallback>
              </mc:AlternateContent>
            </w:r>
            <w:r>
              <w:rPr>
                <w:sz w:val="2"/>
              </w:rPr>
            </w:r>
          </w:p>
          <w:p>
            <w:pPr>
              <w:pStyle w:val="TableParagraph"/>
              <w:spacing w:line="302" w:lineRule="exact" w:before="294"/>
              <w:ind w:left="237" w:right="1"/>
              <w:jc w:val="center"/>
              <w:rPr>
                <w:i/>
                <w:sz w:val="28"/>
              </w:rPr>
            </w:pPr>
            <w:r>
              <w:rPr>
                <w:i/>
                <w:sz w:val="28"/>
              </w:rPr>
              <w:t>Lai</w:t>
            </w:r>
            <w:r>
              <w:rPr>
                <w:i/>
                <w:spacing w:val="-1"/>
                <w:sz w:val="28"/>
              </w:rPr>
              <w:t> </w:t>
            </w:r>
            <w:r>
              <w:rPr>
                <w:i/>
                <w:sz w:val="28"/>
              </w:rPr>
              <w:t>Châu,</w:t>
            </w:r>
            <w:r>
              <w:rPr>
                <w:i/>
                <w:spacing w:val="-6"/>
                <w:sz w:val="28"/>
              </w:rPr>
              <w:t> </w:t>
            </w:r>
            <w:r>
              <w:rPr>
                <w:i/>
                <w:sz w:val="28"/>
              </w:rPr>
              <w:t>ngày</w:t>
            </w:r>
            <w:r>
              <w:rPr>
                <w:i/>
                <w:spacing w:val="-3"/>
                <w:sz w:val="28"/>
              </w:rPr>
              <w:t> </w:t>
            </w:r>
            <w:r>
              <w:rPr>
                <w:i/>
                <w:sz w:val="28"/>
              </w:rPr>
              <w:t>20</w:t>
            </w:r>
            <w:r>
              <w:rPr>
                <w:i/>
                <w:spacing w:val="-3"/>
                <w:sz w:val="28"/>
              </w:rPr>
              <w:t> </w:t>
            </w:r>
            <w:r>
              <w:rPr>
                <w:i/>
                <w:sz w:val="28"/>
              </w:rPr>
              <w:t>tháng 6</w:t>
            </w:r>
            <w:r>
              <w:rPr>
                <w:i/>
                <w:spacing w:val="-4"/>
                <w:sz w:val="28"/>
              </w:rPr>
              <w:t> </w:t>
            </w:r>
            <w:r>
              <w:rPr>
                <w:i/>
                <w:sz w:val="28"/>
              </w:rPr>
              <w:t>năm</w:t>
            </w:r>
            <w:r>
              <w:rPr>
                <w:i/>
                <w:spacing w:val="-2"/>
                <w:sz w:val="28"/>
              </w:rPr>
              <w:t> </w:t>
            </w:r>
            <w:r>
              <w:rPr>
                <w:i/>
                <w:spacing w:val="-4"/>
                <w:sz w:val="28"/>
              </w:rPr>
              <w:t>2026</w:t>
            </w:r>
          </w:p>
        </w:tc>
      </w:tr>
    </w:tbl>
    <w:p>
      <w:pPr>
        <w:pStyle w:val="BodyText"/>
        <w:spacing w:before="72"/>
        <w:ind w:left="0" w:firstLine="0"/>
        <w:jc w:val="left"/>
      </w:pPr>
    </w:p>
    <w:p>
      <w:pPr>
        <w:pStyle w:val="Heading1"/>
        <w:spacing w:line="322" w:lineRule="exact"/>
        <w:ind w:left="428"/>
        <w:jc w:val="center"/>
      </w:pPr>
      <w:r>
        <w:rPr/>
        <w:t>QUYẾT</w:t>
      </w:r>
      <w:r>
        <w:rPr>
          <w:spacing w:val="-7"/>
        </w:rPr>
        <w:t> </w:t>
      </w:r>
      <w:r>
        <w:rPr>
          <w:spacing w:val="-4"/>
        </w:rPr>
        <w:t>ĐỊNH</w:t>
      </w:r>
    </w:p>
    <w:p>
      <w:pPr>
        <w:spacing w:before="0"/>
        <w:ind w:left="2550" w:right="945" w:hanging="817"/>
        <w:jc w:val="left"/>
        <w:rPr>
          <w:b/>
          <w:sz w:val="28"/>
        </w:rPr>
      </w:pPr>
      <w:r>
        <w:rPr>
          <w:b/>
          <w:sz w:val="28"/>
        </w:rPr>
        <w:t>Quy</w:t>
      </w:r>
      <w:r>
        <w:rPr>
          <w:b/>
          <w:spacing w:val="-2"/>
          <w:sz w:val="28"/>
        </w:rPr>
        <w:t> </w:t>
      </w:r>
      <w:r>
        <w:rPr>
          <w:b/>
          <w:sz w:val="28"/>
        </w:rPr>
        <w:t>định</w:t>
      </w:r>
      <w:r>
        <w:rPr>
          <w:b/>
          <w:spacing w:val="-3"/>
          <w:sz w:val="28"/>
        </w:rPr>
        <w:t> </w:t>
      </w:r>
      <w:r>
        <w:rPr>
          <w:b/>
          <w:sz w:val="28"/>
        </w:rPr>
        <w:t>khung</w:t>
      </w:r>
      <w:r>
        <w:rPr>
          <w:b/>
          <w:spacing w:val="-3"/>
          <w:sz w:val="28"/>
        </w:rPr>
        <w:t> </w:t>
      </w:r>
      <w:r>
        <w:rPr>
          <w:b/>
          <w:sz w:val="28"/>
        </w:rPr>
        <w:t>giá</w:t>
      </w:r>
      <w:r>
        <w:rPr>
          <w:b/>
          <w:spacing w:val="-4"/>
          <w:sz w:val="28"/>
        </w:rPr>
        <w:t> </w:t>
      </w:r>
      <w:r>
        <w:rPr>
          <w:b/>
          <w:sz w:val="28"/>
        </w:rPr>
        <w:t>dịch</w:t>
      </w:r>
      <w:r>
        <w:rPr>
          <w:b/>
          <w:spacing w:val="-3"/>
          <w:sz w:val="28"/>
        </w:rPr>
        <w:t> </w:t>
      </w:r>
      <w:r>
        <w:rPr>
          <w:b/>
          <w:sz w:val="28"/>
        </w:rPr>
        <w:t>vụ</w:t>
      </w:r>
      <w:r>
        <w:rPr>
          <w:b/>
          <w:spacing w:val="-3"/>
          <w:sz w:val="28"/>
        </w:rPr>
        <w:t> </w:t>
      </w:r>
      <w:r>
        <w:rPr>
          <w:b/>
          <w:sz w:val="28"/>
        </w:rPr>
        <w:t>quản</w:t>
      </w:r>
      <w:r>
        <w:rPr>
          <w:b/>
          <w:spacing w:val="-6"/>
          <w:sz w:val="28"/>
        </w:rPr>
        <w:t> </w:t>
      </w:r>
      <w:r>
        <w:rPr>
          <w:b/>
          <w:sz w:val="28"/>
        </w:rPr>
        <w:t>lý</w:t>
      </w:r>
      <w:r>
        <w:rPr>
          <w:b/>
          <w:spacing w:val="-6"/>
          <w:sz w:val="28"/>
        </w:rPr>
        <w:t> </w:t>
      </w:r>
      <w:r>
        <w:rPr>
          <w:b/>
          <w:sz w:val="28"/>
        </w:rPr>
        <w:t>vận</w:t>
      </w:r>
      <w:r>
        <w:rPr>
          <w:b/>
          <w:spacing w:val="-6"/>
          <w:sz w:val="28"/>
        </w:rPr>
        <w:t> </w:t>
      </w:r>
      <w:r>
        <w:rPr>
          <w:b/>
          <w:sz w:val="28"/>
        </w:rPr>
        <w:t>hành</w:t>
      </w:r>
      <w:r>
        <w:rPr>
          <w:b/>
          <w:spacing w:val="-3"/>
          <w:sz w:val="28"/>
        </w:rPr>
        <w:t> </w:t>
      </w:r>
      <w:r>
        <w:rPr>
          <w:b/>
          <w:sz w:val="28"/>
        </w:rPr>
        <w:t>nhà chung cư trên địa bàn tỉnh Lai Châu</w:t>
      </w:r>
    </w:p>
    <w:p>
      <w:pPr>
        <w:pStyle w:val="BodyText"/>
        <w:spacing w:before="2"/>
        <w:ind w:left="0" w:firstLine="0"/>
        <w:jc w:val="left"/>
        <w:rPr>
          <w:b/>
          <w:sz w:val="7"/>
        </w:rPr>
      </w:pPr>
      <w:r>
        <w:rPr>
          <w:b/>
          <w:sz w:val="7"/>
        </w:rPr>
        <mc:AlternateContent>
          <mc:Choice Requires="wps">
            <w:drawing>
              <wp:anchor distT="0" distB="0" distL="0" distR="0" allowOverlap="1" layoutInCell="1" locked="0" behindDoc="1" simplePos="0" relativeHeight="487588864">
                <wp:simplePos x="0" y="0"/>
                <wp:positionH relativeFrom="page">
                  <wp:posOffset>3371215</wp:posOffset>
                </wp:positionH>
                <wp:positionV relativeFrom="paragraph">
                  <wp:posOffset>67625</wp:posOffset>
                </wp:positionV>
                <wp:extent cx="123317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233170" cy="1270"/>
                        </a:xfrm>
                        <a:custGeom>
                          <a:avLst/>
                          <a:gdLst/>
                          <a:ahLst/>
                          <a:cxnLst/>
                          <a:rect l="l" t="t" r="r" b="b"/>
                          <a:pathLst>
                            <a:path w="1233170" h="0">
                              <a:moveTo>
                                <a:pt x="0" y="0"/>
                              </a:moveTo>
                              <a:lnTo>
                                <a:pt x="12331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5.450012pt;margin-top:5.324807pt;width:97.1pt;height:.1pt;mso-position-horizontal-relative:page;mso-position-vertical-relative:paragraph;z-index:-15727616;mso-wrap-distance-left:0;mso-wrap-distance-right:0" id="docshape3" coordorigin="5309,106" coordsize="1942,0" path="m5309,106l7251,106e" filled="false" stroked="true" strokeweight=".75pt" strokecolor="#000000">
                <v:path arrowok="t"/>
                <v:stroke dashstyle="solid"/>
                <w10:wrap type="topAndBottom"/>
              </v:shape>
            </w:pict>
          </mc:Fallback>
        </mc:AlternateContent>
      </w:r>
    </w:p>
    <w:p>
      <w:pPr>
        <w:pStyle w:val="BodyText"/>
        <w:spacing w:before="2"/>
        <w:ind w:left="0" w:firstLine="0"/>
        <w:jc w:val="left"/>
        <w:rPr>
          <w:b/>
        </w:rPr>
      </w:pPr>
    </w:p>
    <w:p>
      <w:pPr>
        <w:spacing w:before="0"/>
        <w:ind w:left="851"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2"/>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2"/>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line="283" w:lineRule="auto" w:before="177"/>
        <w:ind w:left="143" w:right="135" w:firstLine="707"/>
        <w:jc w:val="both"/>
        <w:rPr>
          <w:i/>
          <w:sz w:val="28"/>
        </w:rPr>
      </w:pPr>
      <w:r>
        <w:rPr>
          <w:i/>
          <w:sz w:val="28"/>
        </w:rPr>
        <w:t>Căn cứ Luật Ban hành văn bản quy phạm pháp luật số 64/2025/QH15, được sửa đổi, bổ sung bởi Luật số 87/2025/QH15;</w:t>
      </w:r>
    </w:p>
    <w:p>
      <w:pPr>
        <w:spacing w:line="283" w:lineRule="auto" w:before="120"/>
        <w:ind w:left="143" w:right="134" w:firstLine="707"/>
        <w:jc w:val="both"/>
        <w:rPr>
          <w:i/>
          <w:sz w:val="28"/>
        </w:rPr>
      </w:pPr>
      <w:r>
        <w:rPr>
          <w:i/>
          <w:sz w:val="28"/>
        </w:rPr>
        <w:t>Căn cứ Luật Nhà ở số 27/2023/QH15; Luật số 43/2024/QH15 sửa đổi, bổ </w:t>
      </w:r>
      <w:r>
        <w:rPr>
          <w:i/>
          <w:spacing w:val="-4"/>
          <w:sz w:val="28"/>
        </w:rPr>
        <w:t>sung</w:t>
      </w:r>
      <w:r>
        <w:rPr>
          <w:i/>
          <w:spacing w:val="-14"/>
          <w:sz w:val="28"/>
        </w:rPr>
        <w:t> </w:t>
      </w:r>
      <w:r>
        <w:rPr>
          <w:i/>
          <w:spacing w:val="-4"/>
          <w:sz w:val="28"/>
        </w:rPr>
        <w:t>một</w:t>
      </w:r>
      <w:r>
        <w:rPr>
          <w:i/>
          <w:spacing w:val="-13"/>
          <w:sz w:val="28"/>
        </w:rPr>
        <w:t> </w:t>
      </w:r>
      <w:r>
        <w:rPr>
          <w:i/>
          <w:spacing w:val="-4"/>
          <w:sz w:val="28"/>
        </w:rPr>
        <w:t>số</w:t>
      </w:r>
      <w:r>
        <w:rPr>
          <w:i/>
          <w:spacing w:val="-14"/>
          <w:sz w:val="28"/>
        </w:rPr>
        <w:t> </w:t>
      </w:r>
      <w:r>
        <w:rPr>
          <w:i/>
          <w:spacing w:val="-4"/>
          <w:sz w:val="28"/>
        </w:rPr>
        <w:t>điều</w:t>
      </w:r>
      <w:r>
        <w:rPr>
          <w:i/>
          <w:spacing w:val="-13"/>
          <w:sz w:val="28"/>
        </w:rPr>
        <w:t> </w:t>
      </w:r>
      <w:r>
        <w:rPr>
          <w:i/>
          <w:spacing w:val="-4"/>
          <w:sz w:val="28"/>
        </w:rPr>
        <w:t>của</w:t>
      </w:r>
      <w:r>
        <w:rPr>
          <w:i/>
          <w:spacing w:val="-14"/>
          <w:sz w:val="28"/>
        </w:rPr>
        <w:t> </w:t>
      </w:r>
      <w:r>
        <w:rPr>
          <w:i/>
          <w:spacing w:val="-4"/>
          <w:sz w:val="28"/>
        </w:rPr>
        <w:t>Luật</w:t>
      </w:r>
      <w:r>
        <w:rPr>
          <w:i/>
          <w:spacing w:val="-13"/>
          <w:sz w:val="28"/>
        </w:rPr>
        <w:t> </w:t>
      </w:r>
      <w:r>
        <w:rPr>
          <w:i/>
          <w:spacing w:val="-4"/>
          <w:sz w:val="28"/>
        </w:rPr>
        <w:t>Đất</w:t>
      </w:r>
      <w:r>
        <w:rPr>
          <w:i/>
          <w:spacing w:val="-14"/>
          <w:sz w:val="28"/>
        </w:rPr>
        <w:t> </w:t>
      </w:r>
      <w:r>
        <w:rPr>
          <w:i/>
          <w:spacing w:val="-4"/>
          <w:sz w:val="28"/>
        </w:rPr>
        <w:t>đai</w:t>
      </w:r>
      <w:r>
        <w:rPr>
          <w:i/>
          <w:spacing w:val="-13"/>
          <w:sz w:val="28"/>
        </w:rPr>
        <w:t> </w:t>
      </w:r>
      <w:r>
        <w:rPr>
          <w:i/>
          <w:spacing w:val="-4"/>
          <w:sz w:val="28"/>
        </w:rPr>
        <w:t>số</w:t>
      </w:r>
      <w:r>
        <w:rPr>
          <w:i/>
          <w:spacing w:val="-14"/>
          <w:sz w:val="28"/>
        </w:rPr>
        <w:t> </w:t>
      </w:r>
      <w:r>
        <w:rPr>
          <w:i/>
          <w:spacing w:val="-4"/>
          <w:sz w:val="28"/>
        </w:rPr>
        <w:t>31/2024/QH15,</w:t>
      </w:r>
      <w:r>
        <w:rPr>
          <w:i/>
          <w:spacing w:val="-13"/>
          <w:sz w:val="28"/>
        </w:rPr>
        <w:t> </w:t>
      </w:r>
      <w:r>
        <w:rPr>
          <w:i/>
          <w:spacing w:val="-4"/>
          <w:sz w:val="28"/>
        </w:rPr>
        <w:t>Luật</w:t>
      </w:r>
      <w:r>
        <w:rPr>
          <w:i/>
          <w:spacing w:val="-14"/>
          <w:sz w:val="28"/>
        </w:rPr>
        <w:t> </w:t>
      </w:r>
      <w:r>
        <w:rPr>
          <w:i/>
          <w:spacing w:val="-4"/>
          <w:sz w:val="28"/>
        </w:rPr>
        <w:t>Nhà</w:t>
      </w:r>
      <w:r>
        <w:rPr>
          <w:i/>
          <w:spacing w:val="-10"/>
          <w:sz w:val="28"/>
        </w:rPr>
        <w:t> </w:t>
      </w:r>
      <w:r>
        <w:rPr>
          <w:i/>
          <w:spacing w:val="-4"/>
          <w:sz w:val="28"/>
        </w:rPr>
        <w:t>ở</w:t>
      </w:r>
      <w:r>
        <w:rPr>
          <w:i/>
          <w:spacing w:val="-14"/>
          <w:sz w:val="28"/>
        </w:rPr>
        <w:t> </w:t>
      </w:r>
      <w:r>
        <w:rPr>
          <w:i/>
          <w:spacing w:val="-4"/>
          <w:sz w:val="28"/>
        </w:rPr>
        <w:t>số</w:t>
      </w:r>
      <w:r>
        <w:rPr>
          <w:i/>
          <w:spacing w:val="-13"/>
          <w:sz w:val="28"/>
        </w:rPr>
        <w:t> </w:t>
      </w:r>
      <w:r>
        <w:rPr>
          <w:i/>
          <w:spacing w:val="-4"/>
          <w:sz w:val="28"/>
        </w:rPr>
        <w:t>27/2023/QH15, </w:t>
      </w:r>
      <w:r>
        <w:rPr>
          <w:i/>
          <w:sz w:val="28"/>
        </w:rPr>
        <w:t>Luật</w:t>
      </w:r>
      <w:r>
        <w:rPr>
          <w:i/>
          <w:spacing w:val="-7"/>
          <w:sz w:val="28"/>
        </w:rPr>
        <w:t> </w:t>
      </w:r>
      <w:r>
        <w:rPr>
          <w:i/>
          <w:sz w:val="28"/>
        </w:rPr>
        <w:t>Kinh</w:t>
      </w:r>
      <w:r>
        <w:rPr>
          <w:i/>
          <w:spacing w:val="-7"/>
          <w:sz w:val="28"/>
        </w:rPr>
        <w:t> </w:t>
      </w:r>
      <w:r>
        <w:rPr>
          <w:i/>
          <w:sz w:val="28"/>
        </w:rPr>
        <w:t>doanh</w:t>
      </w:r>
      <w:r>
        <w:rPr>
          <w:i/>
          <w:spacing w:val="-7"/>
          <w:sz w:val="28"/>
        </w:rPr>
        <w:t> </w:t>
      </w:r>
      <w:r>
        <w:rPr>
          <w:i/>
          <w:sz w:val="28"/>
        </w:rPr>
        <w:t>bất</w:t>
      </w:r>
      <w:r>
        <w:rPr>
          <w:i/>
          <w:spacing w:val="-6"/>
          <w:sz w:val="28"/>
        </w:rPr>
        <w:t> </w:t>
      </w:r>
      <w:r>
        <w:rPr>
          <w:i/>
          <w:sz w:val="28"/>
        </w:rPr>
        <w:t>động</w:t>
      </w:r>
      <w:r>
        <w:rPr>
          <w:i/>
          <w:spacing w:val="-7"/>
          <w:sz w:val="28"/>
        </w:rPr>
        <w:t> </w:t>
      </w:r>
      <w:r>
        <w:rPr>
          <w:i/>
          <w:sz w:val="28"/>
        </w:rPr>
        <w:t>sản</w:t>
      </w:r>
      <w:r>
        <w:rPr>
          <w:i/>
          <w:spacing w:val="-7"/>
          <w:sz w:val="28"/>
        </w:rPr>
        <w:t> </w:t>
      </w:r>
      <w:r>
        <w:rPr>
          <w:i/>
          <w:sz w:val="28"/>
        </w:rPr>
        <w:t>số</w:t>
      </w:r>
      <w:r>
        <w:rPr>
          <w:i/>
          <w:spacing w:val="-7"/>
          <w:sz w:val="28"/>
        </w:rPr>
        <w:t> </w:t>
      </w:r>
      <w:r>
        <w:rPr>
          <w:i/>
          <w:sz w:val="28"/>
        </w:rPr>
        <w:t>29/2023/QH15</w:t>
      </w:r>
      <w:r>
        <w:rPr>
          <w:i/>
          <w:spacing w:val="-7"/>
          <w:sz w:val="28"/>
        </w:rPr>
        <w:t> </w:t>
      </w:r>
      <w:r>
        <w:rPr>
          <w:i/>
          <w:sz w:val="28"/>
        </w:rPr>
        <w:t>và</w:t>
      </w:r>
      <w:r>
        <w:rPr>
          <w:i/>
          <w:spacing w:val="-5"/>
          <w:sz w:val="28"/>
        </w:rPr>
        <w:t> </w:t>
      </w:r>
      <w:r>
        <w:rPr>
          <w:i/>
          <w:sz w:val="28"/>
        </w:rPr>
        <w:t>Luật</w:t>
      </w:r>
      <w:r>
        <w:rPr>
          <w:i/>
          <w:spacing w:val="-7"/>
          <w:sz w:val="28"/>
        </w:rPr>
        <w:t> </w:t>
      </w:r>
      <w:r>
        <w:rPr>
          <w:i/>
          <w:sz w:val="28"/>
        </w:rPr>
        <w:t>Các</w:t>
      </w:r>
      <w:r>
        <w:rPr>
          <w:i/>
          <w:spacing w:val="-6"/>
          <w:sz w:val="28"/>
        </w:rPr>
        <w:t> </w:t>
      </w:r>
      <w:r>
        <w:rPr>
          <w:i/>
          <w:sz w:val="28"/>
        </w:rPr>
        <w:t>tổ</w:t>
      </w:r>
      <w:r>
        <w:rPr>
          <w:i/>
          <w:spacing w:val="-7"/>
          <w:sz w:val="28"/>
        </w:rPr>
        <w:t> </w:t>
      </w:r>
      <w:r>
        <w:rPr>
          <w:i/>
          <w:sz w:val="28"/>
        </w:rPr>
        <w:t>chức</w:t>
      </w:r>
      <w:r>
        <w:rPr>
          <w:i/>
          <w:spacing w:val="-8"/>
          <w:sz w:val="28"/>
        </w:rPr>
        <w:t> </w:t>
      </w:r>
      <w:r>
        <w:rPr>
          <w:i/>
          <w:sz w:val="28"/>
        </w:rPr>
        <w:t>tín</w:t>
      </w:r>
      <w:r>
        <w:rPr>
          <w:i/>
          <w:spacing w:val="-6"/>
          <w:sz w:val="28"/>
        </w:rPr>
        <w:t> </w:t>
      </w:r>
      <w:r>
        <w:rPr>
          <w:i/>
          <w:sz w:val="28"/>
        </w:rPr>
        <w:t>dụng</w:t>
      </w:r>
      <w:r>
        <w:rPr>
          <w:i/>
          <w:spacing w:val="-7"/>
          <w:sz w:val="28"/>
        </w:rPr>
        <w:t> </w:t>
      </w:r>
      <w:r>
        <w:rPr>
          <w:i/>
          <w:sz w:val="28"/>
        </w:rPr>
        <w:t>số </w:t>
      </w:r>
      <w:r>
        <w:rPr>
          <w:i/>
          <w:spacing w:val="-2"/>
          <w:sz w:val="28"/>
        </w:rPr>
        <w:t>32/2024/QH15;</w:t>
      </w:r>
    </w:p>
    <w:p>
      <w:pPr>
        <w:spacing w:line="283" w:lineRule="auto" w:before="119"/>
        <w:ind w:left="143" w:right="139" w:firstLine="707"/>
        <w:jc w:val="both"/>
        <w:rPr>
          <w:i/>
          <w:sz w:val="28"/>
        </w:rPr>
      </w:pPr>
      <w:r>
        <w:rPr>
          <w:i/>
          <w:sz w:val="28"/>
        </w:rPr>
        <w:t>Căn cứ Nghị định số 78/2025/NĐ-CP ngày 01 tháng 4 năm 2025 của Chính phủ quy định chi tiết một số điều và biện pháp để tổ chức, hướng dẫn thi hành Luật Ban hành văn bản quy phạm pháp luật;</w:t>
      </w:r>
    </w:p>
    <w:p>
      <w:pPr>
        <w:spacing w:line="283" w:lineRule="auto" w:before="120"/>
        <w:ind w:left="143" w:right="134" w:firstLine="707"/>
        <w:jc w:val="both"/>
        <w:rPr>
          <w:i/>
          <w:sz w:val="28"/>
        </w:rPr>
      </w:pPr>
      <w:r>
        <w:rPr>
          <w:i/>
          <w:sz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w:t>
      </w:r>
      <w:r>
        <w:rPr>
          <w:i/>
          <w:spacing w:val="-1"/>
          <w:sz w:val="28"/>
        </w:rPr>
        <w:t> </w:t>
      </w:r>
      <w:r>
        <w:rPr>
          <w:i/>
          <w:sz w:val="28"/>
        </w:rPr>
        <w:t>ngày 01 tháng 4 năm</w:t>
      </w:r>
      <w:r>
        <w:rPr>
          <w:i/>
          <w:spacing w:val="-1"/>
          <w:sz w:val="28"/>
        </w:rPr>
        <w:t> </w:t>
      </w:r>
      <w:r>
        <w:rPr>
          <w:i/>
          <w:sz w:val="28"/>
        </w:rPr>
        <w:t>2025 của Chính phủ về kiểm tra, rà soát, hệ thống hóa và xử lý văn bản quy phạm pháp luật;</w:t>
      </w:r>
    </w:p>
    <w:p>
      <w:pPr>
        <w:spacing w:line="283" w:lineRule="auto" w:before="119"/>
        <w:ind w:left="143" w:right="136" w:firstLine="719"/>
        <w:jc w:val="both"/>
        <w:rPr>
          <w:i/>
          <w:sz w:val="28"/>
        </w:rPr>
      </w:pPr>
      <w:r>
        <w:rPr>
          <w:i/>
          <w:sz w:val="28"/>
        </w:rPr>
        <w:t>Căn cứ Nghị định số 95/2024/NĐ-CP ngày 24 tháng 7 năm 2024 của Chính phủ quy định chi tiết một số điều của Luật Nhà ở;</w:t>
      </w:r>
    </w:p>
    <w:p>
      <w:pPr>
        <w:spacing w:line="283" w:lineRule="auto" w:before="118"/>
        <w:ind w:left="143" w:right="134" w:firstLine="719"/>
        <w:jc w:val="both"/>
        <w:rPr>
          <w:i/>
          <w:sz w:val="28"/>
        </w:rPr>
      </w:pPr>
      <w:r>
        <w:rPr>
          <w:i/>
          <w:sz w:val="28"/>
        </w:rPr>
        <w:t>Căn cứ Nghị định số 54/2026/NĐ-CP ngày 09 tháng 02 năm 2026 của Chính phủ sửa đổi, bổ sung một số điều của các Nghị định trong lĩnh vực</w:t>
      </w:r>
      <w:r>
        <w:rPr>
          <w:i/>
          <w:spacing w:val="-1"/>
          <w:sz w:val="28"/>
        </w:rPr>
        <w:t> </w:t>
      </w:r>
      <w:r>
        <w:rPr>
          <w:i/>
          <w:sz w:val="28"/>
        </w:rPr>
        <w:t>nhà ở, kinh doanh bất động sản;</w:t>
      </w:r>
    </w:p>
    <w:p>
      <w:pPr>
        <w:spacing w:line="283" w:lineRule="auto" w:before="121"/>
        <w:ind w:left="143" w:right="142" w:firstLine="719"/>
        <w:jc w:val="both"/>
        <w:rPr>
          <w:i/>
          <w:sz w:val="28"/>
        </w:rPr>
      </w:pPr>
      <w:r>
        <w:rPr>
          <w:i/>
          <w:sz w:val="28"/>
        </w:rPr>
        <w:t>Căn cứ Thông tư số 05/2024/TT-BXD ngày 31 tháng 7 năm 2024 của Bộ trưởng Bộ Xây dựng quy định chi tiết một số điều của Luật Nhà ở;</w:t>
      </w:r>
    </w:p>
    <w:p>
      <w:pPr>
        <w:spacing w:line="283" w:lineRule="auto" w:before="119"/>
        <w:ind w:left="143" w:right="136" w:firstLine="707"/>
        <w:jc w:val="both"/>
        <w:rPr>
          <w:i/>
          <w:sz w:val="28"/>
        </w:rPr>
      </w:pPr>
      <w:r>
        <w:rPr>
          <w:i/>
          <w:sz w:val="28"/>
        </w:rPr>
        <w:t>Căn cứ Thông tư số 08/2026/TT-BXD ngày</w:t>
      </w:r>
      <w:r>
        <w:rPr>
          <w:i/>
          <w:spacing w:val="-1"/>
          <w:sz w:val="28"/>
        </w:rPr>
        <w:t> </w:t>
      </w:r>
      <w:r>
        <w:rPr>
          <w:i/>
          <w:sz w:val="28"/>
        </w:rPr>
        <w:t>15 tháng 02 năm 2026 của Bộ trưởng Bộ Xây dựng sửa đổi, bổ sung một số điều của các Thông tư trong lĩnh vực nhà ở;</w:t>
      </w:r>
    </w:p>
    <w:p>
      <w:pPr>
        <w:spacing w:before="120"/>
        <w:ind w:left="851" w:right="0" w:firstLine="0"/>
        <w:jc w:val="both"/>
        <w:rPr>
          <w:i/>
          <w:sz w:val="28"/>
        </w:rPr>
      </w:pPr>
      <w:r>
        <w:rPr>
          <w:i/>
          <w:sz w:val="28"/>
        </w:rPr>
        <w:t>Theo</w:t>
      </w:r>
      <w:r>
        <w:rPr>
          <w:i/>
          <w:spacing w:val="-1"/>
          <w:sz w:val="28"/>
        </w:rPr>
        <w:t> </w:t>
      </w:r>
      <w:r>
        <w:rPr>
          <w:i/>
          <w:sz w:val="28"/>
        </w:rPr>
        <w:t>đề</w:t>
      </w:r>
      <w:r>
        <w:rPr>
          <w:i/>
          <w:spacing w:val="-5"/>
          <w:sz w:val="28"/>
        </w:rPr>
        <w:t> </w:t>
      </w:r>
      <w:r>
        <w:rPr>
          <w:i/>
          <w:sz w:val="28"/>
        </w:rPr>
        <w:t>nghị</w:t>
      </w:r>
      <w:r>
        <w:rPr>
          <w:i/>
          <w:spacing w:val="-1"/>
          <w:sz w:val="28"/>
        </w:rPr>
        <w:t> </w:t>
      </w:r>
      <w:r>
        <w:rPr>
          <w:i/>
          <w:sz w:val="28"/>
        </w:rPr>
        <w:t>của</w:t>
      </w:r>
      <w:r>
        <w:rPr>
          <w:i/>
          <w:spacing w:val="-1"/>
          <w:sz w:val="28"/>
        </w:rPr>
        <w:t> </w:t>
      </w:r>
      <w:r>
        <w:rPr>
          <w:i/>
          <w:sz w:val="28"/>
        </w:rPr>
        <w:t>Giám</w:t>
      </w:r>
      <w:r>
        <w:rPr>
          <w:i/>
          <w:spacing w:val="-3"/>
          <w:sz w:val="28"/>
        </w:rPr>
        <w:t> </w:t>
      </w:r>
      <w:r>
        <w:rPr>
          <w:i/>
          <w:sz w:val="28"/>
        </w:rPr>
        <w:t>đốc</w:t>
      </w:r>
      <w:r>
        <w:rPr>
          <w:i/>
          <w:spacing w:val="-5"/>
          <w:sz w:val="28"/>
        </w:rPr>
        <w:t> </w:t>
      </w:r>
      <w:r>
        <w:rPr>
          <w:i/>
          <w:sz w:val="28"/>
        </w:rPr>
        <w:t>Sở</w:t>
      </w:r>
      <w:r>
        <w:rPr>
          <w:i/>
          <w:spacing w:val="-3"/>
          <w:sz w:val="28"/>
        </w:rPr>
        <w:t> </w:t>
      </w:r>
      <w:r>
        <w:rPr>
          <w:i/>
          <w:sz w:val="28"/>
        </w:rPr>
        <w:t>Xây</w:t>
      </w:r>
      <w:r>
        <w:rPr>
          <w:i/>
          <w:spacing w:val="-1"/>
          <w:sz w:val="28"/>
        </w:rPr>
        <w:t> </w:t>
      </w:r>
      <w:r>
        <w:rPr>
          <w:i/>
          <w:spacing w:val="-2"/>
          <w:sz w:val="28"/>
        </w:rPr>
        <w:t>dựng.</w:t>
      </w:r>
    </w:p>
    <w:p>
      <w:pPr>
        <w:spacing w:after="0"/>
        <w:jc w:val="both"/>
        <w:rPr>
          <w:i/>
          <w:sz w:val="28"/>
        </w:rPr>
        <w:sectPr>
          <w:type w:val="continuous"/>
          <w:pgSz w:w="11910" w:h="16850"/>
          <w:pgMar w:top="1120" w:bottom="280" w:left="1559" w:right="992"/>
        </w:sectPr>
      </w:pPr>
    </w:p>
    <w:p>
      <w:pPr>
        <w:spacing w:line="285" w:lineRule="auto" w:before="81"/>
        <w:ind w:left="143" w:right="0" w:firstLine="707"/>
        <w:jc w:val="left"/>
        <w:rPr>
          <w:i/>
          <w:sz w:val="28"/>
        </w:rPr>
      </w:pPr>
      <w:r>
        <w:rPr>
          <w:i/>
          <w:sz w:val="28"/>
        </w:rPr>
        <w:t>Ủy ban nhân dân tỉnh ban hành Quyết định quy định</w:t>
      </w:r>
      <w:r>
        <w:rPr>
          <w:i/>
          <w:spacing w:val="34"/>
          <w:sz w:val="28"/>
        </w:rPr>
        <w:t> </w:t>
      </w:r>
      <w:r>
        <w:rPr>
          <w:i/>
          <w:sz w:val="28"/>
        </w:rPr>
        <w:t>khung giá dịch vụ</w:t>
      </w:r>
      <w:r>
        <w:rPr>
          <w:i/>
          <w:spacing w:val="80"/>
          <w:sz w:val="28"/>
        </w:rPr>
        <w:t> </w:t>
      </w:r>
      <w:r>
        <w:rPr>
          <w:i/>
          <w:sz w:val="28"/>
        </w:rPr>
        <w:t>quản lý vận hành nhà chung cư trên địa bàn tỉnh Lai Châu.</w:t>
      </w:r>
    </w:p>
    <w:p>
      <w:pPr>
        <w:pStyle w:val="Heading1"/>
        <w:spacing w:before="120"/>
        <w:jc w:val="left"/>
      </w:pPr>
      <w:r>
        <w:rPr/>
        <w:t>Điều</w:t>
      </w:r>
      <w:r>
        <w:rPr>
          <w:spacing w:val="-5"/>
        </w:rPr>
        <w:t> </w:t>
      </w:r>
      <w:r>
        <w:rPr/>
        <w:t>1.</w:t>
      </w:r>
      <w:r>
        <w:rPr>
          <w:spacing w:val="-3"/>
        </w:rPr>
        <w:t> </w:t>
      </w:r>
      <w:r>
        <w:rPr/>
        <w:t>Phạm</w:t>
      </w:r>
      <w:r>
        <w:rPr>
          <w:spacing w:val="-7"/>
        </w:rPr>
        <w:t> </w:t>
      </w:r>
      <w:r>
        <w:rPr/>
        <w:t>vi</w:t>
      </w:r>
      <w:r>
        <w:rPr>
          <w:spacing w:val="-1"/>
        </w:rPr>
        <w:t> </w:t>
      </w:r>
      <w:r>
        <w:rPr/>
        <w:t>điều</w:t>
      </w:r>
      <w:r>
        <w:rPr>
          <w:spacing w:val="-2"/>
        </w:rPr>
        <w:t> chỉnh</w:t>
      </w:r>
    </w:p>
    <w:p>
      <w:pPr>
        <w:pStyle w:val="BodyText"/>
        <w:spacing w:line="283" w:lineRule="auto" w:before="172"/>
        <w:ind w:right="145" w:firstLine="707"/>
        <w:jc w:val="left"/>
      </w:pPr>
      <w:r>
        <w:rPr/>
        <w:t>Quyết định này quy định khung giá dịch vụ quản lý vận hành nhà chung</w:t>
      </w:r>
      <w:r>
        <w:rPr>
          <w:spacing w:val="40"/>
        </w:rPr>
        <w:t> </w:t>
      </w:r>
      <w:r>
        <w:rPr/>
        <w:t>cư trên địa bàn tỉnh Lai Châu để áp dụng cho các trường hợp sau:</w:t>
      </w:r>
    </w:p>
    <w:p>
      <w:pPr>
        <w:pStyle w:val="ListParagraph"/>
        <w:numPr>
          <w:ilvl w:val="0"/>
          <w:numId w:val="1"/>
        </w:numPr>
        <w:tabs>
          <w:tab w:pos="1132" w:val="left" w:leader="none"/>
        </w:tabs>
        <w:spacing w:line="285" w:lineRule="auto" w:before="119" w:after="0"/>
        <w:ind w:left="143" w:right="135" w:firstLine="707"/>
        <w:jc w:val="both"/>
        <w:rPr>
          <w:sz w:val="28"/>
        </w:rPr>
      </w:pPr>
      <w:r>
        <w:rPr>
          <w:sz w:val="28"/>
        </w:rPr>
        <w:t>Thu kinh phí quản lý vận hành nhà chung cư thuộc tài sản công trên địa bàn tỉnh Lai Châu.</w:t>
      </w:r>
    </w:p>
    <w:p>
      <w:pPr>
        <w:pStyle w:val="ListParagraph"/>
        <w:numPr>
          <w:ilvl w:val="0"/>
          <w:numId w:val="1"/>
        </w:numPr>
        <w:tabs>
          <w:tab w:pos="1132" w:val="left" w:leader="none"/>
        </w:tabs>
        <w:spacing w:line="283" w:lineRule="auto" w:before="114" w:after="0"/>
        <w:ind w:left="143" w:right="134" w:firstLine="707"/>
        <w:jc w:val="both"/>
        <w:rPr>
          <w:sz w:val="28"/>
        </w:rPr>
      </w:pPr>
      <w:r>
        <w:rPr>
          <w:sz w:val="28"/>
        </w:rPr>
        <w:t>Làm</w:t>
      </w:r>
      <w:r>
        <w:rPr>
          <w:spacing w:val="-5"/>
          <w:sz w:val="28"/>
        </w:rPr>
        <w:t> </w:t>
      </w:r>
      <w:r>
        <w:rPr>
          <w:sz w:val="28"/>
        </w:rPr>
        <w:t>cơ sở để các bên tham</w:t>
      </w:r>
      <w:r>
        <w:rPr>
          <w:spacing w:val="-5"/>
          <w:sz w:val="28"/>
        </w:rPr>
        <w:t> </w:t>
      </w:r>
      <w:r>
        <w:rPr>
          <w:sz w:val="28"/>
        </w:rPr>
        <w:t>khảo khi thỏa thuận giá dịch vụ quản lý vận hành đối với nhà ở không thuộc tài sản công hoặc trong trường hợp có tranh chấp về giá dịch vụ giữa đơn vị quản lý vận hành nhà chung cư với chủ sở hữu, người sử dụng nhà chung cư; trường hợp đơn vị quản lý vận hành và các chủ sở hữu, người sử dụng nhà chung cư không thỏa thuận được giá dịch vụ quản lý</w:t>
      </w:r>
      <w:r>
        <w:rPr>
          <w:spacing w:val="40"/>
          <w:sz w:val="28"/>
        </w:rPr>
        <w:t> </w:t>
      </w:r>
      <w:r>
        <w:rPr>
          <w:sz w:val="28"/>
        </w:rPr>
        <w:t>vận hành nhà chung cư thì đơn vị quản lý vận hành được tạm thu theo mức phí dịch vụ đang thu của</w:t>
      </w:r>
      <w:r>
        <w:rPr>
          <w:spacing w:val="-4"/>
          <w:sz w:val="28"/>
        </w:rPr>
        <w:t> </w:t>
      </w:r>
      <w:r>
        <w:rPr>
          <w:sz w:val="28"/>
        </w:rPr>
        <w:t>năm</w:t>
      </w:r>
      <w:r>
        <w:rPr>
          <w:spacing w:val="-6"/>
          <w:sz w:val="28"/>
        </w:rPr>
        <w:t> </w:t>
      </w:r>
      <w:r>
        <w:rPr>
          <w:sz w:val="28"/>
        </w:rPr>
        <w:t>liền kề</w:t>
      </w:r>
      <w:r>
        <w:rPr>
          <w:spacing w:val="-1"/>
          <w:sz w:val="28"/>
        </w:rPr>
        <w:t> </w:t>
      </w:r>
      <w:r>
        <w:rPr>
          <w:sz w:val="28"/>
        </w:rPr>
        <w:t>trước</w:t>
      </w:r>
      <w:r>
        <w:rPr>
          <w:spacing w:val="-1"/>
          <w:sz w:val="28"/>
        </w:rPr>
        <w:t> </w:t>
      </w:r>
      <w:r>
        <w:rPr>
          <w:sz w:val="28"/>
        </w:rPr>
        <w:t>đó hoặc</w:t>
      </w:r>
      <w:r>
        <w:rPr>
          <w:spacing w:val="-2"/>
          <w:sz w:val="28"/>
        </w:rPr>
        <w:t> </w:t>
      </w:r>
      <w:r>
        <w:rPr>
          <w:sz w:val="28"/>
        </w:rPr>
        <w:t>mức</w:t>
      </w:r>
      <w:r>
        <w:rPr>
          <w:spacing w:val="-1"/>
          <w:sz w:val="28"/>
        </w:rPr>
        <w:t> </w:t>
      </w:r>
      <w:r>
        <w:rPr>
          <w:sz w:val="28"/>
        </w:rPr>
        <w:t>khác,</w:t>
      </w:r>
      <w:r>
        <w:rPr>
          <w:spacing w:val="-2"/>
          <w:sz w:val="28"/>
        </w:rPr>
        <w:t> </w:t>
      </w:r>
      <w:r>
        <w:rPr>
          <w:sz w:val="28"/>
        </w:rPr>
        <w:t>đảm</w:t>
      </w:r>
      <w:r>
        <w:rPr>
          <w:spacing w:val="-5"/>
          <w:sz w:val="28"/>
        </w:rPr>
        <w:t> </w:t>
      </w:r>
      <w:r>
        <w:rPr>
          <w:sz w:val="28"/>
        </w:rPr>
        <w:t>bảo mức</w:t>
      </w:r>
      <w:r>
        <w:rPr>
          <w:spacing w:val="-1"/>
          <w:sz w:val="28"/>
        </w:rPr>
        <w:t> </w:t>
      </w:r>
      <w:r>
        <w:rPr>
          <w:sz w:val="28"/>
        </w:rPr>
        <w:t>tạm</w:t>
      </w:r>
      <w:r>
        <w:rPr>
          <w:spacing w:val="-6"/>
          <w:sz w:val="28"/>
        </w:rPr>
        <w:t> </w:t>
      </w:r>
      <w:r>
        <w:rPr>
          <w:sz w:val="28"/>
        </w:rPr>
        <w:t>thu này không vượt khung giá dịch vụ quản lý vận hành nhà chung cư quy định tại khoản</w:t>
      </w:r>
      <w:r>
        <w:rPr>
          <w:spacing w:val="-2"/>
          <w:sz w:val="28"/>
        </w:rPr>
        <w:t> </w:t>
      </w:r>
      <w:r>
        <w:rPr>
          <w:sz w:val="28"/>
        </w:rPr>
        <w:t>1</w:t>
      </w:r>
      <w:r>
        <w:rPr>
          <w:spacing w:val="-2"/>
          <w:sz w:val="28"/>
        </w:rPr>
        <w:t> </w:t>
      </w:r>
      <w:r>
        <w:rPr>
          <w:sz w:val="28"/>
        </w:rPr>
        <w:t>Điều</w:t>
      </w:r>
      <w:r>
        <w:rPr>
          <w:spacing w:val="-5"/>
          <w:sz w:val="28"/>
        </w:rPr>
        <w:t> </w:t>
      </w:r>
      <w:r>
        <w:rPr>
          <w:sz w:val="28"/>
        </w:rPr>
        <w:t>3</w:t>
      </w:r>
      <w:r>
        <w:rPr>
          <w:spacing w:val="-1"/>
          <w:sz w:val="28"/>
        </w:rPr>
        <w:t> </w:t>
      </w:r>
      <w:r>
        <w:rPr>
          <w:sz w:val="28"/>
        </w:rPr>
        <w:t>Quyết</w:t>
      </w:r>
      <w:r>
        <w:rPr>
          <w:spacing w:val="-1"/>
          <w:sz w:val="28"/>
        </w:rPr>
        <w:t> </w:t>
      </w:r>
      <w:r>
        <w:rPr>
          <w:sz w:val="28"/>
        </w:rPr>
        <w:t>định</w:t>
      </w:r>
      <w:r>
        <w:rPr>
          <w:spacing w:val="-2"/>
          <w:sz w:val="28"/>
        </w:rPr>
        <w:t> </w:t>
      </w:r>
      <w:r>
        <w:rPr>
          <w:sz w:val="28"/>
        </w:rPr>
        <w:t>này</w:t>
      </w:r>
      <w:r>
        <w:rPr>
          <w:spacing w:val="-6"/>
          <w:sz w:val="28"/>
        </w:rPr>
        <w:t> </w:t>
      </w:r>
      <w:r>
        <w:rPr>
          <w:sz w:val="28"/>
        </w:rPr>
        <w:t>cho</w:t>
      </w:r>
      <w:r>
        <w:rPr>
          <w:spacing w:val="-1"/>
          <w:sz w:val="28"/>
        </w:rPr>
        <w:t> </w:t>
      </w:r>
      <w:r>
        <w:rPr>
          <w:sz w:val="28"/>
        </w:rPr>
        <w:t>đến</w:t>
      </w:r>
      <w:r>
        <w:rPr>
          <w:spacing w:val="-1"/>
          <w:sz w:val="28"/>
        </w:rPr>
        <w:t> </w:t>
      </w:r>
      <w:r>
        <w:rPr>
          <w:sz w:val="28"/>
        </w:rPr>
        <w:t>khi</w:t>
      </w:r>
      <w:r>
        <w:rPr>
          <w:spacing w:val="-1"/>
          <w:sz w:val="28"/>
        </w:rPr>
        <w:t> </w:t>
      </w:r>
      <w:r>
        <w:rPr>
          <w:sz w:val="28"/>
        </w:rPr>
        <w:t>các</w:t>
      </w:r>
      <w:r>
        <w:rPr>
          <w:spacing w:val="-5"/>
          <w:sz w:val="28"/>
        </w:rPr>
        <w:t> </w:t>
      </w:r>
      <w:r>
        <w:rPr>
          <w:sz w:val="28"/>
        </w:rPr>
        <w:t>bên</w:t>
      </w:r>
      <w:r>
        <w:rPr>
          <w:spacing w:val="-5"/>
          <w:sz w:val="28"/>
        </w:rPr>
        <w:t> </w:t>
      </w:r>
      <w:r>
        <w:rPr>
          <w:sz w:val="28"/>
        </w:rPr>
        <w:t>thỏa</w:t>
      </w:r>
      <w:r>
        <w:rPr>
          <w:spacing w:val="-5"/>
          <w:sz w:val="28"/>
        </w:rPr>
        <w:t> </w:t>
      </w:r>
      <w:r>
        <w:rPr>
          <w:sz w:val="28"/>
        </w:rPr>
        <w:t>thuận</w:t>
      </w:r>
      <w:r>
        <w:rPr>
          <w:spacing w:val="-1"/>
          <w:sz w:val="28"/>
        </w:rPr>
        <w:t> </w:t>
      </w:r>
      <w:r>
        <w:rPr>
          <w:sz w:val="28"/>
        </w:rPr>
        <w:t>được</w:t>
      </w:r>
      <w:r>
        <w:rPr>
          <w:spacing w:val="-3"/>
          <w:sz w:val="28"/>
        </w:rPr>
        <w:t> </w:t>
      </w:r>
      <w:r>
        <w:rPr>
          <w:sz w:val="28"/>
        </w:rPr>
        <w:t>giá</w:t>
      </w:r>
      <w:r>
        <w:rPr>
          <w:spacing w:val="-2"/>
          <w:sz w:val="28"/>
        </w:rPr>
        <w:t> </w:t>
      </w:r>
      <w:r>
        <w:rPr>
          <w:sz w:val="28"/>
        </w:rPr>
        <w:t>dịch</w:t>
      </w:r>
      <w:r>
        <w:rPr>
          <w:spacing w:val="-1"/>
          <w:sz w:val="28"/>
        </w:rPr>
        <w:t> </w:t>
      </w:r>
      <w:r>
        <w:rPr>
          <w:spacing w:val="-5"/>
          <w:sz w:val="28"/>
        </w:rPr>
        <w:t>vụ.</w:t>
      </w:r>
    </w:p>
    <w:p>
      <w:pPr>
        <w:pStyle w:val="Heading1"/>
        <w:spacing w:before="124"/>
      </w:pPr>
      <w:r>
        <w:rPr/>
        <w:t>Điều</w:t>
      </w:r>
      <w:r>
        <w:rPr>
          <w:spacing w:val="-3"/>
        </w:rPr>
        <w:t> </w:t>
      </w:r>
      <w:r>
        <w:rPr/>
        <w:t>2.</w:t>
      </w:r>
      <w:r>
        <w:rPr>
          <w:spacing w:val="-3"/>
        </w:rPr>
        <w:t> </w:t>
      </w:r>
      <w:r>
        <w:rPr/>
        <w:t>Đối</w:t>
      </w:r>
      <w:r>
        <w:rPr>
          <w:spacing w:val="-2"/>
        </w:rPr>
        <w:t> </w:t>
      </w:r>
      <w:r>
        <w:rPr/>
        <w:t>tượng</w:t>
      </w:r>
      <w:r>
        <w:rPr>
          <w:spacing w:val="-3"/>
        </w:rPr>
        <w:t> </w:t>
      </w:r>
      <w:r>
        <w:rPr/>
        <w:t>áp</w:t>
      </w:r>
      <w:r>
        <w:rPr>
          <w:spacing w:val="-2"/>
        </w:rPr>
        <w:t> </w:t>
      </w:r>
      <w:r>
        <w:rPr>
          <w:spacing w:val="-4"/>
        </w:rPr>
        <w:t>dụng</w:t>
      </w:r>
    </w:p>
    <w:p>
      <w:pPr>
        <w:pStyle w:val="ListParagraph"/>
        <w:numPr>
          <w:ilvl w:val="0"/>
          <w:numId w:val="2"/>
        </w:numPr>
        <w:tabs>
          <w:tab w:pos="1161" w:val="left" w:leader="none"/>
        </w:tabs>
        <w:spacing w:line="283" w:lineRule="auto" w:before="172" w:after="0"/>
        <w:ind w:left="143" w:right="136" w:firstLine="719"/>
        <w:jc w:val="both"/>
        <w:rPr>
          <w:sz w:val="28"/>
        </w:rPr>
      </w:pPr>
      <w:r>
        <w:rPr>
          <w:sz w:val="28"/>
        </w:rPr>
        <w:t>Chủ đầu tư dự án xây dựng nhà chung cư, chủ sở hữu, người sử dụng nhà chung cư, ban quản trị nhà chung cư, đơn vị quản lý vận hành nhà chung cư trên địa bàn tỉnh Lai Châu.</w:t>
      </w:r>
    </w:p>
    <w:p>
      <w:pPr>
        <w:pStyle w:val="ListParagraph"/>
        <w:numPr>
          <w:ilvl w:val="0"/>
          <w:numId w:val="2"/>
        </w:numPr>
        <w:tabs>
          <w:tab w:pos="1178" w:val="left" w:leader="none"/>
        </w:tabs>
        <w:spacing w:line="285" w:lineRule="auto" w:before="118" w:after="0"/>
        <w:ind w:left="143" w:right="137" w:firstLine="719"/>
        <w:jc w:val="both"/>
        <w:rPr>
          <w:sz w:val="28"/>
        </w:rPr>
      </w:pPr>
      <w:r>
        <w:rPr>
          <w:sz w:val="28"/>
        </w:rPr>
        <w:t>Các cơ quan quản lý nhà nước và các tổ chức, cá nhân khác có liên quan đến việc quản lý, sử dụng nhà chung cư.</w:t>
      </w:r>
    </w:p>
    <w:p>
      <w:pPr>
        <w:pStyle w:val="Heading1"/>
        <w:spacing w:before="120"/>
      </w:pPr>
      <w:r>
        <w:rPr/>
        <w:t>Điều</w:t>
      </w:r>
      <w:r>
        <w:rPr>
          <w:spacing w:val="-4"/>
        </w:rPr>
        <w:t> </w:t>
      </w:r>
      <w:r>
        <w:rPr/>
        <w:t>3.</w:t>
      </w:r>
      <w:r>
        <w:rPr>
          <w:spacing w:val="-4"/>
        </w:rPr>
        <w:t> </w:t>
      </w:r>
      <w:r>
        <w:rPr/>
        <w:t>Quy</w:t>
      </w:r>
      <w:r>
        <w:rPr>
          <w:spacing w:val="-2"/>
        </w:rPr>
        <w:t> </w:t>
      </w:r>
      <w:r>
        <w:rPr/>
        <w:t>định</w:t>
      </w:r>
      <w:r>
        <w:rPr>
          <w:spacing w:val="-3"/>
        </w:rPr>
        <w:t> </w:t>
      </w:r>
      <w:r>
        <w:rPr/>
        <w:t>khung</w:t>
      </w:r>
      <w:r>
        <w:rPr>
          <w:spacing w:val="-3"/>
        </w:rPr>
        <w:t> </w:t>
      </w:r>
      <w:r>
        <w:rPr/>
        <w:t>giá</w:t>
      </w:r>
      <w:r>
        <w:rPr>
          <w:spacing w:val="-2"/>
        </w:rPr>
        <w:t> </w:t>
      </w:r>
      <w:r>
        <w:rPr/>
        <w:t>dịch</w:t>
      </w:r>
      <w:r>
        <w:rPr>
          <w:spacing w:val="-5"/>
        </w:rPr>
        <w:t> </w:t>
      </w:r>
      <w:r>
        <w:rPr/>
        <w:t>vụ</w:t>
      </w:r>
      <w:r>
        <w:rPr>
          <w:spacing w:val="-3"/>
        </w:rPr>
        <w:t> </w:t>
      </w:r>
      <w:r>
        <w:rPr/>
        <w:t>quản</w:t>
      </w:r>
      <w:r>
        <w:rPr>
          <w:spacing w:val="-3"/>
        </w:rPr>
        <w:t> </w:t>
      </w:r>
      <w:r>
        <w:rPr/>
        <w:t>lý</w:t>
      </w:r>
      <w:r>
        <w:rPr>
          <w:spacing w:val="-6"/>
        </w:rPr>
        <w:t> </w:t>
      </w:r>
      <w:r>
        <w:rPr/>
        <w:t>vận</w:t>
      </w:r>
      <w:r>
        <w:rPr>
          <w:spacing w:val="-3"/>
        </w:rPr>
        <w:t> </w:t>
      </w:r>
      <w:r>
        <w:rPr/>
        <w:t>hành</w:t>
      </w:r>
      <w:r>
        <w:rPr>
          <w:spacing w:val="-4"/>
        </w:rPr>
        <w:t> </w:t>
      </w:r>
      <w:r>
        <w:rPr/>
        <w:t>nhà chung</w:t>
      </w:r>
      <w:r>
        <w:rPr>
          <w:spacing w:val="-2"/>
        </w:rPr>
        <w:t> </w:t>
      </w:r>
      <w:r>
        <w:rPr>
          <w:spacing w:val="-5"/>
        </w:rPr>
        <w:t>cư</w:t>
      </w:r>
    </w:p>
    <w:p>
      <w:pPr>
        <w:pStyle w:val="ListParagraph"/>
        <w:numPr>
          <w:ilvl w:val="0"/>
          <w:numId w:val="3"/>
        </w:numPr>
        <w:tabs>
          <w:tab w:pos="1127" w:val="left" w:leader="none"/>
        </w:tabs>
        <w:spacing w:line="240" w:lineRule="auto" w:before="172" w:after="0"/>
        <w:ind w:left="1127" w:right="0" w:hanging="265"/>
        <w:jc w:val="left"/>
        <w:rPr>
          <w:sz w:val="28"/>
        </w:rPr>
      </w:pPr>
      <w:r>
        <w:rPr>
          <w:sz w:val="28"/>
        </w:rPr>
        <w:t>Khung</w:t>
      </w:r>
      <w:r>
        <w:rPr>
          <w:spacing w:val="-2"/>
          <w:sz w:val="28"/>
        </w:rPr>
        <w:t> </w:t>
      </w:r>
      <w:r>
        <w:rPr>
          <w:sz w:val="28"/>
        </w:rPr>
        <w:t>giá</w:t>
      </w:r>
      <w:r>
        <w:rPr>
          <w:spacing w:val="-3"/>
          <w:sz w:val="28"/>
        </w:rPr>
        <w:t> </w:t>
      </w:r>
      <w:r>
        <w:rPr>
          <w:sz w:val="28"/>
        </w:rPr>
        <w:t>dịch</w:t>
      </w:r>
      <w:r>
        <w:rPr>
          <w:spacing w:val="-1"/>
          <w:sz w:val="28"/>
        </w:rPr>
        <w:t> </w:t>
      </w:r>
      <w:r>
        <w:rPr>
          <w:sz w:val="28"/>
        </w:rPr>
        <w:t>vụ</w:t>
      </w:r>
      <w:r>
        <w:rPr>
          <w:spacing w:val="-6"/>
          <w:sz w:val="28"/>
        </w:rPr>
        <w:t> </w:t>
      </w:r>
      <w:r>
        <w:rPr>
          <w:sz w:val="28"/>
        </w:rPr>
        <w:t>quản</w:t>
      </w:r>
      <w:r>
        <w:rPr>
          <w:spacing w:val="-2"/>
          <w:sz w:val="28"/>
        </w:rPr>
        <w:t> </w:t>
      </w:r>
      <w:r>
        <w:rPr>
          <w:sz w:val="28"/>
        </w:rPr>
        <w:t>lý</w:t>
      </w:r>
      <w:r>
        <w:rPr>
          <w:spacing w:val="-5"/>
          <w:sz w:val="28"/>
        </w:rPr>
        <w:t> </w:t>
      </w:r>
      <w:r>
        <w:rPr>
          <w:sz w:val="28"/>
        </w:rPr>
        <w:t>vận</w:t>
      </w:r>
      <w:r>
        <w:rPr>
          <w:spacing w:val="-2"/>
          <w:sz w:val="28"/>
        </w:rPr>
        <w:t> </w:t>
      </w:r>
      <w:r>
        <w:rPr>
          <w:sz w:val="28"/>
        </w:rPr>
        <w:t>hành</w:t>
      </w:r>
      <w:r>
        <w:rPr>
          <w:spacing w:val="-1"/>
          <w:sz w:val="28"/>
        </w:rPr>
        <w:t> </w:t>
      </w:r>
      <w:r>
        <w:rPr>
          <w:sz w:val="28"/>
        </w:rPr>
        <w:t>nhà</w:t>
      </w:r>
      <w:r>
        <w:rPr>
          <w:spacing w:val="-5"/>
          <w:sz w:val="28"/>
        </w:rPr>
        <w:t> </w:t>
      </w:r>
      <w:r>
        <w:rPr>
          <w:sz w:val="28"/>
        </w:rPr>
        <w:t>chung</w:t>
      </w:r>
      <w:r>
        <w:rPr>
          <w:spacing w:val="-1"/>
          <w:sz w:val="28"/>
        </w:rPr>
        <w:t> </w:t>
      </w:r>
      <w:r>
        <w:rPr>
          <w:spacing w:val="-5"/>
          <w:sz w:val="28"/>
        </w:rPr>
        <w:t>cư:</w:t>
      </w:r>
    </w:p>
    <w:p>
      <w:pPr>
        <w:pStyle w:val="BodyText"/>
        <w:spacing w:before="0"/>
        <w:ind w:left="0" w:firstLine="0"/>
        <w:jc w:val="left"/>
        <w:rPr>
          <w:sz w:val="16"/>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4026"/>
        <w:gridCol w:w="2293"/>
        <w:gridCol w:w="2156"/>
      </w:tblGrid>
      <w:tr>
        <w:trPr>
          <w:trHeight w:val="597" w:hRule="atLeast"/>
        </w:trPr>
        <w:tc>
          <w:tcPr>
            <w:tcW w:w="708" w:type="dxa"/>
          </w:tcPr>
          <w:p>
            <w:pPr>
              <w:pStyle w:val="TableParagraph"/>
              <w:spacing w:before="150"/>
              <w:ind w:left="7"/>
              <w:jc w:val="center"/>
              <w:rPr>
                <w:b/>
                <w:sz w:val="26"/>
              </w:rPr>
            </w:pPr>
            <w:r>
              <w:rPr>
                <w:b/>
                <w:spacing w:val="-5"/>
                <w:sz w:val="26"/>
              </w:rPr>
              <w:t>Stt</w:t>
            </w:r>
          </w:p>
        </w:tc>
        <w:tc>
          <w:tcPr>
            <w:tcW w:w="4026" w:type="dxa"/>
          </w:tcPr>
          <w:p>
            <w:pPr>
              <w:pStyle w:val="TableParagraph"/>
              <w:spacing w:before="150"/>
              <w:ind w:left="4"/>
              <w:jc w:val="center"/>
              <w:rPr>
                <w:b/>
                <w:sz w:val="26"/>
              </w:rPr>
            </w:pPr>
            <w:r>
              <w:rPr>
                <w:b/>
                <w:sz w:val="26"/>
              </w:rPr>
              <w:t>Loại</w:t>
            </w:r>
            <w:r>
              <w:rPr>
                <w:b/>
                <w:spacing w:val="-10"/>
                <w:sz w:val="26"/>
              </w:rPr>
              <w:t> </w:t>
            </w:r>
            <w:r>
              <w:rPr>
                <w:b/>
                <w:spacing w:val="-5"/>
                <w:sz w:val="26"/>
              </w:rPr>
              <w:t>nhà</w:t>
            </w:r>
          </w:p>
        </w:tc>
        <w:tc>
          <w:tcPr>
            <w:tcW w:w="2293" w:type="dxa"/>
          </w:tcPr>
          <w:p>
            <w:pPr>
              <w:pStyle w:val="TableParagraph"/>
              <w:spacing w:line="295" w:lineRule="exact"/>
              <w:ind w:left="196"/>
              <w:rPr>
                <w:b/>
                <w:sz w:val="26"/>
              </w:rPr>
            </w:pPr>
            <w:r>
              <w:rPr>
                <w:b/>
                <w:sz w:val="26"/>
              </w:rPr>
              <w:t>Mức</w:t>
            </w:r>
            <w:r>
              <w:rPr>
                <w:b/>
                <w:spacing w:val="-5"/>
                <w:sz w:val="26"/>
              </w:rPr>
              <w:t> </w:t>
            </w:r>
            <w:r>
              <w:rPr>
                <w:b/>
                <w:sz w:val="26"/>
              </w:rPr>
              <w:t>giá</w:t>
            </w:r>
            <w:r>
              <w:rPr>
                <w:b/>
                <w:spacing w:val="-5"/>
                <w:sz w:val="26"/>
              </w:rPr>
              <w:t> </w:t>
            </w:r>
            <w:r>
              <w:rPr>
                <w:b/>
                <w:sz w:val="26"/>
              </w:rPr>
              <w:t>tối</w:t>
            </w:r>
            <w:r>
              <w:rPr>
                <w:b/>
                <w:spacing w:val="-5"/>
                <w:sz w:val="26"/>
              </w:rPr>
              <w:t> </w:t>
            </w:r>
            <w:r>
              <w:rPr>
                <w:b/>
                <w:spacing w:val="-2"/>
                <w:sz w:val="26"/>
              </w:rPr>
              <w:t>thiểu</w:t>
            </w:r>
          </w:p>
          <w:p>
            <w:pPr>
              <w:pStyle w:val="TableParagraph"/>
              <w:spacing w:line="282" w:lineRule="exact"/>
              <w:ind w:left="294"/>
              <w:rPr>
                <w:i/>
                <w:sz w:val="26"/>
              </w:rPr>
            </w:pPr>
            <w:r>
              <w:rPr>
                <w:i/>
                <w:spacing w:val="-2"/>
                <w:sz w:val="26"/>
              </w:rPr>
              <w:t>(đồng/m</w:t>
            </w:r>
            <w:r>
              <w:rPr>
                <w:i/>
                <w:spacing w:val="-2"/>
                <w:sz w:val="26"/>
                <w:vertAlign w:val="superscript"/>
              </w:rPr>
              <w:t>2</w:t>
            </w:r>
            <w:r>
              <w:rPr>
                <w:i/>
                <w:spacing w:val="-2"/>
                <w:sz w:val="26"/>
                <w:vertAlign w:val="baseline"/>
              </w:rPr>
              <w:t>/tháng)</w:t>
            </w:r>
          </w:p>
        </w:tc>
        <w:tc>
          <w:tcPr>
            <w:tcW w:w="2156" w:type="dxa"/>
          </w:tcPr>
          <w:p>
            <w:pPr>
              <w:pStyle w:val="TableParagraph"/>
              <w:spacing w:line="295" w:lineRule="exact"/>
              <w:ind w:left="272"/>
              <w:rPr>
                <w:b/>
                <w:sz w:val="26"/>
              </w:rPr>
            </w:pPr>
            <w:r>
              <w:rPr>
                <w:b/>
                <w:sz w:val="26"/>
              </w:rPr>
              <w:t>Mức</w:t>
            </w:r>
            <w:r>
              <w:rPr>
                <w:b/>
                <w:spacing w:val="-5"/>
                <w:sz w:val="26"/>
              </w:rPr>
              <w:t> </w:t>
            </w:r>
            <w:r>
              <w:rPr>
                <w:b/>
                <w:sz w:val="26"/>
              </w:rPr>
              <w:t>giá</w:t>
            </w:r>
            <w:r>
              <w:rPr>
                <w:b/>
                <w:spacing w:val="-5"/>
                <w:sz w:val="26"/>
              </w:rPr>
              <w:t> </w:t>
            </w:r>
            <w:r>
              <w:rPr>
                <w:b/>
                <w:sz w:val="26"/>
              </w:rPr>
              <w:t>tối</w:t>
            </w:r>
            <w:r>
              <w:rPr>
                <w:b/>
                <w:spacing w:val="-2"/>
                <w:sz w:val="26"/>
              </w:rPr>
              <w:t> </w:t>
            </w:r>
            <w:r>
              <w:rPr>
                <w:b/>
                <w:spacing w:val="-5"/>
                <w:sz w:val="26"/>
              </w:rPr>
              <w:t>đa</w:t>
            </w:r>
          </w:p>
          <w:p>
            <w:pPr>
              <w:pStyle w:val="TableParagraph"/>
              <w:spacing w:line="282" w:lineRule="exact"/>
              <w:ind w:left="224"/>
              <w:rPr>
                <w:i/>
                <w:sz w:val="26"/>
              </w:rPr>
            </w:pPr>
            <w:r>
              <w:rPr>
                <w:i/>
                <w:spacing w:val="-2"/>
                <w:sz w:val="26"/>
              </w:rPr>
              <w:t>(đồng/m</w:t>
            </w:r>
            <w:r>
              <w:rPr>
                <w:i/>
                <w:spacing w:val="-2"/>
                <w:sz w:val="26"/>
                <w:vertAlign w:val="superscript"/>
              </w:rPr>
              <w:t>2</w:t>
            </w:r>
            <w:r>
              <w:rPr>
                <w:i/>
                <w:spacing w:val="-2"/>
                <w:sz w:val="26"/>
                <w:vertAlign w:val="baseline"/>
              </w:rPr>
              <w:t>/tháng)</w:t>
            </w:r>
          </w:p>
        </w:tc>
      </w:tr>
      <w:tr>
        <w:trPr>
          <w:trHeight w:val="640" w:hRule="atLeast"/>
        </w:trPr>
        <w:tc>
          <w:tcPr>
            <w:tcW w:w="708" w:type="dxa"/>
          </w:tcPr>
          <w:p>
            <w:pPr>
              <w:pStyle w:val="TableParagraph"/>
              <w:spacing w:before="198"/>
              <w:ind w:left="7"/>
              <w:jc w:val="center"/>
              <w:rPr>
                <w:sz w:val="26"/>
              </w:rPr>
            </w:pPr>
            <w:r>
              <w:rPr>
                <w:spacing w:val="-10"/>
                <w:sz w:val="26"/>
              </w:rPr>
              <w:t>1</w:t>
            </w:r>
          </w:p>
        </w:tc>
        <w:tc>
          <w:tcPr>
            <w:tcW w:w="4026" w:type="dxa"/>
          </w:tcPr>
          <w:p>
            <w:pPr>
              <w:pStyle w:val="TableParagraph"/>
              <w:spacing w:before="198"/>
              <w:ind w:left="107"/>
              <w:rPr>
                <w:sz w:val="26"/>
              </w:rPr>
            </w:pPr>
            <w:r>
              <w:rPr>
                <w:sz w:val="26"/>
              </w:rPr>
              <w:t>Nhà</w:t>
            </w:r>
            <w:r>
              <w:rPr>
                <w:spacing w:val="-6"/>
                <w:sz w:val="26"/>
              </w:rPr>
              <w:t> </w:t>
            </w:r>
            <w:r>
              <w:rPr>
                <w:sz w:val="26"/>
              </w:rPr>
              <w:t>chung</w:t>
            </w:r>
            <w:r>
              <w:rPr>
                <w:spacing w:val="-4"/>
                <w:sz w:val="26"/>
              </w:rPr>
              <w:t> </w:t>
            </w:r>
            <w:r>
              <w:rPr>
                <w:sz w:val="26"/>
              </w:rPr>
              <w:t>cư</w:t>
            </w:r>
            <w:r>
              <w:rPr>
                <w:spacing w:val="-4"/>
                <w:sz w:val="26"/>
              </w:rPr>
              <w:t> </w:t>
            </w:r>
            <w:r>
              <w:rPr>
                <w:sz w:val="26"/>
              </w:rPr>
              <w:t>không</w:t>
            </w:r>
            <w:r>
              <w:rPr>
                <w:spacing w:val="-5"/>
                <w:sz w:val="26"/>
              </w:rPr>
              <w:t> </w:t>
            </w:r>
            <w:r>
              <w:rPr>
                <w:sz w:val="26"/>
              </w:rPr>
              <w:t>có</w:t>
            </w:r>
            <w:r>
              <w:rPr>
                <w:spacing w:val="-6"/>
                <w:sz w:val="26"/>
              </w:rPr>
              <w:t> </w:t>
            </w:r>
            <w:r>
              <w:rPr>
                <w:sz w:val="26"/>
              </w:rPr>
              <w:t>thang</w:t>
            </w:r>
            <w:r>
              <w:rPr>
                <w:spacing w:val="-3"/>
                <w:sz w:val="26"/>
              </w:rPr>
              <w:t> </w:t>
            </w:r>
            <w:r>
              <w:rPr>
                <w:spacing w:val="-5"/>
                <w:sz w:val="26"/>
              </w:rPr>
              <w:t>máy</w:t>
            </w:r>
          </w:p>
        </w:tc>
        <w:tc>
          <w:tcPr>
            <w:tcW w:w="2293" w:type="dxa"/>
          </w:tcPr>
          <w:p>
            <w:pPr>
              <w:pStyle w:val="TableParagraph"/>
              <w:spacing w:before="198"/>
              <w:ind w:left="3"/>
              <w:jc w:val="center"/>
              <w:rPr>
                <w:sz w:val="26"/>
              </w:rPr>
            </w:pPr>
            <w:r>
              <w:rPr>
                <w:spacing w:val="-2"/>
                <w:sz w:val="26"/>
              </w:rPr>
              <w:t>3.000</w:t>
            </w:r>
          </w:p>
        </w:tc>
        <w:tc>
          <w:tcPr>
            <w:tcW w:w="2156" w:type="dxa"/>
          </w:tcPr>
          <w:p>
            <w:pPr>
              <w:pStyle w:val="TableParagraph"/>
              <w:spacing w:before="198"/>
              <w:ind w:left="5"/>
              <w:jc w:val="center"/>
              <w:rPr>
                <w:sz w:val="26"/>
              </w:rPr>
            </w:pPr>
            <w:r>
              <w:rPr>
                <w:spacing w:val="-2"/>
                <w:sz w:val="26"/>
              </w:rPr>
              <w:t>5.700</w:t>
            </w:r>
          </w:p>
        </w:tc>
      </w:tr>
      <w:tr>
        <w:trPr>
          <w:trHeight w:val="641" w:hRule="atLeast"/>
        </w:trPr>
        <w:tc>
          <w:tcPr>
            <w:tcW w:w="708" w:type="dxa"/>
          </w:tcPr>
          <w:p>
            <w:pPr>
              <w:pStyle w:val="TableParagraph"/>
              <w:spacing w:before="197"/>
              <w:ind w:left="7"/>
              <w:jc w:val="center"/>
              <w:rPr>
                <w:sz w:val="26"/>
              </w:rPr>
            </w:pPr>
            <w:r>
              <w:rPr>
                <w:spacing w:val="-10"/>
                <w:sz w:val="26"/>
              </w:rPr>
              <w:t>2</w:t>
            </w:r>
          </w:p>
        </w:tc>
        <w:tc>
          <w:tcPr>
            <w:tcW w:w="4026" w:type="dxa"/>
          </w:tcPr>
          <w:p>
            <w:pPr>
              <w:pStyle w:val="TableParagraph"/>
              <w:spacing w:before="197"/>
              <w:ind w:left="107"/>
              <w:rPr>
                <w:sz w:val="26"/>
              </w:rPr>
            </w:pPr>
            <w:r>
              <w:rPr>
                <w:sz w:val="26"/>
              </w:rPr>
              <w:t>Nhà</w:t>
            </w:r>
            <w:r>
              <w:rPr>
                <w:spacing w:val="-6"/>
                <w:sz w:val="26"/>
              </w:rPr>
              <w:t> </w:t>
            </w:r>
            <w:r>
              <w:rPr>
                <w:sz w:val="26"/>
              </w:rPr>
              <w:t>chung</w:t>
            </w:r>
            <w:r>
              <w:rPr>
                <w:spacing w:val="-3"/>
                <w:sz w:val="26"/>
              </w:rPr>
              <w:t> </w:t>
            </w:r>
            <w:r>
              <w:rPr>
                <w:sz w:val="26"/>
              </w:rPr>
              <w:t>cư</w:t>
            </w:r>
            <w:r>
              <w:rPr>
                <w:spacing w:val="-4"/>
                <w:sz w:val="26"/>
              </w:rPr>
              <w:t> </w:t>
            </w:r>
            <w:r>
              <w:rPr>
                <w:sz w:val="26"/>
              </w:rPr>
              <w:t>có</w:t>
            </w:r>
            <w:r>
              <w:rPr>
                <w:spacing w:val="-6"/>
                <w:sz w:val="26"/>
              </w:rPr>
              <w:t> </w:t>
            </w:r>
            <w:r>
              <w:rPr>
                <w:sz w:val="26"/>
              </w:rPr>
              <w:t>thang</w:t>
            </w:r>
            <w:r>
              <w:rPr>
                <w:spacing w:val="-3"/>
                <w:sz w:val="26"/>
              </w:rPr>
              <w:t> </w:t>
            </w:r>
            <w:r>
              <w:rPr>
                <w:spacing w:val="-5"/>
                <w:sz w:val="26"/>
              </w:rPr>
              <w:t>máy</w:t>
            </w:r>
          </w:p>
        </w:tc>
        <w:tc>
          <w:tcPr>
            <w:tcW w:w="2293" w:type="dxa"/>
          </w:tcPr>
          <w:p>
            <w:pPr>
              <w:pStyle w:val="TableParagraph"/>
              <w:spacing w:before="197"/>
              <w:ind w:left="3"/>
              <w:jc w:val="center"/>
              <w:rPr>
                <w:sz w:val="26"/>
              </w:rPr>
            </w:pPr>
            <w:r>
              <w:rPr>
                <w:spacing w:val="-2"/>
                <w:sz w:val="26"/>
              </w:rPr>
              <w:t>5.400</w:t>
            </w:r>
          </w:p>
        </w:tc>
        <w:tc>
          <w:tcPr>
            <w:tcW w:w="2156" w:type="dxa"/>
          </w:tcPr>
          <w:p>
            <w:pPr>
              <w:pStyle w:val="TableParagraph"/>
              <w:spacing w:before="197"/>
              <w:ind w:left="5"/>
              <w:jc w:val="center"/>
              <w:rPr>
                <w:sz w:val="26"/>
              </w:rPr>
            </w:pPr>
            <w:r>
              <w:rPr>
                <w:spacing w:val="-2"/>
                <w:sz w:val="26"/>
              </w:rPr>
              <w:t>13.600</w:t>
            </w:r>
          </w:p>
        </w:tc>
      </w:tr>
    </w:tbl>
    <w:p>
      <w:pPr>
        <w:pStyle w:val="ListParagraph"/>
        <w:numPr>
          <w:ilvl w:val="0"/>
          <w:numId w:val="3"/>
        </w:numPr>
        <w:tabs>
          <w:tab w:pos="1146" w:val="left" w:leader="none"/>
        </w:tabs>
        <w:spacing w:line="288" w:lineRule="auto" w:before="110" w:after="0"/>
        <w:ind w:left="143" w:right="137" w:firstLine="719"/>
        <w:jc w:val="both"/>
        <w:rPr>
          <w:sz w:val="28"/>
        </w:rPr>
      </w:pPr>
      <w:r>
        <w:rPr>
          <w:sz w:val="28"/>
        </w:rPr>
        <w:t>Khung giá</w:t>
      </w:r>
      <w:r>
        <w:rPr>
          <w:spacing w:val="-1"/>
          <w:sz w:val="28"/>
        </w:rPr>
        <w:t> </w:t>
      </w:r>
      <w:r>
        <w:rPr>
          <w:sz w:val="28"/>
        </w:rPr>
        <w:t>dịch vụ quản lý vận hành nhà</w:t>
      </w:r>
      <w:r>
        <w:rPr>
          <w:spacing w:val="-1"/>
          <w:sz w:val="28"/>
        </w:rPr>
        <w:t> </w:t>
      </w:r>
      <w:r>
        <w:rPr>
          <w:sz w:val="28"/>
        </w:rPr>
        <w:t>chung cư quy</w:t>
      </w:r>
      <w:r>
        <w:rPr>
          <w:spacing w:val="-2"/>
          <w:sz w:val="28"/>
        </w:rPr>
        <w:t> </w:t>
      </w:r>
      <w:r>
        <w:rPr>
          <w:sz w:val="28"/>
        </w:rPr>
        <w:t>định tại khoản 1 Điều này</w:t>
      </w:r>
      <w:r>
        <w:rPr>
          <w:spacing w:val="-1"/>
          <w:sz w:val="28"/>
        </w:rPr>
        <w:t> </w:t>
      </w:r>
      <w:r>
        <w:rPr>
          <w:sz w:val="28"/>
        </w:rPr>
        <w:t>được áp dụng trên 01 m</w:t>
      </w:r>
      <w:r>
        <w:rPr>
          <w:sz w:val="28"/>
          <w:vertAlign w:val="superscript"/>
        </w:rPr>
        <w:t>2</w:t>
      </w:r>
      <w:r>
        <w:rPr>
          <w:sz w:val="28"/>
          <w:vertAlign w:val="baseline"/>
        </w:rPr>
        <w:t> diện tích sàn sử</w:t>
      </w:r>
      <w:r>
        <w:rPr>
          <w:spacing w:val="-1"/>
          <w:sz w:val="28"/>
          <w:vertAlign w:val="baseline"/>
        </w:rPr>
        <w:t> </w:t>
      </w:r>
      <w:r>
        <w:rPr>
          <w:sz w:val="28"/>
          <w:vertAlign w:val="baseline"/>
        </w:rPr>
        <w:t>dụng, thuộc sở hữu riêng của chủ căn hộ hoặc diện tích sàn sử dụng thuộc phần sở hữu riêng khác (nếu có).</w:t>
      </w:r>
    </w:p>
    <w:p>
      <w:pPr>
        <w:pStyle w:val="ListParagraph"/>
        <w:numPr>
          <w:ilvl w:val="0"/>
          <w:numId w:val="3"/>
        </w:numPr>
        <w:tabs>
          <w:tab w:pos="1146" w:val="left" w:leader="none"/>
        </w:tabs>
        <w:spacing w:line="288" w:lineRule="auto" w:before="121" w:after="0"/>
        <w:ind w:left="143" w:right="139" w:firstLine="719"/>
        <w:jc w:val="both"/>
        <w:rPr>
          <w:sz w:val="28"/>
        </w:rPr>
      </w:pPr>
      <w:r>
        <w:rPr>
          <w:sz w:val="28"/>
        </w:rPr>
        <w:t>Khung giá dịch vụ quản lý vận hành nhà chung cư quy</w:t>
      </w:r>
      <w:r>
        <w:rPr>
          <w:spacing w:val="-1"/>
          <w:sz w:val="28"/>
        </w:rPr>
        <w:t> </w:t>
      </w:r>
      <w:r>
        <w:rPr>
          <w:sz w:val="28"/>
        </w:rPr>
        <w:t>định tại khoản 1 Điều</w:t>
      </w:r>
      <w:r>
        <w:rPr>
          <w:spacing w:val="21"/>
          <w:sz w:val="28"/>
        </w:rPr>
        <w:t> </w:t>
      </w:r>
      <w:r>
        <w:rPr>
          <w:sz w:val="28"/>
        </w:rPr>
        <w:t>này</w:t>
      </w:r>
      <w:r>
        <w:rPr>
          <w:spacing w:val="17"/>
          <w:sz w:val="28"/>
        </w:rPr>
        <w:t> </w:t>
      </w:r>
      <w:r>
        <w:rPr>
          <w:sz w:val="28"/>
        </w:rPr>
        <w:t>không</w:t>
      </w:r>
      <w:r>
        <w:rPr>
          <w:spacing w:val="20"/>
          <w:sz w:val="28"/>
        </w:rPr>
        <w:t> </w:t>
      </w:r>
      <w:r>
        <w:rPr>
          <w:sz w:val="28"/>
        </w:rPr>
        <w:t>bao</w:t>
      </w:r>
      <w:r>
        <w:rPr>
          <w:spacing w:val="18"/>
          <w:sz w:val="28"/>
        </w:rPr>
        <w:t> </w:t>
      </w:r>
      <w:r>
        <w:rPr>
          <w:sz w:val="28"/>
        </w:rPr>
        <w:t>gồm</w:t>
      </w:r>
      <w:r>
        <w:rPr>
          <w:spacing w:val="18"/>
          <w:sz w:val="28"/>
        </w:rPr>
        <w:t> </w:t>
      </w:r>
      <w:r>
        <w:rPr>
          <w:sz w:val="28"/>
        </w:rPr>
        <w:t>các</w:t>
      </w:r>
      <w:r>
        <w:rPr>
          <w:spacing w:val="20"/>
          <w:sz w:val="28"/>
        </w:rPr>
        <w:t> </w:t>
      </w:r>
      <w:r>
        <w:rPr>
          <w:sz w:val="28"/>
        </w:rPr>
        <w:t>chi</w:t>
      </w:r>
      <w:r>
        <w:rPr>
          <w:spacing w:val="21"/>
          <w:sz w:val="28"/>
        </w:rPr>
        <w:t> </w:t>
      </w:r>
      <w:r>
        <w:rPr>
          <w:sz w:val="28"/>
        </w:rPr>
        <w:t>phí</w:t>
      </w:r>
      <w:r>
        <w:rPr>
          <w:spacing w:val="22"/>
          <w:sz w:val="28"/>
        </w:rPr>
        <w:t> </w:t>
      </w:r>
      <w:r>
        <w:rPr>
          <w:sz w:val="28"/>
        </w:rPr>
        <w:t>mua</w:t>
      </w:r>
      <w:r>
        <w:rPr>
          <w:spacing w:val="20"/>
          <w:sz w:val="28"/>
        </w:rPr>
        <w:t> </w:t>
      </w:r>
      <w:r>
        <w:rPr>
          <w:sz w:val="28"/>
        </w:rPr>
        <w:t>bảo</w:t>
      </w:r>
      <w:r>
        <w:rPr>
          <w:spacing w:val="21"/>
          <w:sz w:val="28"/>
        </w:rPr>
        <w:t> </w:t>
      </w:r>
      <w:r>
        <w:rPr>
          <w:sz w:val="28"/>
        </w:rPr>
        <w:t>hiểm</w:t>
      </w:r>
      <w:r>
        <w:rPr>
          <w:spacing w:val="15"/>
          <w:sz w:val="28"/>
        </w:rPr>
        <w:t> </w:t>
      </w:r>
      <w:r>
        <w:rPr>
          <w:sz w:val="28"/>
        </w:rPr>
        <w:t>cháy,</w:t>
      </w:r>
      <w:r>
        <w:rPr>
          <w:spacing w:val="21"/>
          <w:sz w:val="28"/>
        </w:rPr>
        <w:t> </w:t>
      </w:r>
      <w:r>
        <w:rPr>
          <w:sz w:val="28"/>
        </w:rPr>
        <w:t>nổ,</w:t>
      </w:r>
      <w:r>
        <w:rPr>
          <w:spacing w:val="19"/>
          <w:sz w:val="28"/>
        </w:rPr>
        <w:t> </w:t>
      </w:r>
      <w:r>
        <w:rPr>
          <w:sz w:val="28"/>
        </w:rPr>
        <w:t>kinh</w:t>
      </w:r>
      <w:r>
        <w:rPr>
          <w:spacing w:val="20"/>
          <w:sz w:val="28"/>
        </w:rPr>
        <w:t> </w:t>
      </w:r>
      <w:r>
        <w:rPr>
          <w:sz w:val="28"/>
        </w:rPr>
        <w:t>phí</w:t>
      </w:r>
      <w:r>
        <w:rPr>
          <w:spacing w:val="20"/>
          <w:sz w:val="28"/>
        </w:rPr>
        <w:t> </w:t>
      </w:r>
      <w:r>
        <w:rPr>
          <w:sz w:val="28"/>
        </w:rPr>
        <w:t>bảo</w:t>
      </w:r>
      <w:r>
        <w:rPr>
          <w:spacing w:val="21"/>
          <w:sz w:val="28"/>
        </w:rPr>
        <w:t> </w:t>
      </w:r>
      <w:r>
        <w:rPr>
          <w:sz w:val="28"/>
        </w:rPr>
        <w:t>trì,</w:t>
      </w:r>
    </w:p>
    <w:p>
      <w:pPr>
        <w:pStyle w:val="ListParagraph"/>
        <w:spacing w:after="0" w:line="288" w:lineRule="auto"/>
        <w:jc w:val="both"/>
        <w:rPr>
          <w:sz w:val="28"/>
        </w:rPr>
        <w:sectPr>
          <w:headerReference w:type="default" r:id="rId5"/>
          <w:pgSz w:w="11910" w:h="16850"/>
          <w:pgMar w:header="724" w:footer="0" w:top="1040" w:bottom="280" w:left="1559" w:right="992"/>
          <w:pgNumType w:start="2"/>
        </w:sectPr>
      </w:pPr>
    </w:p>
    <w:p>
      <w:pPr>
        <w:pStyle w:val="BodyText"/>
        <w:spacing w:line="288" w:lineRule="auto" w:before="79"/>
        <w:ind w:right="137" w:firstLine="0"/>
      </w:pPr>
      <w:r>
        <w:rPr/>
        <w:t>chi phí trông giữ xe, chi phí sử dụng nhiên liệu, năng lượng, nước sinh hoạt,</w:t>
      </w:r>
      <w:r>
        <w:rPr>
          <w:spacing w:val="40"/>
        </w:rPr>
        <w:t> </w:t>
      </w:r>
      <w:r>
        <w:rPr/>
        <w:t>dịch vụ truyền hình,</w:t>
      </w:r>
      <w:r>
        <w:rPr>
          <w:spacing w:val="-1"/>
        </w:rPr>
        <w:t> </w:t>
      </w:r>
      <w:r>
        <w:rPr/>
        <w:t>thông tin liên lạc,</w:t>
      </w:r>
      <w:r>
        <w:rPr>
          <w:spacing w:val="-1"/>
        </w:rPr>
        <w:t> </w:t>
      </w:r>
      <w:r>
        <w:rPr/>
        <w:t>thù</w:t>
      </w:r>
      <w:r>
        <w:rPr>
          <w:spacing w:val="-1"/>
        </w:rPr>
        <w:t> </w:t>
      </w:r>
      <w:r>
        <w:rPr/>
        <w:t>lao cho Ban Quản</w:t>
      </w:r>
      <w:r>
        <w:rPr>
          <w:spacing w:val="-1"/>
        </w:rPr>
        <w:t> </w:t>
      </w:r>
      <w:r>
        <w:rPr/>
        <w:t>trị</w:t>
      </w:r>
      <w:r>
        <w:rPr>
          <w:spacing w:val="-1"/>
        </w:rPr>
        <w:t> </w:t>
      </w:r>
      <w:r>
        <w:rPr/>
        <w:t>nhà</w:t>
      </w:r>
      <w:r>
        <w:rPr>
          <w:spacing w:val="-1"/>
        </w:rPr>
        <w:t> </w:t>
      </w:r>
      <w:r>
        <w:rPr/>
        <w:t>chung cư</w:t>
      </w:r>
      <w:r>
        <w:rPr>
          <w:spacing w:val="-2"/>
        </w:rPr>
        <w:t> </w:t>
      </w:r>
      <w:r>
        <w:rPr/>
        <w:t>và chi phí dịch vụ khác phục vụ cho việc sử dụng riêng của chủ sở hữu, người sử dụng nhà chung cư.</w:t>
      </w:r>
    </w:p>
    <w:p>
      <w:pPr>
        <w:pStyle w:val="Heading1"/>
        <w:spacing w:before="125"/>
      </w:pPr>
      <w:r>
        <w:rPr/>
        <w:t>Điều</w:t>
      </w:r>
      <w:r>
        <w:rPr>
          <w:spacing w:val="-4"/>
        </w:rPr>
        <w:t> </w:t>
      </w:r>
      <w:r>
        <w:rPr/>
        <w:t>4.</w:t>
      </w:r>
      <w:r>
        <w:rPr>
          <w:spacing w:val="-4"/>
        </w:rPr>
        <w:t> </w:t>
      </w:r>
      <w:r>
        <w:rPr/>
        <w:t>Tổ</w:t>
      </w:r>
      <w:r>
        <w:rPr>
          <w:spacing w:val="-2"/>
        </w:rPr>
        <w:t> </w:t>
      </w:r>
      <w:r>
        <w:rPr/>
        <w:t>chức</w:t>
      </w:r>
      <w:r>
        <w:rPr>
          <w:spacing w:val="-3"/>
        </w:rPr>
        <w:t> </w:t>
      </w:r>
      <w:r>
        <w:rPr/>
        <w:t>thực</w:t>
      </w:r>
      <w:r>
        <w:rPr>
          <w:spacing w:val="-3"/>
        </w:rPr>
        <w:t> </w:t>
      </w:r>
      <w:r>
        <w:rPr>
          <w:spacing w:val="-4"/>
        </w:rPr>
        <w:t>hiện</w:t>
      </w:r>
    </w:p>
    <w:p>
      <w:pPr>
        <w:pStyle w:val="ListParagraph"/>
        <w:numPr>
          <w:ilvl w:val="0"/>
          <w:numId w:val="4"/>
        </w:numPr>
        <w:tabs>
          <w:tab w:pos="1155" w:val="left" w:leader="none"/>
        </w:tabs>
        <w:spacing w:line="288" w:lineRule="auto" w:before="179" w:after="0"/>
        <w:ind w:left="143" w:right="136" w:firstLine="719"/>
        <w:jc w:val="both"/>
        <w:rPr>
          <w:sz w:val="28"/>
        </w:rPr>
      </w:pPr>
      <w:r>
        <w:rPr>
          <w:sz w:val="28"/>
        </w:rPr>
        <w:t>Sở Xây dựng có trách nhiệm công khai khung giá dịch vụ quản lý vận hành nhà chung cư ban hành tại Quyết định này; hướng dẫn, yêu cầu đơn vị</w:t>
      </w:r>
      <w:r>
        <w:rPr>
          <w:spacing w:val="40"/>
          <w:sz w:val="28"/>
        </w:rPr>
        <w:t> </w:t>
      </w:r>
      <w:r>
        <w:rPr>
          <w:sz w:val="28"/>
        </w:rPr>
        <w:t>quản lý vận hành và Ban Quản trị nhà chung cư thực hiện công khai, minh bạch mức giá và các chi phí cấu thành để người sử dụng dịch vụ biết, giám sát. Tiếp nhận, xử</w:t>
      </w:r>
      <w:r>
        <w:rPr>
          <w:spacing w:val="-2"/>
          <w:sz w:val="28"/>
        </w:rPr>
        <w:t> </w:t>
      </w:r>
      <w:r>
        <w:rPr>
          <w:sz w:val="28"/>
        </w:rPr>
        <w:t>lý theo thẩm</w:t>
      </w:r>
      <w:r>
        <w:rPr>
          <w:spacing w:val="-5"/>
          <w:sz w:val="28"/>
        </w:rPr>
        <w:t> </w:t>
      </w:r>
      <w:r>
        <w:rPr>
          <w:sz w:val="28"/>
        </w:rPr>
        <w:t>quyền hoặc</w:t>
      </w:r>
      <w:r>
        <w:rPr>
          <w:spacing w:val="-1"/>
          <w:sz w:val="28"/>
        </w:rPr>
        <w:t> </w:t>
      </w:r>
      <w:r>
        <w:rPr>
          <w:sz w:val="28"/>
        </w:rPr>
        <w:t>tổng hợp, báo cáo cơ</w:t>
      </w:r>
      <w:r>
        <w:rPr>
          <w:spacing w:val="-1"/>
          <w:sz w:val="28"/>
        </w:rPr>
        <w:t> </w:t>
      </w:r>
      <w:r>
        <w:rPr>
          <w:sz w:val="28"/>
        </w:rPr>
        <w:t>quan có thẩm</w:t>
      </w:r>
      <w:r>
        <w:rPr>
          <w:spacing w:val="-5"/>
          <w:sz w:val="28"/>
        </w:rPr>
        <w:t> </w:t>
      </w:r>
      <w:r>
        <w:rPr>
          <w:sz w:val="28"/>
        </w:rPr>
        <w:t>quyền giải quyết các phản ánh, kiến nghị liên quan. Định kỳ rà soát, tham mưu Ủy ban</w:t>
      </w:r>
      <w:r>
        <w:rPr>
          <w:spacing w:val="40"/>
          <w:sz w:val="28"/>
        </w:rPr>
        <w:t> </w:t>
      </w:r>
      <w:r>
        <w:rPr>
          <w:sz w:val="28"/>
        </w:rPr>
        <w:t>nhân dân tỉnh điều chỉnh khung giá khi có biến động hoặc không còn phù hợp với thực tế.</w:t>
      </w:r>
    </w:p>
    <w:p>
      <w:pPr>
        <w:pStyle w:val="ListParagraph"/>
        <w:numPr>
          <w:ilvl w:val="0"/>
          <w:numId w:val="4"/>
        </w:numPr>
        <w:tabs>
          <w:tab w:pos="1150" w:val="left" w:leader="none"/>
        </w:tabs>
        <w:spacing w:line="288" w:lineRule="auto" w:before="121" w:after="0"/>
        <w:ind w:left="143" w:right="135" w:firstLine="719"/>
        <w:jc w:val="both"/>
        <w:rPr>
          <w:sz w:val="28"/>
        </w:rPr>
      </w:pPr>
      <w:r>
        <w:rPr>
          <w:sz w:val="28"/>
        </w:rPr>
        <w:t>Ủy ban nhân dân các xã, phường tổ chức tuyên truyền, phổ biến khung giá dịch vụ quản lý vận hành nhà chung cư ban hành theo Quyết định này đến các tổ chức, cá nhân liên quan đến công tác quản lý, sử dụng nhà chung cư trên địa</w:t>
      </w:r>
      <w:r>
        <w:rPr>
          <w:spacing w:val="-5"/>
          <w:sz w:val="28"/>
        </w:rPr>
        <w:t> </w:t>
      </w:r>
      <w:r>
        <w:rPr>
          <w:sz w:val="28"/>
        </w:rPr>
        <w:t>bàn;</w:t>
      </w:r>
      <w:r>
        <w:rPr>
          <w:spacing w:val="-4"/>
          <w:sz w:val="28"/>
        </w:rPr>
        <w:t> </w:t>
      </w:r>
      <w:r>
        <w:rPr>
          <w:sz w:val="28"/>
        </w:rPr>
        <w:t>tổng</w:t>
      </w:r>
      <w:r>
        <w:rPr>
          <w:spacing w:val="-1"/>
          <w:sz w:val="28"/>
        </w:rPr>
        <w:t> </w:t>
      </w:r>
      <w:r>
        <w:rPr>
          <w:sz w:val="28"/>
        </w:rPr>
        <w:t>hợp</w:t>
      </w:r>
      <w:r>
        <w:rPr>
          <w:spacing w:val="-2"/>
          <w:sz w:val="28"/>
        </w:rPr>
        <w:t> </w:t>
      </w:r>
      <w:r>
        <w:rPr>
          <w:sz w:val="28"/>
        </w:rPr>
        <w:t>báo</w:t>
      </w:r>
      <w:r>
        <w:rPr>
          <w:spacing w:val="-3"/>
          <w:sz w:val="28"/>
        </w:rPr>
        <w:t> </w:t>
      </w:r>
      <w:r>
        <w:rPr>
          <w:sz w:val="28"/>
        </w:rPr>
        <w:t>cáo</w:t>
      </w:r>
      <w:r>
        <w:rPr>
          <w:spacing w:val="-2"/>
          <w:sz w:val="28"/>
        </w:rPr>
        <w:t> </w:t>
      </w:r>
      <w:r>
        <w:rPr>
          <w:sz w:val="28"/>
        </w:rPr>
        <w:t>các</w:t>
      </w:r>
      <w:r>
        <w:rPr>
          <w:spacing w:val="-5"/>
          <w:sz w:val="28"/>
        </w:rPr>
        <w:t> </w:t>
      </w:r>
      <w:r>
        <w:rPr>
          <w:sz w:val="28"/>
        </w:rPr>
        <w:t>vướng</w:t>
      </w:r>
      <w:r>
        <w:rPr>
          <w:spacing w:val="-1"/>
          <w:sz w:val="28"/>
        </w:rPr>
        <w:t> </w:t>
      </w:r>
      <w:r>
        <w:rPr>
          <w:sz w:val="28"/>
        </w:rPr>
        <w:t>mắc,</w:t>
      </w:r>
      <w:r>
        <w:rPr>
          <w:spacing w:val="-1"/>
          <w:sz w:val="28"/>
        </w:rPr>
        <w:t> </w:t>
      </w:r>
      <w:r>
        <w:rPr>
          <w:sz w:val="28"/>
        </w:rPr>
        <w:t>phát</w:t>
      </w:r>
      <w:r>
        <w:rPr>
          <w:spacing w:val="-4"/>
          <w:sz w:val="28"/>
        </w:rPr>
        <w:t> </w:t>
      </w:r>
      <w:r>
        <w:rPr>
          <w:sz w:val="28"/>
        </w:rPr>
        <w:t>sinh,</w:t>
      </w:r>
      <w:r>
        <w:rPr>
          <w:spacing w:val="-2"/>
          <w:sz w:val="28"/>
        </w:rPr>
        <w:t> </w:t>
      </w:r>
      <w:r>
        <w:rPr>
          <w:sz w:val="28"/>
        </w:rPr>
        <w:t>đề</w:t>
      </w:r>
      <w:r>
        <w:rPr>
          <w:spacing w:val="-2"/>
          <w:sz w:val="28"/>
        </w:rPr>
        <w:t> </w:t>
      </w:r>
      <w:r>
        <w:rPr>
          <w:sz w:val="28"/>
        </w:rPr>
        <w:t>xuất,</w:t>
      </w:r>
      <w:r>
        <w:rPr>
          <w:spacing w:val="-3"/>
          <w:sz w:val="28"/>
        </w:rPr>
        <w:t> </w:t>
      </w:r>
      <w:r>
        <w:rPr>
          <w:sz w:val="28"/>
        </w:rPr>
        <w:t>kiến</w:t>
      </w:r>
      <w:r>
        <w:rPr>
          <w:spacing w:val="-1"/>
          <w:sz w:val="28"/>
        </w:rPr>
        <w:t> </w:t>
      </w:r>
      <w:r>
        <w:rPr>
          <w:sz w:val="28"/>
        </w:rPr>
        <w:t>nghị</w:t>
      </w:r>
      <w:r>
        <w:rPr>
          <w:spacing w:val="-4"/>
          <w:sz w:val="28"/>
        </w:rPr>
        <w:t> </w:t>
      </w:r>
      <w:r>
        <w:rPr>
          <w:sz w:val="28"/>
        </w:rPr>
        <w:t>liên</w:t>
      </w:r>
      <w:r>
        <w:rPr>
          <w:spacing w:val="-3"/>
          <w:sz w:val="28"/>
        </w:rPr>
        <w:t> </w:t>
      </w:r>
      <w:r>
        <w:rPr>
          <w:sz w:val="28"/>
        </w:rPr>
        <w:t>quan đến giá dịch vụ quản lý vận hành nhà chung cư, gửi Sở Xây dựng tổng hợp, báo cáo Ủy ban nhân dân tỉnh.</w:t>
      </w:r>
    </w:p>
    <w:p>
      <w:pPr>
        <w:pStyle w:val="ListParagraph"/>
        <w:numPr>
          <w:ilvl w:val="0"/>
          <w:numId w:val="4"/>
        </w:numPr>
        <w:tabs>
          <w:tab w:pos="1162" w:val="left" w:leader="none"/>
        </w:tabs>
        <w:spacing w:line="288" w:lineRule="auto" w:before="121" w:after="0"/>
        <w:ind w:left="143" w:right="136" w:firstLine="719"/>
        <w:jc w:val="both"/>
        <w:rPr>
          <w:sz w:val="28"/>
        </w:rPr>
      </w:pPr>
      <w:r>
        <w:rPr>
          <w:sz w:val="28"/>
        </w:rPr>
        <w:t>Ban Quản trị nhà chung cư có trách nhiệm đề xuất, xây dựng phương</w:t>
      </w:r>
      <w:r>
        <w:rPr>
          <w:spacing w:val="40"/>
          <w:sz w:val="28"/>
        </w:rPr>
        <w:t> </w:t>
      </w:r>
      <w:r>
        <w:rPr>
          <w:sz w:val="28"/>
        </w:rPr>
        <w:t>án giá dịch vụ quản lý vận hành phù hợp với khung giá tại Quyết định này, trình Hội nghị nhà chung cư quyết định; công khai, minh bạch các chi phí cấu thành giá. Tổ chức ký kết, giám sát thực hiện hợp đồng dịch vụ theo mức giá đã được thông qua, bảo đảm không vượt khung giá quy định. Quản lý, giám sát việc thu, chi kinh phí; báo cáo Hội nghị nhà chung cư, kịp thời đề xuất điều chỉnh khi có biến động.</w:t>
      </w:r>
    </w:p>
    <w:p>
      <w:pPr>
        <w:pStyle w:val="ListParagraph"/>
        <w:numPr>
          <w:ilvl w:val="0"/>
          <w:numId w:val="4"/>
        </w:numPr>
        <w:tabs>
          <w:tab w:pos="1146" w:val="left" w:leader="none"/>
        </w:tabs>
        <w:spacing w:line="288" w:lineRule="auto" w:before="120" w:after="0"/>
        <w:ind w:left="143" w:right="132" w:firstLine="719"/>
        <w:jc w:val="both"/>
        <w:rPr>
          <w:sz w:val="28"/>
        </w:rPr>
      </w:pPr>
      <w:r>
        <w:rPr>
          <w:sz w:val="28"/>
        </w:rPr>
        <w:t>Chủ đầu tư dự án xây dựng nhà chung cư, đơn vị quản lý vận hành nhà chung cư thực hiện thu kinh phí dịch vụ quản lý vận hành nhà chung cư từ chủ sở hữu, người sử dụng nhà ở theo quy định của pháp luật và Quyết định này.</w:t>
      </w:r>
    </w:p>
    <w:p>
      <w:pPr>
        <w:pStyle w:val="ListParagraph"/>
        <w:numPr>
          <w:ilvl w:val="0"/>
          <w:numId w:val="4"/>
        </w:numPr>
        <w:tabs>
          <w:tab w:pos="1146" w:val="left" w:leader="none"/>
        </w:tabs>
        <w:spacing w:line="288" w:lineRule="auto" w:before="121" w:after="0"/>
        <w:ind w:left="143" w:right="134" w:firstLine="719"/>
        <w:jc w:val="both"/>
        <w:rPr>
          <w:sz w:val="28"/>
        </w:rPr>
      </w:pPr>
      <w:r>
        <w:rPr>
          <w:sz w:val="28"/>
        </w:rPr>
        <w:t>Chủ sở hữu, người sử dụng nhà chung cư có trách nhiệm</w:t>
      </w:r>
      <w:r>
        <w:rPr>
          <w:spacing w:val="-1"/>
          <w:sz w:val="28"/>
        </w:rPr>
        <w:t> </w:t>
      </w:r>
      <w:r>
        <w:rPr>
          <w:sz w:val="28"/>
        </w:rPr>
        <w:t>đóng kinh phí quản lý vận hành nhà chung cư theo quy định tại khoản 1, khoản 4 Điều 30 Quy chế quản lý, sử dụng nhà chung cư ban hành kèm</w:t>
      </w:r>
      <w:r>
        <w:rPr>
          <w:spacing w:val="-1"/>
          <w:sz w:val="28"/>
        </w:rPr>
        <w:t> </w:t>
      </w:r>
      <w:r>
        <w:rPr>
          <w:sz w:val="28"/>
        </w:rPr>
        <w:t>theo Thông tư số 05/2024/TT-BXD ngày 31 tháng 7 năm 2024 của Bộ trưởng Bộ Xây dựng quy định chi tiết một số điều của Luật Nhà ở.</w:t>
      </w:r>
    </w:p>
    <w:p>
      <w:pPr>
        <w:pStyle w:val="Heading1"/>
        <w:spacing w:before="125"/>
      </w:pPr>
      <w:r>
        <w:rPr/>
        <w:t>Điều</w:t>
      </w:r>
      <w:r>
        <w:rPr>
          <w:spacing w:val="-4"/>
        </w:rPr>
        <w:t> </w:t>
      </w:r>
      <w:r>
        <w:rPr/>
        <w:t>5.</w:t>
      </w:r>
      <w:r>
        <w:rPr>
          <w:spacing w:val="-3"/>
        </w:rPr>
        <w:t> </w:t>
      </w:r>
      <w:r>
        <w:rPr/>
        <w:t>Điều</w:t>
      </w:r>
      <w:r>
        <w:rPr>
          <w:spacing w:val="-3"/>
        </w:rPr>
        <w:t> </w:t>
      </w:r>
      <w:r>
        <w:rPr/>
        <w:t>khoản</w:t>
      </w:r>
      <w:r>
        <w:rPr>
          <w:spacing w:val="-3"/>
        </w:rPr>
        <w:t> </w:t>
      </w:r>
      <w:r>
        <w:rPr/>
        <w:t>thi</w:t>
      </w:r>
      <w:r>
        <w:rPr>
          <w:spacing w:val="-2"/>
        </w:rPr>
        <w:t> </w:t>
      </w:r>
      <w:r>
        <w:rPr>
          <w:spacing w:val="-4"/>
        </w:rPr>
        <w:t>hành</w:t>
      </w:r>
    </w:p>
    <w:p>
      <w:pPr>
        <w:pStyle w:val="Heading1"/>
        <w:spacing w:after="0"/>
        <w:sectPr>
          <w:pgSz w:w="11910" w:h="16850"/>
          <w:pgMar w:header="724" w:footer="0" w:top="1040" w:bottom="280" w:left="1559" w:right="992"/>
        </w:sectPr>
      </w:pPr>
    </w:p>
    <w:p>
      <w:pPr>
        <w:pStyle w:val="ListParagraph"/>
        <w:numPr>
          <w:ilvl w:val="0"/>
          <w:numId w:val="5"/>
        </w:numPr>
        <w:tabs>
          <w:tab w:pos="1141" w:val="left" w:leader="none"/>
        </w:tabs>
        <w:spacing w:line="240" w:lineRule="auto" w:before="79" w:after="0"/>
        <w:ind w:left="1141" w:right="0" w:hanging="279"/>
        <w:jc w:val="both"/>
        <w:rPr>
          <w:sz w:val="28"/>
        </w:rPr>
      </w:pPr>
      <w:r>
        <w:rPr>
          <w:sz w:val="28"/>
        </w:rPr>
        <w:t>Quyết</w:t>
      </w:r>
      <w:r>
        <w:rPr>
          <w:spacing w:val="-3"/>
          <w:sz w:val="28"/>
        </w:rPr>
        <w:t> </w:t>
      </w:r>
      <w:r>
        <w:rPr>
          <w:sz w:val="28"/>
        </w:rPr>
        <w:t>định này</w:t>
      </w:r>
      <w:r>
        <w:rPr>
          <w:spacing w:val="-5"/>
          <w:sz w:val="28"/>
        </w:rPr>
        <w:t> </w:t>
      </w:r>
      <w:r>
        <w:rPr>
          <w:sz w:val="28"/>
        </w:rPr>
        <w:t>có</w:t>
      </w:r>
      <w:r>
        <w:rPr>
          <w:spacing w:val="-1"/>
          <w:sz w:val="28"/>
        </w:rPr>
        <w:t> </w:t>
      </w:r>
      <w:r>
        <w:rPr>
          <w:sz w:val="28"/>
        </w:rPr>
        <w:t>hiệu</w:t>
      </w:r>
      <w:r>
        <w:rPr>
          <w:spacing w:val="-4"/>
          <w:sz w:val="28"/>
        </w:rPr>
        <w:t> </w:t>
      </w:r>
      <w:r>
        <w:rPr>
          <w:sz w:val="28"/>
        </w:rPr>
        <w:t>lực</w:t>
      </w:r>
      <w:r>
        <w:rPr>
          <w:spacing w:val="-2"/>
          <w:sz w:val="28"/>
        </w:rPr>
        <w:t> </w:t>
      </w:r>
      <w:r>
        <w:rPr>
          <w:sz w:val="28"/>
        </w:rPr>
        <w:t>kể</w:t>
      </w:r>
      <w:r>
        <w:rPr>
          <w:spacing w:val="-4"/>
          <w:sz w:val="28"/>
        </w:rPr>
        <w:t> </w:t>
      </w:r>
      <w:r>
        <w:rPr>
          <w:sz w:val="28"/>
        </w:rPr>
        <w:t>từ</w:t>
      </w:r>
      <w:r>
        <w:rPr>
          <w:spacing w:val="-3"/>
          <w:sz w:val="28"/>
        </w:rPr>
        <w:t> </w:t>
      </w:r>
      <w:r>
        <w:rPr>
          <w:sz w:val="28"/>
        </w:rPr>
        <w:t>ngày 01</w:t>
      </w:r>
      <w:r>
        <w:rPr>
          <w:spacing w:val="-1"/>
          <w:sz w:val="28"/>
        </w:rPr>
        <w:t> </w:t>
      </w:r>
      <w:r>
        <w:rPr>
          <w:sz w:val="28"/>
        </w:rPr>
        <w:t>tháng</w:t>
      </w:r>
      <w:r>
        <w:rPr>
          <w:spacing w:val="-3"/>
          <w:sz w:val="28"/>
        </w:rPr>
        <w:t> </w:t>
      </w:r>
      <w:r>
        <w:rPr>
          <w:sz w:val="28"/>
        </w:rPr>
        <w:t>7 năm</w:t>
      </w:r>
      <w:r>
        <w:rPr>
          <w:spacing w:val="-6"/>
          <w:sz w:val="28"/>
        </w:rPr>
        <w:t> </w:t>
      </w:r>
      <w:r>
        <w:rPr>
          <w:spacing w:val="-2"/>
          <w:sz w:val="28"/>
        </w:rPr>
        <w:t>2026.</w:t>
      </w:r>
    </w:p>
    <w:p>
      <w:pPr>
        <w:pStyle w:val="ListParagraph"/>
        <w:numPr>
          <w:ilvl w:val="0"/>
          <w:numId w:val="5"/>
        </w:numPr>
        <w:tabs>
          <w:tab w:pos="1152" w:val="left" w:leader="none"/>
        </w:tabs>
        <w:spacing w:line="288" w:lineRule="auto" w:before="184" w:after="0"/>
        <w:ind w:left="143" w:right="134" w:firstLine="719"/>
        <w:jc w:val="both"/>
        <w:rPr>
          <w:sz w:val="28"/>
        </w:rPr>
      </w:pPr>
      <w:r>
        <w:rPr>
          <w:sz w:val="28"/>
        </w:rPr>
        <w:drawing>
          <wp:anchor distT="0" distB="0" distL="0" distR="0" allowOverlap="1" layoutInCell="1" locked="0" behindDoc="0" simplePos="0" relativeHeight="15730688">
            <wp:simplePos x="0" y="0"/>
            <wp:positionH relativeFrom="page">
              <wp:posOffset>4549001</wp:posOffset>
            </wp:positionH>
            <wp:positionV relativeFrom="paragraph">
              <wp:posOffset>1695775</wp:posOffset>
            </wp:positionV>
            <wp:extent cx="2372445" cy="998967"/>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2372445" cy="998967"/>
                    </a:xfrm>
                    <a:prstGeom prst="rect">
                      <a:avLst/>
                    </a:prstGeom>
                  </pic:spPr>
                </pic:pic>
              </a:graphicData>
            </a:graphic>
          </wp:anchor>
        </w:drawing>
      </w:r>
      <w:r>
        <w:rPr>
          <w:sz w:val="28"/>
        </w:rPr>
        <w:t>Chánh Văn phòng Ủy ban nhân dân tỉnh, Giám đốc Sở Xây dựng, Thủ trưởng các</w:t>
      </w:r>
      <w:r>
        <w:rPr>
          <w:spacing w:val="-2"/>
          <w:sz w:val="28"/>
        </w:rPr>
        <w:t> </w:t>
      </w:r>
      <w:r>
        <w:rPr>
          <w:sz w:val="28"/>
        </w:rPr>
        <w:t>sở,</w:t>
      </w:r>
      <w:r>
        <w:rPr>
          <w:spacing w:val="-1"/>
          <w:sz w:val="28"/>
        </w:rPr>
        <w:t> </w:t>
      </w:r>
      <w:r>
        <w:rPr>
          <w:sz w:val="28"/>
        </w:rPr>
        <w:t>ban,</w:t>
      </w:r>
      <w:r>
        <w:rPr>
          <w:spacing w:val="-1"/>
          <w:sz w:val="28"/>
        </w:rPr>
        <w:t> </w:t>
      </w:r>
      <w:r>
        <w:rPr>
          <w:sz w:val="28"/>
        </w:rPr>
        <w:t>ngành tỉnh; Chủ tịch Ủy</w:t>
      </w:r>
      <w:r>
        <w:rPr>
          <w:spacing w:val="-2"/>
          <w:sz w:val="28"/>
        </w:rPr>
        <w:t> </w:t>
      </w:r>
      <w:r>
        <w:rPr>
          <w:sz w:val="28"/>
        </w:rPr>
        <w:t>ban nhân dân các</w:t>
      </w:r>
      <w:r>
        <w:rPr>
          <w:spacing w:val="-2"/>
          <w:sz w:val="28"/>
        </w:rPr>
        <w:t> </w:t>
      </w:r>
      <w:r>
        <w:rPr>
          <w:sz w:val="28"/>
        </w:rPr>
        <w:t>xã,</w:t>
      </w:r>
      <w:r>
        <w:rPr>
          <w:spacing w:val="-1"/>
          <w:sz w:val="28"/>
        </w:rPr>
        <w:t> </w:t>
      </w:r>
      <w:r>
        <w:rPr>
          <w:sz w:val="28"/>
        </w:rPr>
        <w:t>phường</w:t>
      </w:r>
      <w:r>
        <w:rPr>
          <w:spacing w:val="-1"/>
          <w:sz w:val="28"/>
        </w:rPr>
        <w:t> </w:t>
      </w:r>
      <w:r>
        <w:rPr>
          <w:sz w:val="28"/>
        </w:rPr>
        <w:t>và các tổ chức, cá nhân có liên quan chịu trách nhiệm thi hành Quyết định này./.</w:t>
      </w:r>
    </w:p>
    <w:p>
      <w:pPr>
        <w:pStyle w:val="BodyText"/>
        <w:spacing w:before="27"/>
        <w:ind w:left="0" w:firstLine="0"/>
        <w:jc w:val="left"/>
        <w:rPr>
          <w:sz w:val="20"/>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96"/>
        <w:gridCol w:w="3550"/>
      </w:tblGrid>
      <w:tr>
        <w:trPr>
          <w:trHeight w:val="3131" w:hRule="atLeast"/>
        </w:trPr>
        <w:tc>
          <w:tcPr>
            <w:tcW w:w="4896" w:type="dxa"/>
          </w:tcPr>
          <w:p>
            <w:pPr>
              <w:pStyle w:val="TableParagraph"/>
              <w:spacing w:line="264" w:lineRule="exact"/>
              <w:ind w:left="93"/>
              <w:rPr>
                <w:b/>
                <w:i/>
                <w:sz w:val="24"/>
              </w:rPr>
            </w:pPr>
            <w:r>
              <w:rPr>
                <w:b/>
                <w:i/>
                <w:sz w:val="24"/>
              </w:rPr>
              <w:t>Nơi</w:t>
            </w:r>
            <w:r>
              <w:rPr>
                <w:b/>
                <w:i/>
                <w:spacing w:val="-2"/>
                <w:sz w:val="24"/>
              </w:rPr>
              <w:t> nhận:</w:t>
            </w:r>
          </w:p>
          <w:p>
            <w:pPr>
              <w:pStyle w:val="TableParagraph"/>
              <w:numPr>
                <w:ilvl w:val="0"/>
                <w:numId w:val="6"/>
              </w:numPr>
              <w:tabs>
                <w:tab w:pos="176" w:val="left" w:leader="none"/>
              </w:tabs>
              <w:spacing w:line="252" w:lineRule="exact" w:before="0"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5;</w:t>
            </w:r>
          </w:p>
          <w:p>
            <w:pPr>
              <w:pStyle w:val="TableParagraph"/>
              <w:numPr>
                <w:ilvl w:val="0"/>
                <w:numId w:val="6"/>
              </w:numPr>
              <w:tabs>
                <w:tab w:pos="176" w:val="left" w:leader="none"/>
              </w:tabs>
              <w:spacing w:line="252" w:lineRule="exact" w:before="1" w:after="0"/>
              <w:ind w:left="176" w:right="0" w:hanging="126"/>
              <w:jc w:val="left"/>
              <w:rPr>
                <w:sz w:val="22"/>
              </w:rPr>
            </w:pPr>
            <w:r>
              <w:rPr>
                <w:sz w:val="22"/>
              </w:rPr>
              <w:t>Bộ Xây</w:t>
            </w:r>
            <w:r>
              <w:rPr>
                <w:spacing w:val="-2"/>
                <w:sz w:val="22"/>
              </w:rPr>
              <w:t> </w:t>
            </w:r>
            <w:r>
              <w:rPr>
                <w:sz w:val="22"/>
              </w:rPr>
              <w:t>dựng</w:t>
            </w:r>
            <w:r>
              <w:rPr>
                <w:spacing w:val="-2"/>
                <w:sz w:val="22"/>
              </w:rPr>
              <w:t> (b/c);</w:t>
            </w:r>
          </w:p>
          <w:p>
            <w:pPr>
              <w:pStyle w:val="TableParagraph"/>
              <w:numPr>
                <w:ilvl w:val="0"/>
                <w:numId w:val="6"/>
              </w:numPr>
              <w:tabs>
                <w:tab w:pos="176" w:val="left" w:leader="none"/>
              </w:tabs>
              <w:spacing w:line="252" w:lineRule="exact" w:before="0" w:after="0"/>
              <w:ind w:left="176" w:right="0" w:hanging="126"/>
              <w:jc w:val="left"/>
              <w:rPr>
                <w:sz w:val="22"/>
              </w:rPr>
            </w:pPr>
            <w:r>
              <w:rPr>
                <w:sz w:val="22"/>
              </w:rPr>
              <w:t>Cục</w:t>
            </w:r>
            <w:r>
              <w:rPr>
                <w:spacing w:val="-2"/>
                <w:sz w:val="22"/>
              </w:rPr>
              <w:t> </w:t>
            </w:r>
            <w:r>
              <w:rPr>
                <w:sz w:val="22"/>
              </w:rPr>
              <w:t>KTVB&amp;QLXL</w:t>
            </w:r>
            <w:r>
              <w:rPr>
                <w:spacing w:val="-4"/>
                <w:sz w:val="22"/>
              </w:rPr>
              <w:t> </w:t>
            </w:r>
            <w:r>
              <w:rPr>
                <w:sz w:val="22"/>
              </w:rPr>
              <w:t>VPHC -</w:t>
            </w:r>
            <w:r>
              <w:rPr>
                <w:spacing w:val="-5"/>
                <w:sz w:val="22"/>
              </w:rPr>
              <w:t> </w:t>
            </w:r>
            <w:r>
              <w:rPr>
                <w:sz w:val="22"/>
              </w:rPr>
              <w:t>Bộ</w:t>
            </w:r>
            <w:r>
              <w:rPr>
                <w:spacing w:val="-2"/>
                <w:sz w:val="22"/>
              </w:rPr>
              <w:t> </w:t>
            </w:r>
            <w:r>
              <w:rPr>
                <w:sz w:val="22"/>
              </w:rPr>
              <w:t>Tư</w:t>
            </w:r>
            <w:r>
              <w:rPr>
                <w:spacing w:val="-1"/>
                <w:sz w:val="22"/>
              </w:rPr>
              <w:t> </w:t>
            </w:r>
            <w:r>
              <w:rPr>
                <w:sz w:val="22"/>
              </w:rPr>
              <w:t>pháp</w:t>
            </w:r>
            <w:r>
              <w:rPr>
                <w:spacing w:val="-1"/>
                <w:sz w:val="22"/>
              </w:rPr>
              <w:t> </w:t>
            </w:r>
            <w:r>
              <w:rPr>
                <w:spacing w:val="-2"/>
                <w:sz w:val="22"/>
              </w:rPr>
              <w:t>(b/c);</w:t>
            </w:r>
          </w:p>
          <w:p>
            <w:pPr>
              <w:pStyle w:val="TableParagraph"/>
              <w:numPr>
                <w:ilvl w:val="0"/>
                <w:numId w:val="6"/>
              </w:numPr>
              <w:tabs>
                <w:tab w:pos="174" w:val="left" w:leader="none"/>
              </w:tabs>
              <w:spacing w:line="252" w:lineRule="exact" w:before="2" w:after="0"/>
              <w:ind w:left="174" w:right="0" w:hanging="124"/>
              <w:jc w:val="left"/>
              <w:rPr>
                <w:sz w:val="22"/>
              </w:rPr>
            </w:pPr>
            <w:r>
              <w:rPr>
                <w:sz w:val="22"/>
              </w:rPr>
              <w:t>TT.</w:t>
            </w:r>
            <w:r>
              <w:rPr>
                <w:spacing w:val="-3"/>
                <w:sz w:val="22"/>
              </w:rPr>
              <w:t> </w:t>
            </w:r>
            <w:r>
              <w:rPr>
                <w:sz w:val="22"/>
              </w:rPr>
              <w:t>Tỉnh ủy</w:t>
            </w:r>
            <w:r>
              <w:rPr>
                <w:spacing w:val="-3"/>
                <w:sz w:val="22"/>
              </w:rPr>
              <w:t> </w:t>
            </w:r>
            <w:r>
              <w:rPr>
                <w:spacing w:val="-2"/>
                <w:sz w:val="22"/>
              </w:rPr>
              <w:t>(b/c);</w:t>
            </w:r>
          </w:p>
          <w:p>
            <w:pPr>
              <w:pStyle w:val="TableParagraph"/>
              <w:numPr>
                <w:ilvl w:val="0"/>
                <w:numId w:val="6"/>
              </w:numPr>
              <w:tabs>
                <w:tab w:pos="174" w:val="left" w:leader="none"/>
              </w:tabs>
              <w:spacing w:line="252" w:lineRule="exact" w:before="0" w:after="0"/>
              <w:ind w:left="174" w:right="0" w:hanging="124"/>
              <w:jc w:val="left"/>
              <w:rPr>
                <w:sz w:val="22"/>
              </w:rPr>
            </w:pPr>
            <w:r>
              <w:rPr>
                <w:sz w:val="22"/>
              </w:rPr>
              <w:t>TT.</w:t>
            </w:r>
            <w:r>
              <w:rPr>
                <w:spacing w:val="-2"/>
                <w:sz w:val="22"/>
              </w:rPr>
              <w:t> </w:t>
            </w:r>
            <w:r>
              <w:rPr>
                <w:sz w:val="22"/>
              </w:rPr>
              <w:t>HĐND</w:t>
            </w:r>
            <w:r>
              <w:rPr>
                <w:spacing w:val="-2"/>
                <w:sz w:val="22"/>
              </w:rPr>
              <w:t> </w:t>
            </w:r>
            <w:r>
              <w:rPr>
                <w:sz w:val="22"/>
              </w:rPr>
              <w:t>tỉnh</w:t>
            </w:r>
            <w:r>
              <w:rPr>
                <w:spacing w:val="-4"/>
                <w:sz w:val="22"/>
              </w:rPr>
              <w:t> </w:t>
            </w:r>
            <w:r>
              <w:rPr>
                <w:spacing w:val="-2"/>
                <w:sz w:val="22"/>
              </w:rPr>
              <w:t>(b/c);</w:t>
            </w:r>
          </w:p>
          <w:p>
            <w:pPr>
              <w:pStyle w:val="TableParagraph"/>
              <w:numPr>
                <w:ilvl w:val="0"/>
                <w:numId w:val="6"/>
              </w:numPr>
              <w:tabs>
                <w:tab w:pos="176" w:val="left" w:leader="none"/>
              </w:tabs>
              <w:spacing w:line="252" w:lineRule="exact" w:before="0" w:after="0"/>
              <w:ind w:left="176" w:right="0" w:hanging="126"/>
              <w:jc w:val="left"/>
              <w:rPr>
                <w:sz w:val="22"/>
              </w:rPr>
            </w:pPr>
            <w:r>
              <w:rPr>
                <w:sz w:val="22"/>
              </w:rPr>
              <w:t>Ủy</w:t>
            </w:r>
            <w:r>
              <w:rPr>
                <w:spacing w:val="-4"/>
                <w:sz w:val="22"/>
              </w:rPr>
              <w:t> </w:t>
            </w:r>
            <w:r>
              <w:rPr>
                <w:sz w:val="22"/>
              </w:rPr>
              <w:t>ban</w:t>
            </w:r>
            <w:r>
              <w:rPr>
                <w:spacing w:val="-1"/>
                <w:sz w:val="22"/>
              </w:rPr>
              <w:t> </w:t>
            </w:r>
            <w:r>
              <w:rPr>
                <w:sz w:val="22"/>
              </w:rPr>
              <w:t>MTTQVN</w:t>
            </w:r>
            <w:r>
              <w:rPr>
                <w:spacing w:val="-4"/>
                <w:sz w:val="22"/>
              </w:rPr>
              <w:t> </w:t>
            </w:r>
            <w:r>
              <w:rPr>
                <w:spacing w:val="-2"/>
                <w:sz w:val="22"/>
              </w:rPr>
              <w:t>tỉnh;</w:t>
            </w:r>
          </w:p>
          <w:p>
            <w:pPr>
              <w:pStyle w:val="TableParagraph"/>
              <w:numPr>
                <w:ilvl w:val="0"/>
                <w:numId w:val="6"/>
              </w:numPr>
              <w:tabs>
                <w:tab w:pos="176" w:val="left" w:leader="none"/>
              </w:tabs>
              <w:spacing w:line="252" w:lineRule="exact" w:before="1" w:after="0"/>
              <w:ind w:left="176" w:right="0" w:hanging="126"/>
              <w:jc w:val="left"/>
              <w:rPr>
                <w:sz w:val="22"/>
              </w:rPr>
            </w:pPr>
            <w:r>
              <w:rPr>
                <w:sz w:val="22"/>
              </w:rPr>
              <w:t>Chủ</w:t>
            </w:r>
            <w:r>
              <w:rPr>
                <w:spacing w:val="-2"/>
                <w:sz w:val="22"/>
              </w:rPr>
              <w:t> </w:t>
            </w:r>
            <w:r>
              <w:rPr>
                <w:sz w:val="22"/>
              </w:rPr>
              <w:t>tịch,</w:t>
            </w:r>
            <w:r>
              <w:rPr>
                <w:spacing w:val="-5"/>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6"/>
              </w:numPr>
              <w:tabs>
                <w:tab w:pos="174" w:val="left" w:leader="none"/>
              </w:tabs>
              <w:spacing w:line="252" w:lineRule="exact" w:before="0" w:after="0"/>
              <w:ind w:left="174" w:right="0" w:hanging="124"/>
              <w:jc w:val="left"/>
              <w:rPr>
                <w:sz w:val="22"/>
              </w:rPr>
            </w:pPr>
            <w:r>
              <w:rPr>
                <w:sz w:val="22"/>
              </w:rPr>
              <w:t>Sở</w:t>
            </w:r>
            <w:r>
              <w:rPr>
                <w:spacing w:val="1"/>
                <w:sz w:val="22"/>
              </w:rPr>
              <w:t> </w:t>
            </w:r>
            <w:r>
              <w:rPr>
                <w:sz w:val="22"/>
              </w:rPr>
              <w:t>Tư</w:t>
            </w:r>
            <w:r>
              <w:rPr>
                <w:spacing w:val="1"/>
                <w:sz w:val="22"/>
              </w:rPr>
              <w:t> </w:t>
            </w:r>
            <w:r>
              <w:rPr>
                <w:spacing w:val="-2"/>
                <w:sz w:val="22"/>
              </w:rPr>
              <w:t>pháp;</w:t>
            </w:r>
          </w:p>
          <w:p>
            <w:pPr>
              <w:pStyle w:val="TableParagraph"/>
              <w:numPr>
                <w:ilvl w:val="0"/>
                <w:numId w:val="6"/>
              </w:numPr>
              <w:tabs>
                <w:tab w:pos="174" w:val="left" w:leader="none"/>
              </w:tabs>
              <w:spacing w:line="253" w:lineRule="exact" w:before="1" w:after="0"/>
              <w:ind w:left="174" w:right="0" w:hanging="124"/>
              <w:jc w:val="left"/>
              <w:rPr>
                <w:sz w:val="22"/>
              </w:rPr>
            </w:pPr>
            <w:r>
              <w:rPr>
                <w:sz w:val="22"/>
              </w:rPr>
              <w:t>VP</w:t>
            </w:r>
            <w:r>
              <w:rPr>
                <w:spacing w:val="-2"/>
                <w:sz w:val="22"/>
              </w:rPr>
              <w:t> </w:t>
            </w:r>
            <w:r>
              <w:rPr>
                <w:sz w:val="22"/>
              </w:rPr>
              <w:t>UBND</w:t>
            </w:r>
            <w:r>
              <w:rPr>
                <w:spacing w:val="-2"/>
                <w:sz w:val="22"/>
              </w:rPr>
              <w:t> </w:t>
            </w:r>
            <w:r>
              <w:rPr>
                <w:sz w:val="22"/>
              </w:rPr>
              <w:t>tỉnh:</w:t>
            </w:r>
            <w:r>
              <w:rPr>
                <w:spacing w:val="-3"/>
                <w:sz w:val="22"/>
              </w:rPr>
              <w:t> </w:t>
            </w:r>
            <w:r>
              <w:rPr>
                <w:spacing w:val="-5"/>
                <w:sz w:val="22"/>
              </w:rPr>
              <w:t>V1;</w:t>
            </w:r>
          </w:p>
          <w:p>
            <w:pPr>
              <w:pStyle w:val="TableParagraph"/>
              <w:numPr>
                <w:ilvl w:val="0"/>
                <w:numId w:val="6"/>
              </w:numPr>
              <w:tabs>
                <w:tab w:pos="174" w:val="left" w:leader="none"/>
              </w:tabs>
              <w:spacing w:line="240" w:lineRule="auto" w:before="0" w:after="0"/>
              <w:ind w:left="174" w:right="0" w:hanging="124"/>
              <w:jc w:val="left"/>
              <w:rPr>
                <w:sz w:val="22"/>
              </w:rPr>
            </w:pPr>
            <w:r>
              <w:rPr>
                <w:sz w:val="22"/>
              </w:rPr>
              <w:t>Lưu:</w:t>
            </w:r>
            <w:r>
              <w:rPr>
                <w:spacing w:val="-2"/>
                <w:sz w:val="22"/>
              </w:rPr>
              <w:t> </w:t>
            </w:r>
            <w:r>
              <w:rPr>
                <w:sz w:val="22"/>
              </w:rPr>
              <w:t>VT,</w:t>
            </w:r>
            <w:r>
              <w:rPr>
                <w:spacing w:val="1"/>
                <w:sz w:val="22"/>
              </w:rPr>
              <w:t> </w:t>
            </w:r>
            <w:r>
              <w:rPr>
                <w:spacing w:val="-4"/>
                <w:sz w:val="22"/>
              </w:rPr>
              <w:t>Kt8.</w:t>
            </w:r>
          </w:p>
        </w:tc>
        <w:tc>
          <w:tcPr>
            <w:tcW w:w="3550" w:type="dxa"/>
          </w:tcPr>
          <w:p>
            <w:pPr>
              <w:pStyle w:val="TableParagraph"/>
              <w:ind w:left="498" w:right="3"/>
              <w:jc w:val="center"/>
              <w:rPr>
                <w:b/>
                <w:sz w:val="26"/>
              </w:rPr>
            </w:pPr>
            <w:r>
              <w:rPr>
                <w:b/>
                <w:sz w:val="26"/>
              </w:rPr>
              <mc:AlternateContent>
                <mc:Choice Requires="wps">
                  <w:drawing>
                    <wp:anchor distT="0" distB="0" distL="0" distR="0" allowOverlap="1" layoutInCell="1" locked="0" behindDoc="1" simplePos="0" relativeHeight="487497216">
                      <wp:simplePos x="0" y="0"/>
                      <wp:positionH relativeFrom="column">
                        <wp:posOffset>-262555</wp:posOffset>
                      </wp:positionH>
                      <wp:positionV relativeFrom="paragraph">
                        <wp:posOffset>509482</wp:posOffset>
                      </wp:positionV>
                      <wp:extent cx="1344295" cy="13462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344295" cy="1346200"/>
                                <a:chExt cx="1344295" cy="1346200"/>
                              </a:xfrm>
                            </wpg:grpSpPr>
                            <pic:pic>
                              <pic:nvPicPr>
                                <pic:cNvPr id="9" name="Image 9"/>
                                <pic:cNvPicPr/>
                              </pic:nvPicPr>
                              <pic:blipFill>
                                <a:blip r:embed="rId7" cstate="print"/>
                                <a:stretch>
                                  <a:fillRect/>
                                </a:stretch>
                              </pic:blipFill>
                              <pic:spPr>
                                <a:xfrm>
                                  <a:off x="0" y="0"/>
                                  <a:ext cx="1369270" cy="1371600"/>
                                </a:xfrm>
                                <a:prstGeom prst="rect">
                                  <a:avLst/>
                                </a:prstGeom>
                              </pic:spPr>
                            </pic:pic>
                          </wpg:wgp>
                        </a:graphicData>
                      </a:graphic>
                    </wp:anchor>
                  </w:drawing>
                </mc:Choice>
                <mc:Fallback>
                  <w:pict>
                    <v:group style="position:absolute;margin-left:-20.673634pt;margin-top:40.116699pt;width:105.85pt;height:106pt;mso-position-horizontal-relative:column;mso-position-vertical-relative:paragraph;z-index:-15819264" id="docshapegroup5" coordorigin="-413,802" coordsize="2117,2120">
                      <v:shape style="position:absolute;left:-414;top:802;width:2157;height:2160" type="#_x0000_t75" id="docshape6" stroked="false">
                        <v:imagedata r:id="rId7" o:title=""/>
                      </v:shape>
                      <w10:wrap type="none"/>
                    </v:group>
                  </w:pict>
                </mc:Fallback>
              </mc:AlternateContent>
            </w:r>
            <w:r>
              <w:rPr>
                <w:b/>
                <w:sz w:val="26"/>
              </w:rPr>
              <w:t>TM.</w:t>
            </w:r>
            <w:r>
              <w:rPr>
                <w:b/>
                <w:spacing w:val="-17"/>
                <w:sz w:val="26"/>
              </w:rPr>
              <w:t> </w:t>
            </w:r>
            <w:r>
              <w:rPr>
                <w:b/>
                <w:sz w:val="26"/>
              </w:rPr>
              <w:t>ỦY</w:t>
            </w:r>
            <w:r>
              <w:rPr>
                <w:b/>
                <w:spacing w:val="-16"/>
                <w:sz w:val="26"/>
              </w:rPr>
              <w:t> </w:t>
            </w:r>
            <w:r>
              <w:rPr>
                <w:b/>
                <w:sz w:val="26"/>
              </w:rPr>
              <w:t>BAN</w:t>
            </w:r>
            <w:r>
              <w:rPr>
                <w:b/>
                <w:spacing w:val="-16"/>
                <w:sz w:val="26"/>
              </w:rPr>
              <w:t> </w:t>
            </w:r>
            <w:r>
              <w:rPr>
                <w:b/>
                <w:sz w:val="26"/>
              </w:rPr>
              <w:t>NHÂN</w:t>
            </w:r>
            <w:r>
              <w:rPr>
                <w:b/>
                <w:spacing w:val="-16"/>
                <w:sz w:val="26"/>
              </w:rPr>
              <w:t> </w:t>
            </w:r>
            <w:r>
              <w:rPr>
                <w:b/>
                <w:sz w:val="26"/>
              </w:rPr>
              <w:t>DÂN KT. CHỦ TỊCH</w:t>
            </w:r>
          </w:p>
          <w:p>
            <w:pPr>
              <w:pStyle w:val="TableParagraph"/>
              <w:ind w:left="498" w:right="6"/>
              <w:jc w:val="center"/>
              <w:rPr>
                <w:b/>
                <w:sz w:val="26"/>
              </w:rPr>
            </w:pPr>
            <w:r>
              <w:rPr>
                <w:b/>
                <w:sz w:val="26"/>
              </w:rPr>
              <w:t>PHÓ</w:t>
            </w:r>
            <w:r>
              <w:rPr>
                <w:b/>
                <w:spacing w:val="-6"/>
                <w:sz w:val="26"/>
              </w:rPr>
              <w:t> </w:t>
            </w:r>
            <w:r>
              <w:rPr>
                <w:b/>
                <w:sz w:val="26"/>
              </w:rPr>
              <w:t>CHỦ</w:t>
            </w:r>
            <w:r>
              <w:rPr>
                <w:b/>
                <w:spacing w:val="-6"/>
                <w:sz w:val="26"/>
              </w:rPr>
              <w:t> </w:t>
            </w:r>
            <w:r>
              <w:rPr>
                <w:b/>
                <w:spacing w:val="-4"/>
                <w:sz w:val="26"/>
              </w:rPr>
              <w:t>TỊCH</w:t>
            </w: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118"/>
              <w:rPr>
                <w:sz w:val="26"/>
              </w:rPr>
            </w:pPr>
          </w:p>
          <w:p>
            <w:pPr>
              <w:pStyle w:val="TableParagraph"/>
              <w:spacing w:line="302" w:lineRule="exact"/>
              <w:ind w:left="498"/>
              <w:jc w:val="center"/>
              <w:rPr>
                <w:b/>
                <w:sz w:val="28"/>
              </w:rPr>
            </w:pPr>
            <w:r>
              <w:rPr>
                <w:b/>
                <w:sz w:val="28"/>
              </w:rPr>
              <w:t>Nguyễn</w:t>
            </w:r>
            <w:r>
              <w:rPr>
                <w:b/>
                <w:spacing w:val="-6"/>
                <w:sz w:val="28"/>
              </w:rPr>
              <w:t> </w:t>
            </w:r>
            <w:r>
              <w:rPr>
                <w:b/>
                <w:sz w:val="28"/>
              </w:rPr>
              <w:t>Sỹ</w:t>
            </w:r>
            <w:r>
              <w:rPr>
                <w:b/>
                <w:spacing w:val="-2"/>
                <w:sz w:val="28"/>
              </w:rPr>
              <w:t> </w:t>
            </w:r>
            <w:r>
              <w:rPr>
                <w:b/>
                <w:spacing w:val="-4"/>
                <w:sz w:val="28"/>
              </w:rPr>
              <w:t>Cảnh</w:t>
            </w:r>
          </w:p>
        </w:tc>
      </w:tr>
    </w:tbl>
    <w:sectPr>
      <w:pgSz w:w="11910" w:h="16850"/>
      <w:pgMar w:header="724" w:footer="0" w:top="104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95680">
              <wp:simplePos x="0" y="0"/>
              <wp:positionH relativeFrom="page">
                <wp:posOffset>3882516</wp:posOffset>
              </wp:positionH>
              <wp:positionV relativeFrom="page">
                <wp:posOffset>447181</wp:posOffset>
              </wp:positionV>
              <wp:extent cx="171450" cy="208279"/>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1450" cy="208279"/>
                      </a:xfrm>
                      <a:prstGeom prst="rect">
                        <a:avLst/>
                      </a:prstGeom>
                    </wps:spPr>
                    <wps:txbx>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709991pt;margin-top:35.211151pt;width:13.5pt;height:16.4pt;mso-position-horizontal-relative:page;mso-position-vertical-relative:page;z-index:-15820800" type="#_x0000_t202" id="docshape4" filled="false" stroked="false">
              <v:textbox inset="0,0,0,0">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51" w:hanging="128"/>
      </w:pPr>
      <w:rPr>
        <w:rFonts w:hint="default"/>
        <w:lang w:val="vi" w:eastAsia="en-US" w:bidi="ar-SA"/>
      </w:rPr>
    </w:lvl>
    <w:lvl w:ilvl="2">
      <w:start w:val="0"/>
      <w:numFmt w:val="bullet"/>
      <w:lvlText w:val="•"/>
      <w:lvlJc w:val="left"/>
      <w:pPr>
        <w:ind w:left="1123" w:hanging="128"/>
      </w:pPr>
      <w:rPr>
        <w:rFonts w:hint="default"/>
        <w:lang w:val="vi" w:eastAsia="en-US" w:bidi="ar-SA"/>
      </w:rPr>
    </w:lvl>
    <w:lvl w:ilvl="3">
      <w:start w:val="0"/>
      <w:numFmt w:val="bullet"/>
      <w:lvlText w:val="•"/>
      <w:lvlJc w:val="left"/>
      <w:pPr>
        <w:ind w:left="1594" w:hanging="128"/>
      </w:pPr>
      <w:rPr>
        <w:rFonts w:hint="default"/>
        <w:lang w:val="vi" w:eastAsia="en-US" w:bidi="ar-SA"/>
      </w:rPr>
    </w:lvl>
    <w:lvl w:ilvl="4">
      <w:start w:val="0"/>
      <w:numFmt w:val="bullet"/>
      <w:lvlText w:val="•"/>
      <w:lvlJc w:val="left"/>
      <w:pPr>
        <w:ind w:left="2066" w:hanging="128"/>
      </w:pPr>
      <w:rPr>
        <w:rFonts w:hint="default"/>
        <w:lang w:val="vi" w:eastAsia="en-US" w:bidi="ar-SA"/>
      </w:rPr>
    </w:lvl>
    <w:lvl w:ilvl="5">
      <w:start w:val="0"/>
      <w:numFmt w:val="bullet"/>
      <w:lvlText w:val="•"/>
      <w:lvlJc w:val="left"/>
      <w:pPr>
        <w:ind w:left="2538" w:hanging="128"/>
      </w:pPr>
      <w:rPr>
        <w:rFonts w:hint="default"/>
        <w:lang w:val="vi" w:eastAsia="en-US" w:bidi="ar-SA"/>
      </w:rPr>
    </w:lvl>
    <w:lvl w:ilvl="6">
      <w:start w:val="0"/>
      <w:numFmt w:val="bullet"/>
      <w:lvlText w:val="•"/>
      <w:lvlJc w:val="left"/>
      <w:pPr>
        <w:ind w:left="3009" w:hanging="128"/>
      </w:pPr>
      <w:rPr>
        <w:rFonts w:hint="default"/>
        <w:lang w:val="vi" w:eastAsia="en-US" w:bidi="ar-SA"/>
      </w:rPr>
    </w:lvl>
    <w:lvl w:ilvl="7">
      <w:start w:val="0"/>
      <w:numFmt w:val="bullet"/>
      <w:lvlText w:val="•"/>
      <w:lvlJc w:val="left"/>
      <w:pPr>
        <w:ind w:left="3481" w:hanging="128"/>
      </w:pPr>
      <w:rPr>
        <w:rFonts w:hint="default"/>
        <w:lang w:val="vi" w:eastAsia="en-US" w:bidi="ar-SA"/>
      </w:rPr>
    </w:lvl>
    <w:lvl w:ilvl="8">
      <w:start w:val="0"/>
      <w:numFmt w:val="bullet"/>
      <w:lvlText w:val="•"/>
      <w:lvlJc w:val="left"/>
      <w:pPr>
        <w:ind w:left="3952" w:hanging="128"/>
      </w:pPr>
      <w:rPr>
        <w:rFonts w:hint="default"/>
        <w:lang w:val="vi" w:eastAsia="en-US" w:bidi="ar-SA"/>
      </w:rPr>
    </w:lvl>
  </w:abstractNum>
  <w:abstractNum w:abstractNumId="4">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3">
    <w:multiLevelType w:val="hybridMultilevel"/>
    <w:lvl w:ilvl="0">
      <w:start w:val="1"/>
      <w:numFmt w:val="decimal"/>
      <w:lvlText w:val="%1."/>
      <w:lvlJc w:val="left"/>
      <w:pPr>
        <w:ind w:left="143" w:hanging="29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96"/>
      </w:pPr>
      <w:rPr>
        <w:rFonts w:hint="default"/>
        <w:lang w:val="vi" w:eastAsia="en-US" w:bidi="ar-SA"/>
      </w:rPr>
    </w:lvl>
    <w:lvl w:ilvl="2">
      <w:start w:val="0"/>
      <w:numFmt w:val="bullet"/>
      <w:lvlText w:val="•"/>
      <w:lvlJc w:val="left"/>
      <w:pPr>
        <w:ind w:left="1983" w:hanging="296"/>
      </w:pPr>
      <w:rPr>
        <w:rFonts w:hint="default"/>
        <w:lang w:val="vi" w:eastAsia="en-US" w:bidi="ar-SA"/>
      </w:rPr>
    </w:lvl>
    <w:lvl w:ilvl="3">
      <w:start w:val="0"/>
      <w:numFmt w:val="bullet"/>
      <w:lvlText w:val="•"/>
      <w:lvlJc w:val="left"/>
      <w:pPr>
        <w:ind w:left="2904" w:hanging="296"/>
      </w:pPr>
      <w:rPr>
        <w:rFonts w:hint="default"/>
        <w:lang w:val="vi" w:eastAsia="en-US" w:bidi="ar-SA"/>
      </w:rPr>
    </w:lvl>
    <w:lvl w:ilvl="4">
      <w:start w:val="0"/>
      <w:numFmt w:val="bullet"/>
      <w:lvlText w:val="•"/>
      <w:lvlJc w:val="left"/>
      <w:pPr>
        <w:ind w:left="3826" w:hanging="296"/>
      </w:pPr>
      <w:rPr>
        <w:rFonts w:hint="default"/>
        <w:lang w:val="vi" w:eastAsia="en-US" w:bidi="ar-SA"/>
      </w:rPr>
    </w:lvl>
    <w:lvl w:ilvl="5">
      <w:start w:val="0"/>
      <w:numFmt w:val="bullet"/>
      <w:lvlText w:val="•"/>
      <w:lvlJc w:val="left"/>
      <w:pPr>
        <w:ind w:left="4747" w:hanging="296"/>
      </w:pPr>
      <w:rPr>
        <w:rFonts w:hint="default"/>
        <w:lang w:val="vi" w:eastAsia="en-US" w:bidi="ar-SA"/>
      </w:rPr>
    </w:lvl>
    <w:lvl w:ilvl="6">
      <w:start w:val="0"/>
      <w:numFmt w:val="bullet"/>
      <w:lvlText w:val="•"/>
      <w:lvlJc w:val="left"/>
      <w:pPr>
        <w:ind w:left="5669" w:hanging="296"/>
      </w:pPr>
      <w:rPr>
        <w:rFonts w:hint="default"/>
        <w:lang w:val="vi" w:eastAsia="en-US" w:bidi="ar-SA"/>
      </w:rPr>
    </w:lvl>
    <w:lvl w:ilvl="7">
      <w:start w:val="0"/>
      <w:numFmt w:val="bullet"/>
      <w:lvlText w:val="•"/>
      <w:lvlJc w:val="left"/>
      <w:pPr>
        <w:ind w:left="6590" w:hanging="296"/>
      </w:pPr>
      <w:rPr>
        <w:rFonts w:hint="default"/>
        <w:lang w:val="vi" w:eastAsia="en-US" w:bidi="ar-SA"/>
      </w:rPr>
    </w:lvl>
    <w:lvl w:ilvl="8">
      <w:start w:val="0"/>
      <w:numFmt w:val="bullet"/>
      <w:lvlText w:val="•"/>
      <w:lvlJc w:val="left"/>
      <w:pPr>
        <w:ind w:left="7512" w:hanging="296"/>
      </w:pPr>
      <w:rPr>
        <w:rFonts w:hint="default"/>
        <w:lang w:val="vi" w:eastAsia="en-US" w:bidi="ar-SA"/>
      </w:rPr>
    </w:lvl>
  </w:abstractNum>
  <w:abstractNum w:abstractNumId="2">
    <w:multiLevelType w:val="hybridMultilevel"/>
    <w:lvl w:ilvl="0">
      <w:start w:val="1"/>
      <w:numFmt w:val="decimal"/>
      <w:lvlText w:val="%1."/>
      <w:lvlJc w:val="left"/>
      <w:pPr>
        <w:ind w:left="1129" w:hanging="267"/>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943" w:hanging="267"/>
      </w:pPr>
      <w:rPr>
        <w:rFonts w:hint="default"/>
        <w:lang w:val="vi" w:eastAsia="en-US" w:bidi="ar-SA"/>
      </w:rPr>
    </w:lvl>
    <w:lvl w:ilvl="2">
      <w:start w:val="0"/>
      <w:numFmt w:val="bullet"/>
      <w:lvlText w:val="•"/>
      <w:lvlJc w:val="left"/>
      <w:pPr>
        <w:ind w:left="2767" w:hanging="267"/>
      </w:pPr>
      <w:rPr>
        <w:rFonts w:hint="default"/>
        <w:lang w:val="vi" w:eastAsia="en-US" w:bidi="ar-SA"/>
      </w:rPr>
    </w:lvl>
    <w:lvl w:ilvl="3">
      <w:start w:val="0"/>
      <w:numFmt w:val="bullet"/>
      <w:lvlText w:val="•"/>
      <w:lvlJc w:val="left"/>
      <w:pPr>
        <w:ind w:left="3590" w:hanging="267"/>
      </w:pPr>
      <w:rPr>
        <w:rFonts w:hint="default"/>
        <w:lang w:val="vi" w:eastAsia="en-US" w:bidi="ar-SA"/>
      </w:rPr>
    </w:lvl>
    <w:lvl w:ilvl="4">
      <w:start w:val="0"/>
      <w:numFmt w:val="bullet"/>
      <w:lvlText w:val="•"/>
      <w:lvlJc w:val="left"/>
      <w:pPr>
        <w:ind w:left="4414" w:hanging="267"/>
      </w:pPr>
      <w:rPr>
        <w:rFonts w:hint="default"/>
        <w:lang w:val="vi" w:eastAsia="en-US" w:bidi="ar-SA"/>
      </w:rPr>
    </w:lvl>
    <w:lvl w:ilvl="5">
      <w:start w:val="0"/>
      <w:numFmt w:val="bullet"/>
      <w:lvlText w:val="•"/>
      <w:lvlJc w:val="left"/>
      <w:pPr>
        <w:ind w:left="5237" w:hanging="267"/>
      </w:pPr>
      <w:rPr>
        <w:rFonts w:hint="default"/>
        <w:lang w:val="vi" w:eastAsia="en-US" w:bidi="ar-SA"/>
      </w:rPr>
    </w:lvl>
    <w:lvl w:ilvl="6">
      <w:start w:val="0"/>
      <w:numFmt w:val="bullet"/>
      <w:lvlText w:val="•"/>
      <w:lvlJc w:val="left"/>
      <w:pPr>
        <w:ind w:left="6061" w:hanging="267"/>
      </w:pPr>
      <w:rPr>
        <w:rFonts w:hint="default"/>
        <w:lang w:val="vi" w:eastAsia="en-US" w:bidi="ar-SA"/>
      </w:rPr>
    </w:lvl>
    <w:lvl w:ilvl="7">
      <w:start w:val="0"/>
      <w:numFmt w:val="bullet"/>
      <w:lvlText w:val="•"/>
      <w:lvlJc w:val="left"/>
      <w:pPr>
        <w:ind w:left="6884" w:hanging="267"/>
      </w:pPr>
      <w:rPr>
        <w:rFonts w:hint="default"/>
        <w:lang w:val="vi" w:eastAsia="en-US" w:bidi="ar-SA"/>
      </w:rPr>
    </w:lvl>
    <w:lvl w:ilvl="8">
      <w:start w:val="0"/>
      <w:numFmt w:val="bullet"/>
      <w:lvlText w:val="•"/>
      <w:lvlJc w:val="left"/>
      <w:pPr>
        <w:ind w:left="7708" w:hanging="267"/>
      </w:pPr>
      <w:rPr>
        <w:rFonts w:hint="default"/>
        <w:lang w:val="vi" w:eastAsia="en-US" w:bidi="ar-SA"/>
      </w:rPr>
    </w:lvl>
  </w:abstractNum>
  <w:abstractNum w:abstractNumId="1">
    <w:multiLevelType w:val="hybridMultilevel"/>
    <w:lvl w:ilvl="0">
      <w:start w:val="1"/>
      <w:numFmt w:val="decimal"/>
      <w:lvlText w:val="%1."/>
      <w:lvlJc w:val="left"/>
      <w:pPr>
        <w:ind w:left="143"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00"/>
      </w:pPr>
      <w:rPr>
        <w:rFonts w:hint="default"/>
        <w:lang w:val="vi" w:eastAsia="en-US" w:bidi="ar-SA"/>
      </w:rPr>
    </w:lvl>
    <w:lvl w:ilvl="2">
      <w:start w:val="0"/>
      <w:numFmt w:val="bullet"/>
      <w:lvlText w:val="•"/>
      <w:lvlJc w:val="left"/>
      <w:pPr>
        <w:ind w:left="1983" w:hanging="300"/>
      </w:pPr>
      <w:rPr>
        <w:rFonts w:hint="default"/>
        <w:lang w:val="vi" w:eastAsia="en-US" w:bidi="ar-SA"/>
      </w:rPr>
    </w:lvl>
    <w:lvl w:ilvl="3">
      <w:start w:val="0"/>
      <w:numFmt w:val="bullet"/>
      <w:lvlText w:val="•"/>
      <w:lvlJc w:val="left"/>
      <w:pPr>
        <w:ind w:left="2904" w:hanging="300"/>
      </w:pPr>
      <w:rPr>
        <w:rFonts w:hint="default"/>
        <w:lang w:val="vi" w:eastAsia="en-US" w:bidi="ar-SA"/>
      </w:rPr>
    </w:lvl>
    <w:lvl w:ilvl="4">
      <w:start w:val="0"/>
      <w:numFmt w:val="bullet"/>
      <w:lvlText w:val="•"/>
      <w:lvlJc w:val="left"/>
      <w:pPr>
        <w:ind w:left="3826" w:hanging="300"/>
      </w:pPr>
      <w:rPr>
        <w:rFonts w:hint="default"/>
        <w:lang w:val="vi" w:eastAsia="en-US" w:bidi="ar-SA"/>
      </w:rPr>
    </w:lvl>
    <w:lvl w:ilvl="5">
      <w:start w:val="0"/>
      <w:numFmt w:val="bullet"/>
      <w:lvlText w:val="•"/>
      <w:lvlJc w:val="left"/>
      <w:pPr>
        <w:ind w:left="4747" w:hanging="300"/>
      </w:pPr>
      <w:rPr>
        <w:rFonts w:hint="default"/>
        <w:lang w:val="vi" w:eastAsia="en-US" w:bidi="ar-SA"/>
      </w:rPr>
    </w:lvl>
    <w:lvl w:ilvl="6">
      <w:start w:val="0"/>
      <w:numFmt w:val="bullet"/>
      <w:lvlText w:val="•"/>
      <w:lvlJc w:val="left"/>
      <w:pPr>
        <w:ind w:left="5669" w:hanging="300"/>
      </w:pPr>
      <w:rPr>
        <w:rFonts w:hint="default"/>
        <w:lang w:val="vi" w:eastAsia="en-US" w:bidi="ar-SA"/>
      </w:rPr>
    </w:lvl>
    <w:lvl w:ilvl="7">
      <w:start w:val="0"/>
      <w:numFmt w:val="bullet"/>
      <w:lvlText w:val="•"/>
      <w:lvlJc w:val="left"/>
      <w:pPr>
        <w:ind w:left="6590" w:hanging="300"/>
      </w:pPr>
      <w:rPr>
        <w:rFonts w:hint="default"/>
        <w:lang w:val="vi" w:eastAsia="en-US" w:bidi="ar-SA"/>
      </w:rPr>
    </w:lvl>
    <w:lvl w:ilvl="8">
      <w:start w:val="0"/>
      <w:numFmt w:val="bullet"/>
      <w:lvlText w:val="•"/>
      <w:lvlJc w:val="left"/>
      <w:pPr>
        <w:ind w:left="7512" w:hanging="300"/>
      </w:pPr>
      <w:rPr>
        <w:rFonts w:hint="default"/>
        <w:lang w:val="vi" w:eastAsia="en-US" w:bidi="ar-SA"/>
      </w:rPr>
    </w:lvl>
  </w:abstractNum>
  <w:abstractNum w:abstractNumId="0">
    <w:multiLevelType w:val="hybridMultilevel"/>
    <w:lvl w:ilvl="0">
      <w:start w:val="1"/>
      <w:numFmt w:val="decimal"/>
      <w:lvlText w:val="%1."/>
      <w:lvlJc w:val="left"/>
      <w:pPr>
        <w:ind w:left="143"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4"/>
      </w:pPr>
      <w:rPr>
        <w:rFonts w:hint="default"/>
        <w:lang w:val="vi" w:eastAsia="en-US" w:bidi="ar-SA"/>
      </w:rPr>
    </w:lvl>
    <w:lvl w:ilvl="2">
      <w:start w:val="0"/>
      <w:numFmt w:val="bullet"/>
      <w:lvlText w:val="•"/>
      <w:lvlJc w:val="left"/>
      <w:pPr>
        <w:ind w:left="1983" w:hanging="284"/>
      </w:pPr>
      <w:rPr>
        <w:rFonts w:hint="default"/>
        <w:lang w:val="vi" w:eastAsia="en-US" w:bidi="ar-SA"/>
      </w:rPr>
    </w:lvl>
    <w:lvl w:ilvl="3">
      <w:start w:val="0"/>
      <w:numFmt w:val="bullet"/>
      <w:lvlText w:val="•"/>
      <w:lvlJc w:val="left"/>
      <w:pPr>
        <w:ind w:left="2904" w:hanging="284"/>
      </w:pPr>
      <w:rPr>
        <w:rFonts w:hint="default"/>
        <w:lang w:val="vi" w:eastAsia="en-US" w:bidi="ar-SA"/>
      </w:rPr>
    </w:lvl>
    <w:lvl w:ilvl="4">
      <w:start w:val="0"/>
      <w:numFmt w:val="bullet"/>
      <w:lvlText w:val="•"/>
      <w:lvlJc w:val="left"/>
      <w:pPr>
        <w:ind w:left="3826" w:hanging="284"/>
      </w:pPr>
      <w:rPr>
        <w:rFonts w:hint="default"/>
        <w:lang w:val="vi" w:eastAsia="en-US" w:bidi="ar-SA"/>
      </w:rPr>
    </w:lvl>
    <w:lvl w:ilvl="5">
      <w:start w:val="0"/>
      <w:numFmt w:val="bullet"/>
      <w:lvlText w:val="•"/>
      <w:lvlJc w:val="left"/>
      <w:pPr>
        <w:ind w:left="4747" w:hanging="284"/>
      </w:pPr>
      <w:rPr>
        <w:rFonts w:hint="default"/>
        <w:lang w:val="vi" w:eastAsia="en-US" w:bidi="ar-SA"/>
      </w:rPr>
    </w:lvl>
    <w:lvl w:ilvl="6">
      <w:start w:val="0"/>
      <w:numFmt w:val="bullet"/>
      <w:lvlText w:val="•"/>
      <w:lvlJc w:val="left"/>
      <w:pPr>
        <w:ind w:left="5669" w:hanging="284"/>
      </w:pPr>
      <w:rPr>
        <w:rFonts w:hint="default"/>
        <w:lang w:val="vi" w:eastAsia="en-US" w:bidi="ar-SA"/>
      </w:rPr>
    </w:lvl>
    <w:lvl w:ilvl="7">
      <w:start w:val="0"/>
      <w:numFmt w:val="bullet"/>
      <w:lvlText w:val="•"/>
      <w:lvlJc w:val="left"/>
      <w:pPr>
        <w:ind w:left="6590" w:hanging="284"/>
      </w:pPr>
      <w:rPr>
        <w:rFonts w:hint="default"/>
        <w:lang w:val="vi" w:eastAsia="en-US" w:bidi="ar-SA"/>
      </w:rPr>
    </w:lvl>
    <w:lvl w:ilvl="8">
      <w:start w:val="0"/>
      <w:numFmt w:val="bullet"/>
      <w:lvlText w:val="•"/>
      <w:lvlJc w:val="left"/>
      <w:pPr>
        <w:ind w:left="7512" w:hanging="284"/>
      </w:pPr>
      <w:rPr>
        <w:rFonts w:hint="default"/>
        <w:lang w:val="vi"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1"/>
      <w:ind w:left="143"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862"/>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1"/>
      <w:ind w:left="143" w:right="134"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ỦY BAN NHÂN DÂN              CỘNG HÒA XÃ HỘI CHỦ NGHĨA VIỆT NAM</dc:title>
  <dcterms:created xsi:type="dcterms:W3CDTF">2026-06-29T09:16:36Z</dcterms:created>
  <dcterms:modified xsi:type="dcterms:W3CDTF">2026-06-29T09:16:36Z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Creator">
    <vt:lpwstr>Microsoft® Word 2016</vt:lpwstr>
  </property>
  <property fmtid="{D5CDD505-2E9C-101B-9397-08002B2CF9AE}" pid="5" name="LastSaved">
    <vt:filetime>2026-06-29T00:00:00Z</vt:filetime>
  </property>
  <property fmtid="{D5CDD505-2E9C-101B-9397-08002B2CF9AE}" pid="6" name="Producer">
    <vt:lpwstr>pdf</vt:lpwstr>
  </property>
</Properties>
</file>