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356"/>
        <w:gridCol w:w="5284"/>
      </w:tblGrid>
      <w:tr>
        <w:tblPrEx>
          <w:jc w:val="left"/>
          <w:tblCellMar>
            <w:top w:w="0" w:type="dxa"/>
            <w:left w:w="0" w:type="dxa"/>
            <w:bottom w:w="0" w:type="dxa"/>
            <w:right w:w="0" w:type="dxa"/>
          </w:tblCellMar>
        </w:tblPrEx>
        <w:trPr>
          <w:jc w:val="left"/>
        </w:trPr>
        <w:tc>
          <w:tcPr>
            <w:tcW w:w="332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en-US" w:eastAsia="en-US"/>
              </w:rPr>
              <w:t>ỦY BAN NHÂN DÂN</w:t>
            </w:r>
            <w:r>
              <w:rPr>
                <w:b/>
                <w:bCs/>
                <w:rtl w:val="0"/>
                <w:lang w:val="en-US" w:eastAsia="en-US"/>
              </w:rPr>
              <w:br/>
            </w:r>
            <w:r>
              <w:rPr>
                <w:b/>
                <w:bCs/>
                <w:rtl w:val="0"/>
                <w:lang w:val="en-US" w:eastAsia="en-US"/>
              </w:rPr>
              <w:t>QUẬN 4</w:t>
            </w:r>
            <w:r>
              <w:rPr>
                <w:b/>
                <w:bCs/>
                <w:rtl w:val="0"/>
                <w:lang w:val="en-US" w:eastAsia="en-US"/>
              </w:rPr>
              <w:br/>
            </w:r>
            <w:r>
              <w:rPr>
                <w:b/>
                <w:bCs/>
                <w:rtl w:val="0"/>
                <w:lang w:val="en-US" w:eastAsia="en-US"/>
              </w:rPr>
              <w:t>--------</w:t>
            </w:r>
          </w:p>
        </w:tc>
        <w:tc>
          <w:tcPr>
            <w:tcW w:w="547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2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03/2020/QĐ-UBND</w:t>
            </w:r>
          </w:p>
        </w:tc>
        <w:tc>
          <w:tcPr>
            <w:tcW w:w="547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Quận 4, ngày 19 tháng 5 năm 2020</w:t>
            </w:r>
          </w:p>
        </w:tc>
      </w:tr>
    </w:tbl>
    <w:p>
      <w:pPr>
        <w:bidi w:val="0"/>
        <w:spacing w:before="120" w:beforeAutospacing="0" w:after="280" w:afterAutospacing="1"/>
      </w:pPr>
      <w:r>
        <w:rPr>
          <w:rtl w:val="0"/>
          <w:lang w:val="en-US" w:eastAsia="en-US"/>
        </w:rPr>
        <w:t> </w:t>
      </w:r>
    </w:p>
    <w:p>
      <w:pPr>
        <w:bidi w:val="0"/>
        <w:spacing w:before="120" w:beforeAutospacing="0" w:after="280" w:afterAutospacing="1"/>
        <w:jc w:val="center"/>
      </w:pPr>
      <w:r>
        <w:rPr>
          <w:b/>
          <w:bCs/>
          <w:sz w:val="24"/>
          <w:rtl w:val="0"/>
          <w:lang w:val="en-US" w:eastAsia="en-US"/>
        </w:rPr>
        <w:t>QUYẾT ĐỊNH</w:t>
      </w:r>
    </w:p>
    <w:p>
      <w:pPr>
        <w:bidi w:val="0"/>
        <w:spacing w:before="120" w:beforeAutospacing="0" w:after="280" w:afterAutospacing="1"/>
        <w:jc w:val="center"/>
      </w:pPr>
      <w:r>
        <w:rPr>
          <w:rtl w:val="0"/>
          <w:lang w:val="en-US" w:eastAsia="en-US"/>
        </w:rPr>
        <w:t>BÃI BỎ QUYẾT ĐỊNH SỐ 04/2011/QĐ-UBND NGÀY 15/6/2011 CỦA ỦY BAN NHÂN DÂN QUẬN 4 VỀ BAN HÀNH QUY CHẾ TỔ CHỨC VÀ HOẠT ĐỘNG CỦA BAN BỒI THƯỜNG, GIẢI PHÓNG MẶT BẰNG QUẬN 4</w:t>
      </w:r>
    </w:p>
    <w:p>
      <w:pPr>
        <w:bidi w:val="0"/>
        <w:spacing w:before="120" w:beforeAutospacing="0" w:after="280" w:afterAutospacing="1"/>
        <w:jc w:val="center"/>
      </w:pPr>
      <w:r>
        <w:rPr>
          <w:b/>
          <w:bCs/>
          <w:sz w:val="24"/>
          <w:rtl w:val="0"/>
          <w:lang w:val="en-US" w:eastAsia="en-US"/>
        </w:rPr>
        <w:t>ỦY BAN NHÂN DÂN QUẬN 4</w:t>
      </w:r>
    </w:p>
    <w:p>
      <w:pPr>
        <w:bidi w:val="0"/>
        <w:spacing w:before="120" w:beforeAutospacing="0" w:after="280" w:afterAutospacing="1"/>
      </w:pPr>
      <w:r>
        <w:rPr>
          <w:i/>
          <w:iCs/>
          <w:rtl w:val="0"/>
          <w:lang w:val="en-US" w:eastAsia="en-US"/>
        </w:rPr>
        <w:t>Căn cứ Luật Tổ chức chính quyền địa phương ngày 19 tháng 6 năm 2015;</w:t>
      </w:r>
    </w:p>
    <w:p>
      <w:pPr>
        <w:bidi w:val="0"/>
        <w:spacing w:before="120" w:beforeAutospacing="0" w:after="280" w:afterAutospacing="1"/>
      </w:pPr>
      <w:r>
        <w:rPr>
          <w:i/>
          <w:iCs/>
          <w:rtl w:val="0"/>
          <w:lang w:val="en-US" w:eastAsia="en-US"/>
        </w:rPr>
        <w:t>Căn cứ Luật Ban hành văn bản quy phạm pháp luật ngày 22 tháng 6 năm 2015;</w:t>
      </w:r>
    </w:p>
    <w:p>
      <w:pPr>
        <w:bidi w:val="0"/>
        <w:spacing w:before="120" w:beforeAutospacing="0" w:after="280" w:afterAutospacing="1"/>
      </w:pPr>
      <w:r>
        <w:rPr>
          <w:i/>
          <w:iCs/>
          <w:rtl w:val="0"/>
          <w:lang w:val="en-US" w:eastAsia="en-US"/>
        </w:rPr>
        <w:t>Căn cứ Nghị định số 34/2016/NĐ-CP ngày 14 tháng 5 năm 2016 của Chính phủ Quy định chi tiết và biện pháp thi hành Luật Ban hành văn bản quy phạm pháp luật năm 2015;</w:t>
      </w:r>
    </w:p>
    <w:p>
      <w:pPr>
        <w:bidi w:val="0"/>
        <w:spacing w:before="120" w:beforeAutospacing="0" w:after="280" w:afterAutospacing="1"/>
      </w:pPr>
      <w:r>
        <w:rPr>
          <w:i/>
          <w:iCs/>
          <w:rtl w:val="0"/>
          <w:lang w:val="en-US" w:eastAsia="en-US"/>
        </w:rPr>
        <w:t>Căn cứ Quyết định số 02/2017/QĐ-UBND ngày 10 tháng 01 năm 2017 của Ủy ban nhân dân Thành phố ban hành Quy chế về kiểm tra, xử lý, rà soát, hệ thống hóa văn bản quy phạm pháp luật trên địa bàn Thành phố Hồ Chí Minh;</w:t>
      </w:r>
    </w:p>
    <w:p>
      <w:pPr>
        <w:bidi w:val="0"/>
        <w:spacing w:before="120" w:beforeAutospacing="0" w:after="280" w:afterAutospacing="1"/>
      </w:pPr>
      <w:r>
        <w:rPr>
          <w:i/>
          <w:iCs/>
          <w:rtl w:val="0"/>
          <w:lang w:val="en-US" w:eastAsia="en-US"/>
        </w:rPr>
        <w:t>Theo đề nghị của Trưởng phòng Tư pháp Quận 4 tại Tờ trình số 118/TTr-PTP ngày 14 tháng 5 năm 2020 và ý kiến thẩm định của Phòng Tư pháp tại Báo cáo số 28/BC-PTP ngày 14 tháng 5 năm 2020 về kết quả thẩm định dự thảo Quyết định bãi bỏ Quyết định số 04/2011/QĐ-UBND ngày 15/6/2011 của Ủy ban nhân dân Quận 4,</w:t>
      </w:r>
    </w:p>
    <w:p>
      <w:pPr>
        <w:bidi w:val="0"/>
        <w:spacing w:before="120" w:beforeAutospacing="0" w:after="280" w:afterAutospacing="1"/>
        <w:jc w:val="center"/>
      </w:pPr>
      <w:r>
        <w:rPr>
          <w:b/>
          <w:bCs/>
          <w:sz w:val="24"/>
          <w:rtl w:val="0"/>
          <w:lang w:val="en-US" w:eastAsia="en-US"/>
        </w:rPr>
        <w:t>QUYẾT ĐỊNH:</w:t>
      </w:r>
    </w:p>
    <w:p>
      <w:pPr>
        <w:bidi w:val="0"/>
        <w:spacing w:before="120" w:beforeAutospacing="0" w:after="280" w:afterAutospacing="1"/>
      </w:pPr>
      <w:r>
        <w:rPr>
          <w:b/>
          <w:bCs/>
          <w:rtl w:val="0"/>
          <w:lang w:val="en-US" w:eastAsia="en-US"/>
        </w:rPr>
        <w:t>Điều 1.</w:t>
      </w:r>
      <w:r>
        <w:rPr>
          <w:rtl w:val="0"/>
          <w:lang w:val="en-US" w:eastAsia="en-US"/>
        </w:rPr>
        <w:t xml:space="preserve"> Bãi bỏ Quyết định số 04/2011/QĐ-UBND ngày 15/6/2011 của Ủy ban nhân dân Quận 4 về ban hành quy chế tổ chức và hoạt động của Ban Bồi thường, giải phóng mặt bằng quận 4.</w:t>
      </w:r>
    </w:p>
    <w:p>
      <w:pPr>
        <w:bidi w:val="0"/>
        <w:spacing w:before="120" w:beforeAutospacing="0" w:after="280" w:afterAutospacing="1"/>
      </w:pPr>
      <w:r>
        <w:rPr>
          <w:b/>
          <w:bCs/>
          <w:rtl w:val="0"/>
          <w:lang w:val="en-US" w:eastAsia="en-US"/>
        </w:rPr>
        <w:t>Điều 2.</w:t>
      </w:r>
      <w:r>
        <w:rPr>
          <w:rtl w:val="0"/>
          <w:lang w:val="en-US" w:eastAsia="en-US"/>
        </w:rPr>
        <w:t xml:space="preserve"> Quyết định này có hiệu lực kể từ ngày 29 tháng 5 năm 2020.</w:t>
      </w:r>
    </w:p>
    <w:p>
      <w:pPr>
        <w:bidi w:val="0"/>
        <w:spacing w:before="120" w:beforeAutospacing="0" w:after="280" w:afterAutospacing="1"/>
      </w:pPr>
      <w:r>
        <w:rPr>
          <w:b/>
          <w:bCs/>
          <w:rtl w:val="0"/>
          <w:lang w:val="en-US" w:eastAsia="en-US"/>
        </w:rPr>
        <w:t>Điều 3.</w:t>
      </w:r>
      <w:r>
        <w:rPr>
          <w:rtl w:val="0"/>
          <w:lang w:val="en-US" w:eastAsia="en-US"/>
        </w:rPr>
        <w:t xml:space="preserve"> Chánh Văn phòng Hội đồng nhân dân và Ủy ban nhân dân Quận 4, Trưởng ban Bồi thường giải phóng mặt bằng Quận 4, Trưởng phòng Tư pháp Quận 4, Trưởng phòng Nội vụ Quận 4, Giám đốc Kho bạc nhà nước Quận 4, Chủ tịch Ủy ban nhân dân 15 phường chịu trách nhiệm thi hành Quyết định này./.</w:t>
      </w:r>
    </w:p>
    <w:p>
      <w:pPr>
        <w:bidi w:val="0"/>
        <w:spacing w:before="120" w:beforeAutospacing="0" w:after="280" w:afterAutospacing="1"/>
      </w:pPr>
      <w:r>
        <w:rPr>
          <w:rtl w:val="0"/>
          <w:lang w:val="en-US" w:eastAsia="en-US"/>
        </w:rPr>
        <w:t> </w:t>
      </w:r>
    </w:p>
    <w:tbl>
      <w:tblPr>
        <w:jc w:val="left"/>
        <w:tblCellMar>
          <w:top w:w="0" w:type="dxa"/>
          <w:left w:w="0" w:type="dxa"/>
          <w:bottom w:w="0" w:type="dxa"/>
          <w:right w:w="0" w:type="dxa"/>
        </w:tblCellMar>
      </w:tblPr>
      <w:tblGrid>
        <w:gridCol w:w="4181"/>
        <w:gridCol w:w="4459"/>
      </w:tblGrid>
      <w:tr>
        <w:tblPrEx>
          <w:jc w:val="left"/>
          <w:tblCellMar>
            <w:top w:w="0" w:type="dxa"/>
            <w:left w:w="0" w:type="dxa"/>
            <w:bottom w:w="0" w:type="dxa"/>
            <w:right w:w="0" w:type="dxa"/>
          </w:tblCellMar>
        </w:tblPrEx>
        <w:trPr>
          <w:jc w:val="left"/>
        </w:trPr>
        <w:tc>
          <w:tcPr>
            <w:tcW w:w="430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Trần Hoàng Quân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