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562" w:type="dxa"/>
        <w:tblBorders/>
        <w:tblLook w:val="00A0" w:firstRow="1" w:lastRow="0" w:firstColumn="1" w:lastColumn="0" w:noHBand="0" w:noVBand="0"/>
      </w:tblPr>
      <w:tblGrid>
        <w:gridCol w:w="3402"/>
        <w:gridCol w:w="6160"/>
      </w:tblGrid>
      <w:tr>
        <w:trPr>
          <w:trHeight w:val="1486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402" w:type="dxa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bCs/>
                <w:iCs/>
                <w:sz w:val="26"/>
                <w:szCs w:val="26"/>
              </w:rPr>
            </w:pPr>
            <w:r>
              <w:rPr>
                <w:b/>
                <w:bCs/>
                <w:iCs/>
                <w:sz w:val="26"/>
                <w:szCs w:val="26"/>
              </w:rPr>
              <w:t xml:space="preserve">ỦY BAN NHÂN DÂN</w:t>
            </w:r>
            <w:r>
              <w:rPr>
                <w:b/>
                <w:bCs/>
                <w:iCs/>
                <w:sz w:val="26"/>
                <w:szCs w:val="26"/>
              </w:rPr>
            </w:r>
            <w:r>
              <w:rPr>
                <w:b/>
                <w:bCs/>
                <w:iCs/>
                <w:sz w:val="26"/>
                <w:szCs w:val="26"/>
              </w:rPr>
            </w:r>
          </w:p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bCs/>
                <w:iCs/>
                <w:sz w:val="26"/>
                <w:szCs w:val="26"/>
              </w:rPr>
            </w:pPr>
            <w:r>
              <w:rPr>
                <w:b/>
                <w:bCs/>
                <w:iCs/>
                <w:sz w:val="26"/>
                <w:szCs w:val="26"/>
              </w:rPr>
              <w:t xml:space="preserve">TỈNH TÂY NINH</w:t>
            </w:r>
            <w:r>
              <w:rPr>
                <w:b/>
                <w:bCs/>
                <w:iCs/>
                <w:sz w:val="26"/>
                <w:szCs w:val="26"/>
              </w:rPr>
            </w:r>
            <w:r>
              <w:rPr>
                <w:b/>
                <w:bCs/>
                <w:iCs/>
                <w:sz w:val="26"/>
                <w:szCs w:val="26"/>
              </w:rPr>
            </w:r>
          </w:p>
          <w:p>
            <w:pPr>
              <w:pBdr/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lang w:eastAsia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4294967295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41910</wp:posOffset>
                      </wp:positionV>
                      <wp:extent cx="762000" cy="0"/>
                      <wp:effectExtent l="0" t="0" r="0" b="0"/>
                      <wp:wrapNone/>
                      <wp:docPr id="1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762000" cy="0"/>
                              </a:xfrm>
                              <a:prstGeom prst="line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hape 0" o:spid="_x0000_s0" style="position:absolute;left:0;text-align:left;z-index:251656704;mso-wrap-distance-left:9.00pt;mso-wrap-distance-top:0.00pt;mso-wrap-distance-right:9.00pt;mso-wrap-distance-bottom:-169093.20pt;visibility:visible;" from="50.6pt,3.3pt" to="110.6pt,3.3pt" fillcolor="#FFFFFF" strokecolor="#000000"/>
                  </w:pict>
                </mc:Fallback>
              </mc:AlternateConten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Số:  32 /</w:t>
            </w:r>
            <w:r>
              <w:rPr>
                <w:iCs/>
                <w:sz w:val="28"/>
                <w:szCs w:val="28"/>
              </w:rPr>
              <w:t xml:space="preserve">2026/QĐ</w:t>
            </w:r>
            <w:r>
              <w:rPr>
                <w:iCs/>
                <w:sz w:val="28"/>
                <w:szCs w:val="28"/>
              </w:rPr>
              <w:t xml:space="preserve">-UBND</w:t>
            </w:r>
            <w:r>
              <w:rPr>
                <w:iCs/>
                <w:sz w:val="28"/>
                <w:szCs w:val="28"/>
              </w:rPr>
            </w:r>
            <w:r>
              <w:rPr>
                <w:iCs/>
                <w:sz w:val="28"/>
                <w:szCs w:val="28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6160" w:type="dxa"/>
            <w:textDirection w:val="lrTb"/>
            <w:noWrap w:val="false"/>
          </w:tcPr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left="317"/>
              <w:jc w:val="center"/>
              <w:rPr>
                <w:b/>
                <w:bCs/>
                <w:iCs/>
                <w:sz w:val="26"/>
                <w:szCs w:val="26"/>
              </w:rPr>
            </w:pPr>
            <w:r>
              <w:rPr>
                <w:b/>
                <w:bCs/>
                <w:iCs/>
                <w:sz w:val="26"/>
                <w:szCs w:val="26"/>
              </w:rPr>
              <w:t xml:space="preserve">CỘNG HÒA XÃ HỘI CHỦ NGHĨA VIỆT NAM</w:t>
            </w:r>
            <w:r>
              <w:rPr>
                <w:b/>
                <w:bCs/>
                <w:iCs/>
                <w:sz w:val="26"/>
                <w:szCs w:val="26"/>
              </w:rPr>
            </w:r>
            <w:r>
              <w:rPr>
                <w:b/>
                <w:bCs/>
                <w:iCs/>
                <w:sz w:val="26"/>
                <w:szCs w:val="26"/>
              </w:rPr>
            </w:r>
          </w:p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left="317"/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 xml:space="preserve">Độc lập - Tự do - Hạnh phúc</w:t>
            </w:r>
            <w:r>
              <w:rPr>
                <w:b/>
                <w:bCs/>
                <w:iCs/>
                <w:sz w:val="28"/>
                <w:szCs w:val="28"/>
              </w:rPr>
            </w:r>
            <w:r>
              <w:rPr>
                <w:b/>
                <w:bCs/>
                <w:iCs/>
                <w:sz w:val="28"/>
                <w:szCs w:val="28"/>
              </w:rPr>
            </w:r>
          </w:p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b/>
                <w:bCs/>
                <w:iCs/>
                <w:sz w:val="28"/>
                <w:szCs w:val="28"/>
              </w:rPr>
            </w:pPr>
            <w:r>
              <w:rPr>
                <w:lang w:eastAsia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4294967295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977265</wp:posOffset>
                      </wp:positionH>
                      <wp:positionV relativeFrom="paragraph">
                        <wp:posOffset>47625</wp:posOffset>
                      </wp:positionV>
                      <wp:extent cx="2019300" cy="0"/>
                      <wp:effectExtent l="0" t="0" r="0" b="0"/>
                      <wp:wrapNone/>
                      <wp:docPr id="2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hape 1" o:spid="_x0000_s1" style="position:absolute;left:0;text-align:left;z-index:251661824;mso-wrap-distance-left:9.00pt;mso-wrap-distance-top:0.00pt;mso-wrap-distance-right:9.00pt;mso-wrap-distance-bottom:-169093.20pt;visibility:visible;" from="77.0pt,3.8pt" to="235.9pt,3.8pt" fillcolor="#FFFFFF" strokecolor="#000000"/>
                  </w:pict>
                </mc:Fallback>
              </mc:AlternateContent>
            </w:r>
            <w:r>
              <w:rPr>
                <w:b/>
                <w:bCs/>
                <w:iCs/>
                <w:sz w:val="28"/>
                <w:szCs w:val="28"/>
              </w:rPr>
            </w:r>
            <w:r>
              <w:rPr>
                <w:b/>
                <w:bCs/>
                <w:iCs/>
                <w:sz w:val="28"/>
                <w:szCs w:val="28"/>
              </w:rPr>
            </w:r>
          </w:p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 w:left="317"/>
              <w:jc w:val="center"/>
              <w:rPr>
                <w:bCs/>
                <w:i/>
                <w:iCs/>
                <w:sz w:val="28"/>
                <w:szCs w:val="28"/>
              </w:rPr>
            </w:pPr>
            <w:r>
              <w:rPr>
                <w:bCs/>
                <w:i/>
                <w:iCs/>
                <w:sz w:val="28"/>
                <w:szCs w:val="28"/>
              </w:rPr>
              <w:t xml:space="preserve">  </w:t>
            </w:r>
            <w:r>
              <w:rPr>
                <w:bCs/>
                <w:i/>
                <w:iCs/>
                <w:sz w:val="28"/>
                <w:szCs w:val="28"/>
              </w:rPr>
              <w:t xml:space="preserve">Tây Ninh, ngày   13   tháng </w:t>
            </w:r>
            <w:r>
              <w:rPr>
                <w:bCs/>
                <w:i/>
                <w:iCs/>
                <w:sz w:val="28"/>
                <w:szCs w:val="28"/>
              </w:rPr>
              <w:t xml:space="preserve">3</w:t>
            </w:r>
            <w:r>
              <w:rPr>
                <w:bCs/>
                <w:i/>
                <w:iCs/>
                <w:sz w:val="28"/>
                <w:szCs w:val="28"/>
              </w:rPr>
              <w:t xml:space="preserve"> năm 202</w:t>
            </w:r>
            <w:r>
              <w:rPr>
                <w:bCs/>
                <w:i/>
                <w:iCs/>
                <w:sz w:val="28"/>
                <w:szCs w:val="28"/>
              </w:rPr>
              <w:t xml:space="preserve">6</w:t>
            </w:r>
            <w:r>
              <w:rPr>
                <w:bCs/>
                <w:i/>
                <w:iCs/>
                <w:sz w:val="28"/>
                <w:szCs w:val="28"/>
              </w:rPr>
            </w:r>
            <w:r>
              <w:rPr>
                <w:bCs/>
                <w:i/>
                <w:iCs/>
                <w:sz w:val="28"/>
                <w:szCs w:val="28"/>
              </w:rPr>
            </w:r>
          </w:p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leader="none" w:pos="1315"/>
              </w:tabs>
              <w:spacing/>
              <w:ind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  <w:r>
              <w:rPr>
                <w:sz w:val="4"/>
                <w:szCs w:val="4"/>
              </w:rPr>
            </w:r>
          </w:p>
          <w:p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leader="none" w:pos="1315"/>
              </w:tabs>
              <w:spacing/>
              <w:ind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ab/>
            </w:r>
            <w:r>
              <w:rPr>
                <w:sz w:val="12"/>
                <w:szCs w:val="12"/>
              </w:rPr>
            </w:r>
            <w:r>
              <w:rPr>
                <w:sz w:val="12"/>
                <w:szCs w:val="12"/>
              </w:rPr>
            </w:r>
          </w:p>
        </w:tc>
      </w:tr>
    </w:tbl>
    <w:p>
      <w:pPr>
        <w:widowControl w:val="false"/>
        <w:pBdr/>
        <w:spacing/>
        <w:ind/>
        <w:rPr>
          <w:rFonts w:eastAsia="Arial Unicode MS"/>
          <w:b/>
          <w:sz w:val="16"/>
          <w:szCs w:val="28"/>
          <w:lang w:val="vi-VN" w:eastAsia="ar-SA"/>
        </w:rPr>
      </w:pPr>
      <w:r>
        <w:rPr>
          <w:rFonts w:eastAsia="Arial Unicode MS"/>
          <w:b/>
          <w:sz w:val="16"/>
          <w:szCs w:val="28"/>
          <w:lang w:val="vi-VN" w:eastAsia="ar-SA"/>
        </w:rPr>
      </w:r>
      <w:r>
        <w:rPr>
          <w:rFonts w:eastAsia="Arial Unicode MS"/>
          <w:b/>
          <w:sz w:val="16"/>
          <w:szCs w:val="28"/>
          <w:lang w:val="vi-VN" w:eastAsia="ar-SA"/>
        </w:rPr>
      </w:r>
      <w:r>
        <w:rPr>
          <w:rFonts w:eastAsia="Arial Unicode MS"/>
          <w:b/>
          <w:sz w:val="16"/>
          <w:szCs w:val="28"/>
          <w:lang w:val="vi-VN" w:eastAsia="ar-SA"/>
        </w:rPr>
      </w:r>
    </w:p>
    <w:p>
      <w:pPr>
        <w:pBdr/>
        <w:spacing w:before="90"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QUYẾT ĐỊNH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 w:before="90"/>
        <w:ind/>
        <w:jc w:val="center"/>
        <w:rPr>
          <w:b/>
          <w:bCs/>
          <w:sz w:val="2"/>
          <w:szCs w:val="28"/>
        </w:rPr>
      </w:pPr>
      <w:r>
        <w:rPr>
          <w:b/>
          <w:bCs/>
          <w:sz w:val="2"/>
          <w:szCs w:val="28"/>
        </w:rPr>
      </w:r>
      <w:r>
        <w:rPr>
          <w:b/>
          <w:bCs/>
          <w:sz w:val="2"/>
          <w:szCs w:val="28"/>
        </w:rPr>
      </w:r>
      <w:r>
        <w:rPr>
          <w:b/>
          <w:bCs/>
          <w:sz w:val="2"/>
          <w:szCs w:val="28"/>
        </w:rPr>
      </w:r>
    </w:p>
    <w:p>
      <w:pPr>
        <w:suppressLineNumbers w:val="false"/>
        <w:pBdr/>
        <w:spacing/>
        <w:ind/>
        <w:contextualSpacing w:val="false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Triển khai Nghị quyết số 23/2025/NQ-HĐND ngày 10</w:t>
      </w:r>
      <w:r>
        <w:rPr>
          <w:b/>
          <w:bCs/>
          <w:sz w:val="28"/>
          <w:szCs w:val="28"/>
        </w:rPr>
        <w:t xml:space="preserve"> tháng </w:t>
      </w:r>
      <w:r>
        <w:rPr>
          <w:b/>
          <w:bCs/>
          <w:sz w:val="28"/>
          <w:szCs w:val="28"/>
        </w:rPr>
        <w:t xml:space="preserve">12</w:t>
      </w:r>
      <w:r>
        <w:rPr>
          <w:b/>
          <w:bCs/>
          <w:sz w:val="28"/>
          <w:szCs w:val="28"/>
        </w:rPr>
        <w:t xml:space="preserve"> năm 2025 </w:t>
      </w:r>
      <w:r>
        <w:rPr>
          <w:b/>
          <w:bCs/>
          <w:spacing w:val="-11"/>
          <w:sz w:val="28"/>
          <w:szCs w:val="28"/>
        </w:rPr>
        <w:t xml:space="preserve">của Hội đồng nhân dân</w:t>
      </w:r>
      <w:r>
        <w:rPr>
          <w:b/>
          <w:bCs/>
          <w:spacing w:val="-11"/>
          <w:sz w:val="28"/>
          <w:szCs w:val="28"/>
        </w:rPr>
        <w:t xml:space="preserve"> tỉnh về việc quy định mức hỗ trợ đóng bảo hiểm y tế</w:t>
      </w:r>
      <w:r>
        <w:rPr>
          <w:b/>
          <w:bCs/>
          <w:sz w:val="28"/>
          <w:szCs w:val="28"/>
        </w:rPr>
        <w:t xml:space="preserve">               cho các đối tượng không được hưởng mức hỗ trợ từ ngân sách nhà nước đối với Thanh niên </w:t>
      </w:r>
      <w:r>
        <w:rPr>
          <w:b/>
          <w:bCs/>
          <w:spacing w:val="-6"/>
          <w:sz w:val="28"/>
          <w:szCs w:val="28"/>
        </w:rPr>
        <w:t xml:space="preserve">thi hành nghĩa vụ Kinh tế - Quốc phòng của tỉnh Tây Ninh và Đoàn xây dựng</w:t>
      </w:r>
      <w:r>
        <w:rPr>
          <w:b/>
          <w:bCs/>
          <w:sz w:val="28"/>
          <w:szCs w:val="28"/>
        </w:rPr>
        <w:t xml:space="preserve"> kinh tế Thanh niên trên địa bàn tỉnh Tây Ninh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widowControl w:val="false"/>
        <w:pBdr/>
        <w:spacing w:before="120"/>
        <w:ind/>
        <w:jc w:val="center"/>
        <w:rPr>
          <w:sz w:val="28"/>
          <w:szCs w:val="28"/>
        </w:rPr>
      </w:pPr>
      <w:r>
        <w:rPr>
          <w:rFonts w:eastAsia="Arial Unicode MS"/>
          <w:b/>
          <w:bCs/>
          <w:lang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4294967295" distL="114300" distR="114300" simplePos="0" relativeHeight="251658752" behindDoc="0" locked="0" layoutInCell="1" allowOverlap="1">
                <wp:simplePos x="0" y="0"/>
                <wp:positionH relativeFrom="column">
                  <wp:posOffset>1967865</wp:posOffset>
                </wp:positionH>
                <wp:positionV relativeFrom="paragraph">
                  <wp:posOffset>125730</wp:posOffset>
                </wp:positionV>
                <wp:extent cx="1685925" cy="0"/>
                <wp:effectExtent l="0" t="0" r="0" b="0"/>
                <wp:wrapNone/>
                <wp:docPr id="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85925" cy="0"/>
                        </a:xfrm>
                        <a:prstGeom prst="line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2" o:spid="_x0000_s2" style="position:absolute;left:0;text-align:left;z-index:251658752;mso-wrap-distance-left:9.00pt;mso-wrap-distance-top:0.00pt;mso-wrap-distance-right:9.00pt;mso-wrap-distance-bottom:-169093.20pt;visibility:visible;" from="154.9pt,9.9pt" to="287.7pt,9.9pt" filled="f" strokecolor="#000000"/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pBdr/>
        <w:spacing w:after="120" w:before="120" w:line="264" w:lineRule="auto"/>
        <w:ind w:firstLine="567"/>
        <w:jc w:val="both"/>
        <w:rPr>
          <w:rFonts w:eastAsia="Calibri"/>
          <w:i/>
          <w:iCs/>
          <w:sz w:val="28"/>
          <w:szCs w:val="28"/>
        </w:rPr>
      </w:pPr>
      <w:r>
        <w:rPr>
          <w:rFonts w:eastAsia="Calibri"/>
          <w:i/>
          <w:iCs/>
          <w:sz w:val="28"/>
          <w:szCs w:val="28"/>
        </w:rPr>
        <w:t xml:space="preserve">Căn cứ Luật Tổ chức chính quyền địa phương số 72/2025/QH15;</w:t>
      </w:r>
      <w:r>
        <w:rPr>
          <w:rFonts w:eastAsia="Calibri"/>
          <w:i/>
          <w:iCs/>
          <w:sz w:val="28"/>
          <w:szCs w:val="28"/>
        </w:rPr>
      </w:r>
      <w:r>
        <w:rPr>
          <w:rFonts w:eastAsia="Calibri"/>
          <w:i/>
          <w:iCs/>
          <w:sz w:val="28"/>
          <w:szCs w:val="28"/>
        </w:rPr>
      </w:r>
    </w:p>
    <w:p>
      <w:pPr>
        <w:widowControl w:val="false"/>
        <w:pBdr/>
        <w:spacing w:after="120" w:before="120" w:line="264" w:lineRule="auto"/>
        <w:ind w:firstLine="567"/>
        <w:jc w:val="both"/>
        <w:rPr>
          <w:rFonts w:eastAsia="Calibri"/>
          <w:i/>
          <w:iCs/>
          <w:sz w:val="28"/>
          <w:szCs w:val="28"/>
        </w:rPr>
      </w:pPr>
      <w:r>
        <w:rPr>
          <w:rFonts w:eastAsia="Calibri"/>
          <w:i/>
          <w:iCs/>
          <w:sz w:val="28"/>
          <w:szCs w:val="28"/>
        </w:rPr>
        <w:t xml:space="preserve">Căn</w:t>
      </w:r>
      <w:r>
        <w:rPr>
          <w:rFonts w:eastAsia="Calibri"/>
          <w:i/>
          <w:iCs/>
          <w:sz w:val="28"/>
          <w:szCs w:val="28"/>
        </w:rPr>
        <w:t xml:space="preserve"> </w:t>
      </w:r>
      <w:r>
        <w:rPr>
          <w:rFonts w:eastAsia="Calibri"/>
          <w:i/>
          <w:iCs/>
          <w:sz w:val="28"/>
          <w:szCs w:val="28"/>
        </w:rPr>
        <w:t xml:space="preserve">cứ</w:t>
      </w:r>
      <w:r>
        <w:rPr>
          <w:rFonts w:eastAsia="Calibri"/>
          <w:i/>
          <w:iCs/>
          <w:sz w:val="28"/>
          <w:szCs w:val="28"/>
        </w:rPr>
        <w:t xml:space="preserve"> </w:t>
      </w:r>
      <w:r>
        <w:rPr>
          <w:rFonts w:eastAsia="Calibri"/>
          <w:i/>
          <w:iCs/>
          <w:sz w:val="28"/>
          <w:szCs w:val="28"/>
        </w:rPr>
        <w:t xml:space="preserve">Luật</w:t>
      </w:r>
      <w:r>
        <w:rPr>
          <w:rFonts w:eastAsia="Calibri"/>
          <w:i/>
          <w:iCs/>
          <w:sz w:val="28"/>
          <w:szCs w:val="28"/>
        </w:rPr>
        <w:t xml:space="preserve"> </w:t>
      </w:r>
      <w:r>
        <w:rPr>
          <w:rFonts w:eastAsia="Calibri"/>
          <w:i/>
          <w:iCs/>
          <w:sz w:val="28"/>
          <w:szCs w:val="28"/>
        </w:rPr>
        <w:t xml:space="preserve">Ngân sách nhà nước</w:t>
      </w:r>
      <w:r>
        <w:rPr>
          <w:rFonts w:eastAsia="Calibri"/>
          <w:i/>
          <w:iCs/>
          <w:sz w:val="28"/>
          <w:szCs w:val="28"/>
        </w:rPr>
        <w:t xml:space="preserve"> </w:t>
      </w:r>
      <w:r>
        <w:rPr>
          <w:rFonts w:eastAsia="Calibri"/>
          <w:i/>
          <w:iCs/>
          <w:sz w:val="28"/>
          <w:szCs w:val="28"/>
        </w:rPr>
        <w:t xml:space="preserve">số 89/2025/QH15</w:t>
      </w:r>
      <w:r>
        <w:rPr>
          <w:rFonts w:eastAsia="Calibri"/>
          <w:i/>
          <w:iCs/>
          <w:sz w:val="28"/>
          <w:szCs w:val="28"/>
        </w:rPr>
        <w:t xml:space="preserve">;</w:t>
      </w:r>
      <w:r>
        <w:rPr>
          <w:rFonts w:eastAsia="Calibri"/>
          <w:i/>
          <w:iCs/>
          <w:sz w:val="28"/>
          <w:szCs w:val="28"/>
        </w:rPr>
      </w:r>
      <w:r>
        <w:rPr>
          <w:rFonts w:eastAsia="Calibri"/>
          <w:i/>
          <w:iCs/>
          <w:sz w:val="28"/>
          <w:szCs w:val="28"/>
        </w:rPr>
      </w:r>
    </w:p>
    <w:p>
      <w:pPr>
        <w:widowControl w:val="false"/>
        <w:pBdr/>
        <w:spacing w:after="120" w:before="120" w:line="264" w:lineRule="auto"/>
        <w:ind w:firstLine="567"/>
        <w:jc w:val="both"/>
        <w:rPr>
          <w:rFonts w:eastAsia="Calibri"/>
          <w:i/>
          <w:iCs/>
          <w:sz w:val="28"/>
          <w:szCs w:val="28"/>
        </w:rPr>
      </w:pPr>
      <w:r>
        <w:rPr>
          <w:rFonts w:eastAsia="Calibri"/>
          <w:i/>
          <w:iCs/>
          <w:sz w:val="28"/>
          <w:szCs w:val="28"/>
        </w:rPr>
        <w:t xml:space="preserve">Căn cứ Luật Bảo hiểm y tế </w:t>
      </w:r>
      <w:r>
        <w:rPr>
          <w:i/>
          <w:iCs/>
          <w:sz w:val="28"/>
          <w:szCs w:val="28"/>
        </w:rPr>
        <w:t xml:space="preserve">số 25/2008/QH12</w:t>
      </w:r>
      <w:r>
        <w:rPr>
          <w:rFonts w:eastAsia="Calibri"/>
          <w:i/>
          <w:iCs/>
          <w:sz w:val="28"/>
          <w:szCs w:val="28"/>
        </w:rPr>
        <w:t xml:space="preserve">; Luật sửa đổi, bổ sung một số điều của Luật Bảo hiểm y tế 46/2014/QH13; Luật sửa đổi, bổ sung một số điều của Luật Bảo hiểm y tế </w:t>
      </w:r>
      <w:r>
        <w:rPr>
          <w:i/>
          <w:iCs/>
          <w:sz w:val="28"/>
          <w:szCs w:val="28"/>
        </w:rPr>
        <w:t xml:space="preserve">số</w:t>
      </w:r>
      <w:r>
        <w:rPr>
          <w:i/>
          <w:iCs/>
          <w:color w:val="152c4a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51/2024/QH15</w:t>
      </w:r>
      <w:r>
        <w:rPr>
          <w:rFonts w:eastAsia="Calibri"/>
          <w:i/>
          <w:iCs/>
          <w:sz w:val="28"/>
          <w:szCs w:val="28"/>
        </w:rPr>
        <w:t xml:space="preserve">; </w:t>
      </w:r>
      <w:r>
        <w:rPr>
          <w:rFonts w:eastAsia="Calibri"/>
          <w:i/>
          <w:iCs/>
          <w:sz w:val="28"/>
          <w:szCs w:val="28"/>
        </w:rPr>
      </w:r>
      <w:r>
        <w:rPr>
          <w:rFonts w:eastAsia="Calibri"/>
          <w:i/>
          <w:iCs/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rFonts w:eastAsia="Calibri"/>
          <w:i/>
          <w:iCs/>
          <w:sz w:val="28"/>
          <w:szCs w:val="28"/>
        </w:rPr>
      </w:pPr>
      <w:r>
        <w:rPr>
          <w:rFonts w:eastAsia="Calibri"/>
          <w:i/>
          <w:iCs/>
          <w:sz w:val="28"/>
          <w:szCs w:val="28"/>
        </w:rPr>
        <w:t xml:space="preserve">Căn cứ Nghị định số 188/2025/NĐ-CP ngày 01 tháng 7 năm 2025 của Chính phủ quy định chi tiết và hướng dẫn thi hành một số điều của Luật Bảo hiểm y tế;</w:t>
      </w:r>
      <w:r>
        <w:rPr>
          <w:rFonts w:eastAsia="Calibri"/>
          <w:i/>
          <w:iCs/>
          <w:sz w:val="28"/>
          <w:szCs w:val="28"/>
        </w:rPr>
      </w:r>
      <w:r>
        <w:rPr>
          <w:rFonts w:eastAsia="Calibri"/>
          <w:i/>
          <w:iCs/>
          <w:sz w:val="28"/>
          <w:szCs w:val="28"/>
        </w:rPr>
      </w:r>
    </w:p>
    <w:p>
      <w:pPr>
        <w:pBdr/>
        <w:spacing w:after="120" w:before="120" w:line="264" w:lineRule="auto"/>
        <w:ind w:right="-5" w:firstLine="567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Căn cứ Nghị quyết số 23/2025/NQ-HĐND ngày 10</w:t>
      </w:r>
      <w:r>
        <w:rPr>
          <w:i/>
          <w:iCs/>
          <w:sz w:val="28"/>
          <w:szCs w:val="28"/>
        </w:rPr>
        <w:t xml:space="preserve"> tháng </w:t>
      </w:r>
      <w:r>
        <w:rPr>
          <w:i/>
          <w:iCs/>
          <w:sz w:val="28"/>
          <w:szCs w:val="28"/>
        </w:rPr>
        <w:t xml:space="preserve">12</w:t>
      </w:r>
      <w:r>
        <w:rPr>
          <w:i/>
          <w:iCs/>
          <w:sz w:val="28"/>
          <w:szCs w:val="28"/>
        </w:rPr>
        <w:t xml:space="preserve"> năm </w:t>
      </w:r>
      <w:r>
        <w:rPr>
          <w:i/>
          <w:iCs/>
          <w:sz w:val="28"/>
          <w:szCs w:val="28"/>
        </w:rPr>
        <w:t xml:space="preserve">2025 của H</w:t>
      </w:r>
      <w:r>
        <w:rPr>
          <w:i/>
          <w:iCs/>
          <w:sz w:val="28"/>
          <w:szCs w:val="28"/>
        </w:rPr>
        <w:t xml:space="preserve">ội đồng nhân dân</w:t>
      </w:r>
      <w:r>
        <w:rPr>
          <w:i/>
          <w:iCs/>
          <w:sz w:val="28"/>
          <w:szCs w:val="28"/>
        </w:rPr>
        <w:t xml:space="preserve"> tỉn</w:t>
      </w:r>
      <w:r>
        <w:rPr>
          <w:i/>
          <w:iCs/>
          <w:sz w:val="28"/>
          <w:szCs w:val="28"/>
        </w:rPr>
        <w:t xml:space="preserve">h về việc quy định mức hỗ trợ đóng bảo hiểm y tế cho các đối tượng không được hưởng mức hỗ trợ từ ngân sách nhà nước đối với Thanh niên thi hành nghĩa vụ Kinh tế - Quốc phòng của tỉnh Tây Ninh và Đoàn xây dựng kinh tế Thanh niên trên địa bàn tỉnh Tây Ninh;</w:t>
      </w:r>
      <w:r>
        <w:rPr>
          <w:i/>
          <w:iCs/>
          <w:sz w:val="28"/>
          <w:szCs w:val="28"/>
        </w:rPr>
      </w:r>
      <w:r>
        <w:rPr>
          <w:i/>
          <w:iCs/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Theo đề nghị</w:t>
      </w:r>
      <w:r>
        <w:rPr>
          <w:i/>
          <w:iCs/>
          <w:sz w:val="28"/>
          <w:szCs w:val="28"/>
        </w:rPr>
        <w:t xml:space="preserve"> của </w:t>
      </w:r>
      <w:r>
        <w:rPr>
          <w:i/>
          <w:iCs/>
          <w:sz w:val="28"/>
          <w:szCs w:val="28"/>
        </w:rPr>
        <w:t xml:space="preserve">Giám đốc </w:t>
      </w:r>
      <w:r>
        <w:rPr>
          <w:i/>
          <w:iCs/>
          <w:sz w:val="28"/>
          <w:szCs w:val="28"/>
        </w:rPr>
        <w:t xml:space="preserve">Sở Nội vụ</w:t>
      </w:r>
      <w:r>
        <w:rPr>
          <w:i/>
          <w:iCs/>
          <w:sz w:val="28"/>
          <w:szCs w:val="28"/>
        </w:rPr>
        <w:t xml:space="preserve">;</w:t>
      </w:r>
      <w:r>
        <w:rPr>
          <w:i/>
          <w:iCs/>
          <w:sz w:val="28"/>
          <w:szCs w:val="28"/>
        </w:rPr>
      </w:r>
      <w:r>
        <w:rPr>
          <w:i/>
          <w:iCs/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Ủy ban nhân dân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tỉnh </w:t>
      </w:r>
      <w:r>
        <w:rPr>
          <w:i/>
          <w:iCs/>
          <w:sz w:val="28"/>
          <w:szCs w:val="28"/>
        </w:rPr>
        <w:t xml:space="preserve">ban hành Quyết định triển khai Nghị quyết số 23/2025/NQ-HĐND ngày 10</w:t>
      </w:r>
      <w:r>
        <w:rPr>
          <w:i/>
          <w:iCs/>
          <w:sz w:val="28"/>
          <w:szCs w:val="28"/>
        </w:rPr>
        <w:t xml:space="preserve"> tháng </w:t>
      </w:r>
      <w:r>
        <w:rPr>
          <w:i/>
          <w:iCs/>
          <w:sz w:val="28"/>
          <w:szCs w:val="28"/>
        </w:rPr>
        <w:t xml:space="preserve">12</w:t>
      </w:r>
      <w:r>
        <w:rPr>
          <w:i/>
          <w:iCs/>
          <w:sz w:val="28"/>
          <w:szCs w:val="28"/>
        </w:rPr>
        <w:t xml:space="preserve"> năm </w:t>
      </w:r>
      <w:r>
        <w:rPr>
          <w:i/>
          <w:iCs/>
          <w:sz w:val="28"/>
          <w:szCs w:val="28"/>
        </w:rPr>
        <w:t xml:space="preserve">2025 của H</w:t>
      </w:r>
      <w:r>
        <w:rPr>
          <w:i/>
          <w:iCs/>
          <w:sz w:val="28"/>
          <w:szCs w:val="28"/>
        </w:rPr>
        <w:t xml:space="preserve">ội đồng nhân dân</w:t>
      </w:r>
      <w:r>
        <w:rPr>
          <w:i/>
          <w:iCs/>
          <w:sz w:val="28"/>
          <w:szCs w:val="28"/>
        </w:rPr>
        <w:t xml:space="preserve"> tỉnh</w:t>
      </w:r>
      <w:r>
        <w:rPr>
          <w:i/>
          <w:iCs/>
          <w:sz w:val="28"/>
          <w:szCs w:val="28"/>
        </w:rPr>
        <w:t xml:space="preserve"> về việc quy định mức hỗ trợ đóng bảo hiểm y tế cho các đối tượng không được hưởng mức hỗ trợ từ ngân sách nhà nước đối với Thanh niên thi hành nghĩa vụ Kinh tế - Quốc phòng của tỉnh Tây Ninh và Đoàn xây dựng kinh tế Thanh niên trên địa bàn tỉnh Tây Ninh. </w:t>
      </w:r>
      <w:r>
        <w:rPr>
          <w:i/>
          <w:iCs/>
          <w:sz w:val="28"/>
          <w:szCs w:val="28"/>
        </w:rPr>
      </w:r>
      <w:r>
        <w:rPr>
          <w:i/>
          <w:iCs/>
          <w:sz w:val="28"/>
          <w:szCs w:val="28"/>
        </w:rPr>
      </w:r>
    </w:p>
    <w:p>
      <w:pPr>
        <w:pBdr/>
        <w:spacing w:after="120" w:before="120" w:line="264" w:lineRule="auto"/>
        <w:ind w:right="-5"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Điều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1.</w:t>
      </w:r>
      <w:r>
        <w:rPr>
          <w:sz w:val="35"/>
          <w:szCs w:val="35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T</w:t>
      </w:r>
      <w:r>
        <w:rPr>
          <w:sz w:val="28"/>
          <w:szCs w:val="28"/>
        </w:rPr>
        <w:t xml:space="preserve">riển khai Nghị quyết số 23/2025/NQ-HĐND ngày 10</w:t>
      </w:r>
      <w:r>
        <w:rPr>
          <w:sz w:val="28"/>
          <w:szCs w:val="28"/>
        </w:rPr>
        <w:t xml:space="preserve"> tháng </w:t>
      </w:r>
      <w:r>
        <w:rPr>
          <w:sz w:val="28"/>
          <w:szCs w:val="28"/>
        </w:rPr>
        <w:t xml:space="preserve">12</w:t>
      </w:r>
      <w:r>
        <w:rPr>
          <w:sz w:val="28"/>
          <w:szCs w:val="28"/>
        </w:rPr>
        <w:t xml:space="preserve"> năm </w:t>
      </w:r>
      <w:r>
        <w:rPr>
          <w:sz w:val="28"/>
          <w:szCs w:val="28"/>
        </w:rPr>
        <w:t xml:space="preserve">2025 của H</w:t>
      </w:r>
      <w:r>
        <w:rPr>
          <w:sz w:val="28"/>
          <w:szCs w:val="28"/>
        </w:rPr>
        <w:t xml:space="preserve">ội đồng nhân dân</w:t>
      </w:r>
      <w:r>
        <w:rPr>
          <w:sz w:val="28"/>
          <w:szCs w:val="28"/>
        </w:rPr>
        <w:t xml:space="preserve"> tỉ</w:t>
      </w:r>
      <w:r>
        <w:rPr>
          <w:sz w:val="28"/>
          <w:szCs w:val="28"/>
        </w:rPr>
        <w:t xml:space="preserve">nh về việc quy định mức hỗ trợ đóng bảo hiểm y tế cho các đối tượng không được hưởng mức hỗ trợ từ ngân sách nhà nước đối với Thanh niên thi hành nghĩa vụ Kinh tế - Quốc phòng của tỉnh Tây Ninh và Đoàn xây dựng kinh tế Thanh niên trên địa bàn tỉnh Tây Ninh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(Nghị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quyết số 23/2025/NQ-HĐND)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như sau: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Phạm vi điều chỉnh:</w:t>
      </w:r>
      <w:r>
        <w:rPr>
          <w:sz w:val="28"/>
          <w:szCs w:val="28"/>
        </w:rPr>
        <w:t xml:space="preserve"> Thực hiện theo khoản 1 Điều 1 Nghị quyết số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23/2025/NQ-HĐND.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 Đối tượng áp dụng và điều kiện hỗ trợ:</w:t>
      </w:r>
      <w:r>
        <w:rPr>
          <w:sz w:val="28"/>
          <w:szCs w:val="28"/>
        </w:rPr>
        <w:t xml:space="preserve"> Thực hiện theo khoản 2 Điều 1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Nghị quyết số 23/2025/NQ-HĐND.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3. Mức hỗ trợ:</w:t>
      </w:r>
      <w:r>
        <w:rPr>
          <w:sz w:val="28"/>
          <w:szCs w:val="28"/>
        </w:rPr>
        <w:t xml:space="preserve"> Thực hiện theo khoản 3 Điều 1 Nghị quyết số 23/2025/NQ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HĐND.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spacing w:val="-4"/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 xml:space="preserve">4. Nguồn kinh phí:</w:t>
      </w:r>
      <w:r>
        <w:rPr>
          <w:spacing w:val="-4"/>
          <w:sz w:val="28"/>
          <w:szCs w:val="28"/>
        </w:rPr>
        <w:t xml:space="preserve"> Nguồn ngân sách tỉnh và nguồn huy động hợp pháp khác. </w:t>
      </w:r>
      <w:r>
        <w:rPr>
          <w:spacing w:val="-4"/>
          <w:sz w:val="28"/>
          <w:szCs w:val="28"/>
        </w:rPr>
      </w:r>
      <w:r>
        <w:rPr>
          <w:spacing w:val="-4"/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5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Thẩm quyền lập danh sách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Thực hiện theo khoản 3 Điều 9 </w:t>
      </w:r>
      <w:r>
        <w:rPr>
          <w:rFonts w:eastAsia="Calibri"/>
          <w:sz w:val="28"/>
          <w:szCs w:val="28"/>
        </w:rPr>
        <w:t xml:space="preserve">Nghị định số 188/2025/NĐ-CP ngày 01 tháng 7 năm 2025 của Chính phủ quy định chi tiết và hướng dẫn thi hành một số điều của Luật Bảo hiểm y tế</w:t>
      </w:r>
      <w:r>
        <w:rPr>
          <w:rFonts w:eastAsia="Calibri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35"/>
        <w:pBdr/>
        <w:spacing w:before="120" w:line="264" w:lineRule="auto"/>
        <w:ind w:firstLine="567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6</w:t>
      </w:r>
      <w:r>
        <w:rPr>
          <w:b/>
          <w:sz w:val="28"/>
          <w:szCs w:val="28"/>
        </w:rPr>
        <w:t xml:space="preserve">. Mức </w:t>
      </w:r>
      <w:r>
        <w:rPr>
          <w:b/>
          <w:sz w:val="28"/>
          <w:szCs w:val="28"/>
        </w:rPr>
        <w:t xml:space="preserve">hỗ trợ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đóng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Thực hiện theo khoản </w:t>
      </w:r>
      <w:r>
        <w:rPr>
          <w:sz w:val="28"/>
          <w:szCs w:val="28"/>
        </w:rPr>
        <w:t xml:space="preserve">4</w:t>
      </w:r>
      <w:r>
        <w:rPr>
          <w:sz w:val="28"/>
          <w:szCs w:val="28"/>
        </w:rPr>
        <w:t xml:space="preserve"> Điều </w:t>
      </w:r>
      <w:r>
        <w:rPr>
          <w:sz w:val="28"/>
          <w:szCs w:val="28"/>
        </w:rPr>
        <w:t xml:space="preserve">6</w:t>
      </w:r>
      <w:r>
        <w:rPr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 xml:space="preserve">Nghị định số 188/2025/NĐ-CP ngày 01 tháng 7 năm 2025 của Chính phủ quy định chi tiết và hướng dẫn thi hành một số điều của Luật Bảo hiểm y tế</w:t>
      </w:r>
      <w:r>
        <w:rPr>
          <w:rFonts w:eastAsia="Calibri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7</w:t>
      </w:r>
      <w:r>
        <w:rPr>
          <w:b/>
          <w:bCs/>
          <w:sz w:val="28"/>
          <w:szCs w:val="28"/>
        </w:rPr>
        <w:t xml:space="preserve">. Thông tin thẻ</w:t>
      </w:r>
      <w:r>
        <w:rPr>
          <w:b/>
          <w:bCs/>
          <w:sz w:val="28"/>
          <w:szCs w:val="28"/>
        </w:rPr>
        <w:t xml:space="preserve"> bảo hiểm y tế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Thực hiện theo Điều 11 </w:t>
      </w:r>
      <w:r>
        <w:rPr>
          <w:rFonts w:eastAsia="Calibri"/>
          <w:sz w:val="28"/>
          <w:szCs w:val="28"/>
        </w:rPr>
        <w:t xml:space="preserve">Nghị định số 188/2025/NĐ-CP ngày 01 tháng 7 năm 2025 của Chính phủ quy định chi tiết và hướng dẫn thi hành một số điều của Luật Bảo hiểm y tế</w:t>
      </w:r>
      <w:r>
        <w:rPr>
          <w:rFonts w:eastAsia="Calibri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</w:t>
      </w:r>
      <w:r>
        <w:rPr>
          <w:b/>
          <w:bCs/>
          <w:sz w:val="28"/>
          <w:szCs w:val="28"/>
        </w:rPr>
        <w:t xml:space="preserve">. Th</w:t>
      </w:r>
      <w:r>
        <w:rPr>
          <w:b/>
          <w:bCs/>
          <w:sz w:val="28"/>
          <w:szCs w:val="28"/>
        </w:rPr>
        <w:t xml:space="preserve">ủ</w:t>
      </w:r>
      <w:r>
        <w:rPr>
          <w:b/>
          <w:bCs/>
          <w:sz w:val="28"/>
          <w:szCs w:val="28"/>
        </w:rPr>
        <w:t xml:space="preserve"> tục cấp thẻ Bảo hiểm y tế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sz w:val="28"/>
          <w:szCs w:val="28"/>
        </w:rPr>
      </w:pPr>
      <w:r/>
      <w:bookmarkStart w:id="0" w:name="_Hlk218084775"/>
      <w:r>
        <w:rPr>
          <w:sz w:val="28"/>
          <w:szCs w:val="28"/>
        </w:rPr>
        <w:t xml:space="preserve">Thực hiện theo</w:t>
      </w:r>
      <w:r>
        <w:rPr>
          <w:sz w:val="28"/>
          <w:szCs w:val="28"/>
        </w:rPr>
        <w:t xml:space="preserve"> khoản 2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Điều 11 </w:t>
      </w:r>
      <w:r>
        <w:rPr>
          <w:rFonts w:eastAsia="Calibri"/>
          <w:sz w:val="28"/>
          <w:szCs w:val="28"/>
        </w:rPr>
        <w:t xml:space="preserve">Nghị định số 188/2025/NĐ-CP ngày 01 tháng 7 năm 2025 của Chính phủ quy định chi tiết và hướng dẫn thi hành một số điều của Luật Bảo hiểm y tế</w:t>
      </w:r>
      <w:r>
        <w:rPr>
          <w:rFonts w:eastAsia="Calibri"/>
          <w:sz w:val="28"/>
          <w:szCs w:val="28"/>
        </w:rPr>
        <w:t xml:space="preserve">.</w:t>
      </w:r>
      <w:bookmarkEnd w:id="0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Điều 2. Hiệu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lực thi hành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Quyết định này có hiệu lực thi hành kể từ ngày</w:t>
      </w:r>
      <w:r>
        <w:rPr>
          <w:sz w:val="28"/>
          <w:szCs w:val="28"/>
        </w:rPr>
        <w:t xml:space="preserve"> ký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sz w:val="28"/>
          <w:szCs w:val="28"/>
        </w:rPr>
        <w:t xml:space="preserve">Mức hỗ trợ đóng bảo hiểm y tế cho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các đối tượng không được hưởng mức hỗ trợ từ ngân sách nhà nước đối với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Thanh niên thi hành nghĩa vụ Kinh tế - Quốc phòng của tỉnh Tây Ninh và Đoàn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xây dựng kinh tế Thanh niên trên địa bàn tỉnh Tây Ninh tại Quyết định này được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thực hiện kể từ ngày Nghị quyết số 23/2025/NQ-HĐND có hiệu lực thi hành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Điều 3. </w:t>
      </w:r>
      <w:r>
        <w:rPr>
          <w:b/>
          <w:bCs/>
          <w:sz w:val="28"/>
          <w:szCs w:val="28"/>
        </w:rPr>
        <w:t xml:space="preserve">Tổ chức thực hiện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Sở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Nội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vụ làm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đầu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mối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theo dõi, đôn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đốc,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tổng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hợp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tình hình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triển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khai thực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hiện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Quyết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định này.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Bảo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hiểm xã hội </w:t>
      </w:r>
      <w:r>
        <w:rPr>
          <w:sz w:val="28"/>
          <w:szCs w:val="28"/>
        </w:rPr>
        <w:t xml:space="preserve">tỉnh:</w:t>
      </w:r>
      <w:r>
        <w:rPr>
          <w:sz w:val="28"/>
          <w:szCs w:val="28"/>
        </w:rPr>
        <w:t xml:space="preserve"> Hàng quý, tổng hợp số thẻ bảo hiểm y tế đã phát hành và số tiền đóng, hỗ trợ đóng gửi Sở Tài chính để chuyển kinh phí vào quỹ </w:t>
      </w:r>
      <w:r>
        <w:rPr>
          <w:sz w:val="28"/>
          <w:szCs w:val="28"/>
        </w:rPr>
        <w:t xml:space="preserve">bảo hiểm y tế theo quy định của pháp luật</w:t>
      </w:r>
      <w:r>
        <w:rPr>
          <w:sz w:val="28"/>
          <w:szCs w:val="28"/>
        </w:rPr>
        <w:t xml:space="preserve">; </w:t>
      </w:r>
      <w:r>
        <w:rPr>
          <w:sz w:val="28"/>
          <w:szCs w:val="28"/>
        </w:rPr>
        <w:t xml:space="preserve">đồng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thời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gửi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danh sách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đối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tượng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đã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được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cấp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thẻ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bảo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hiểm y tế cho Sở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Nội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vụ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để theo dõi, quản lý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</w:t>
      </w:r>
      <w:r>
        <w:rPr>
          <w:sz w:val="28"/>
          <w:szCs w:val="28"/>
        </w:rPr>
        <w:t xml:space="preserve">. Sở Tài chính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</w:t>
      </w:r>
      <w:r>
        <w:rPr>
          <w:sz w:val="28"/>
          <w:szCs w:val="28"/>
        </w:rPr>
        <w:t xml:space="preserve">huyển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kinh phí đóng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bảo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hiểm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y tế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từ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nguồn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ngân sách cấp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tỉnh vào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quỹ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bảo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hiểm y tế theo quy định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bCs/>
          <w:iCs/>
          <w:spacing w:val="-6"/>
          <w:sz w:val="28"/>
          <w:szCs w:val="28"/>
        </w:rPr>
      </w:pPr>
      <w:r>
        <w:rPr>
          <w:bCs/>
          <w:iCs/>
          <w:spacing w:val="-6"/>
          <w:sz w:val="28"/>
          <w:szCs w:val="28"/>
        </w:rPr>
        <w:t xml:space="preserve">4</w:t>
      </w:r>
      <w:r>
        <w:rPr>
          <w:bCs/>
          <w:iCs/>
          <w:spacing w:val="-6"/>
          <w:sz w:val="28"/>
          <w:szCs w:val="28"/>
        </w:rPr>
        <w:t xml:space="preserve">. Ủy ban nhân dân các xã, phường: </w:t>
      </w:r>
      <w:r>
        <w:rPr>
          <w:spacing w:val="-6"/>
          <w:sz w:val="28"/>
          <w:szCs w:val="28"/>
        </w:rPr>
        <w:t xml:space="preserve">Định kỳ hàng quý rà soát tăng, giảm đối tượng tham gia bảo hiểm y tế để gửi cơ quan Bảo hiểm xã hội theo phân cấp quản lý.</w:t>
      </w:r>
      <w:r>
        <w:rPr>
          <w:bCs/>
          <w:iCs/>
          <w:spacing w:val="-6"/>
          <w:sz w:val="28"/>
          <w:szCs w:val="28"/>
        </w:rPr>
      </w:r>
      <w:r>
        <w:rPr>
          <w:bCs/>
          <w:iCs/>
          <w:spacing w:val="-6"/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</w:t>
      </w:r>
      <w:r>
        <w:rPr>
          <w:sz w:val="28"/>
          <w:szCs w:val="28"/>
        </w:rPr>
        <w:t xml:space="preserve">. Thủ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trưởng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các sở, ngành tỉnh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và các cơ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quan,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đơn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vị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liên quan chịu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trách nhiệm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trước</w:t>
      </w:r>
      <w:r>
        <w:rPr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 xml:space="preserve">Ủy ban nhân dân</w:t>
      </w:r>
      <w:r>
        <w:rPr>
          <w:sz w:val="28"/>
          <w:szCs w:val="28"/>
        </w:rPr>
        <w:t xml:space="preserve"> tỉnh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về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kết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quả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triển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khai thực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hiện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Quyết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định này.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Trong quá trình triển khai thực hiện, nếu có vướng mắc đề nghị phản ánh về Sở Nội vụ để tổng hợp, tham mưu </w:t>
      </w:r>
      <w:r>
        <w:rPr>
          <w:sz w:val="28"/>
          <w:szCs w:val="28"/>
        </w:rPr>
        <w:t xml:space="preserve">Ủy ban nhân dân</w:t>
      </w:r>
      <w:r>
        <w:rPr>
          <w:sz w:val="28"/>
          <w:szCs w:val="28"/>
        </w:rPr>
        <w:t xml:space="preserve"> tỉnh điều chỉnh và bổ sung cho phù hợp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before="120" w:line="264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Điều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4</w:t>
      </w:r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Chánh Văn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phòng </w:t>
      </w:r>
      <w:r>
        <w:rPr>
          <w:sz w:val="28"/>
          <w:szCs w:val="28"/>
        </w:rPr>
        <w:t xml:space="preserve">Ủy ban nhân dân</w:t>
      </w:r>
      <w:r>
        <w:rPr>
          <w:sz w:val="28"/>
          <w:szCs w:val="28"/>
        </w:rPr>
        <w:t xml:space="preserve"> tỉnh, Giám đốc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Sở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Nội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vụ,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Thủ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trưởng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các sở,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ngành tỉnh;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Chủ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tịch </w:t>
      </w:r>
      <w:r>
        <w:rPr>
          <w:sz w:val="28"/>
          <w:szCs w:val="28"/>
        </w:rPr>
        <w:t xml:space="preserve">Ủy ban nhân dân</w:t>
      </w:r>
      <w:r>
        <w:rPr>
          <w:sz w:val="28"/>
          <w:szCs w:val="28"/>
        </w:rPr>
        <w:t xml:space="preserve"> các xã, phường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và các cơ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quan, đơn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vị có liên quan chịu trách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nhiệm thi hành Quyết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định này./.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 w:before="120"/>
        <w:ind w:firstLine="720"/>
        <w:jc w:val="both"/>
        <w:rPr>
          <w:sz w:val="14"/>
          <w:szCs w:val="28"/>
          <w:lang w:val="pt-BR"/>
        </w:rPr>
      </w:pPr>
      <w:r>
        <w:rPr>
          <w:sz w:val="14"/>
          <w:szCs w:val="28"/>
          <w:lang w:val="pt-BR"/>
        </w:rPr>
      </w:r>
      <w:r>
        <w:rPr>
          <w:sz w:val="14"/>
          <w:szCs w:val="28"/>
          <w:lang w:val="pt-BR"/>
        </w:rPr>
      </w:r>
      <w:r>
        <w:rPr>
          <w:sz w:val="14"/>
          <w:szCs w:val="28"/>
          <w:lang w:val="pt-BR"/>
        </w:rPr>
      </w:r>
    </w:p>
    <w:tbl>
      <w:tblPr>
        <w:tblW w:w="9101" w:type="dxa"/>
        <w:tblInd w:w="127" w:type="dxa"/>
        <w:tblBorders/>
        <w:tblLayout w:type="fixed"/>
        <w:tblLook w:val="0000" w:firstRow="0" w:lastRow="0" w:firstColumn="0" w:lastColumn="0" w:noHBand="0" w:noVBand="0"/>
      </w:tblPr>
      <w:tblGrid>
        <w:gridCol w:w="4659"/>
        <w:gridCol w:w="4442"/>
      </w:tblGrid>
      <w:tr>
        <w:trPr>
          <w:trHeight w:val="60"/>
        </w:trPr>
        <w:tc>
          <w:tcPr>
            <w:tcBorders/>
            <w:tcW w:w="4659" w:type="dxa"/>
            <w:textDirection w:val="lrTb"/>
            <w:noWrap w:val="false"/>
          </w:tcPr>
          <w:p>
            <w:pPr>
              <w:pBdr/>
              <w:tabs>
                <w:tab w:val="center" w:leader="none" w:pos="6480"/>
              </w:tabs>
              <w:spacing w:before="120"/>
              <w:ind w:hanging="18" w:left="-109"/>
              <w:rPr>
                <w:sz w:val="22"/>
                <w:szCs w:val="22"/>
                <w:lang w:val="da-DK"/>
              </w:rPr>
            </w:pPr>
            <w:r>
              <w:br w:type="page" w:clear="all"/>
            </w:r>
            <w:r>
              <w:rPr>
                <w:b/>
                <w:bCs/>
                <w:i/>
                <w:iCs/>
                <w:lang w:val="da-DK"/>
              </w:rPr>
              <w:t xml:space="preserve">Nơi nhận:</w:t>
            </w:r>
            <w:r>
              <w:rPr>
                <w:sz w:val="22"/>
                <w:szCs w:val="22"/>
                <w:lang w:val="da-DK"/>
              </w:rPr>
            </w:r>
            <w:r>
              <w:rPr>
                <w:sz w:val="22"/>
                <w:szCs w:val="22"/>
                <w:lang w:val="da-DK"/>
              </w:rPr>
            </w:r>
          </w:p>
          <w:p>
            <w:pPr>
              <w:pBdr/>
              <w:spacing/>
              <w:ind w:left="-98"/>
              <w:jc w:val="both"/>
              <w:rPr>
                <w:sz w:val="22"/>
              </w:rPr>
            </w:pPr>
            <w:r>
              <w:rPr>
                <w:sz w:val="22"/>
              </w:rPr>
              <w:t xml:space="preserve">- Như điều 4;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Bdr/>
              <w:spacing/>
              <w:ind w:left="-98"/>
              <w:jc w:val="both"/>
              <w:rPr>
                <w:sz w:val="22"/>
                <w:szCs w:val="22"/>
              </w:rPr>
            </w:pPr>
            <w:r>
              <w:rPr>
                <w:sz w:val="22"/>
                <w:lang w:val="vi-VN"/>
              </w:rPr>
              <w:t xml:space="preserve">- </w:t>
            </w:r>
            <w:r>
              <w:rPr>
                <w:sz w:val="22"/>
                <w:szCs w:val="22"/>
              </w:rPr>
              <w:t xml:space="preserve">Bộ Quốc phòng;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Bdr/>
              <w:spacing/>
              <w:ind w:left="-9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BTL Quân khu 7;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Bdr/>
              <w:spacing/>
              <w:ind w:left="-9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Vụ Pháp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chế,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Bộ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Nội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vụ;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Bdr/>
              <w:spacing/>
              <w:ind w:left="-9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Cục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Kiểm tra văn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bản và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Tổ chức thi</w:t>
            </w:r>
            <w:r>
              <w:rPr>
                <w:sz w:val="22"/>
                <w:szCs w:val="22"/>
              </w:rPr>
              <w:t xml:space="preserve"> hành </w:t>
            </w:r>
            <w:r>
              <w:rPr>
                <w:sz w:val="22"/>
                <w:szCs w:val="22"/>
              </w:rPr>
              <w:t xml:space="preserve">pháp luật</w:t>
            </w:r>
            <w:r>
              <w:rPr>
                <w:sz w:val="22"/>
                <w:szCs w:val="22"/>
              </w:rPr>
              <w:t xml:space="preserve">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Bộ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Tư pháp;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Bdr/>
              <w:spacing/>
              <w:ind w:left="-9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Thường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trực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Tỉnh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ủy;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Bdr/>
              <w:spacing/>
              <w:ind w:left="-9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Thường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trực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HĐND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tỉnh;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Bdr/>
              <w:spacing/>
              <w:ind w:left="-9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CT, các PCT UBND tỉnh;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Bdr/>
              <w:spacing/>
              <w:ind w:left="-9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TT. UBMTTQVN tỉnh;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Bdr/>
              <w:spacing/>
              <w:ind w:left="-9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Đoàn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Đại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biểu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Quốc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hội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tỉnh;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Bdr/>
              <w:spacing/>
              <w:ind w:left="-9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Đại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biểu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HĐND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tỉnh;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Bdr/>
              <w:spacing/>
              <w:ind w:left="-98"/>
              <w:jc w:val="both"/>
              <w:rPr>
                <w:sz w:val="22"/>
              </w:rPr>
            </w:pPr>
            <w:r>
              <w:rPr>
                <w:sz w:val="22"/>
                <w:lang w:val="vi-VN"/>
              </w:rPr>
              <w:t xml:space="preserve">- </w:t>
            </w:r>
            <w:r>
              <w:rPr>
                <w:sz w:val="22"/>
              </w:rPr>
              <w:t xml:space="preserve">CVP, các PCVP UBND tỉnh;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Bdr/>
              <w:spacing/>
              <w:ind w:left="-98"/>
              <w:jc w:val="both"/>
              <w:rPr>
                <w:sz w:val="22"/>
              </w:rPr>
            </w:pPr>
            <w:r>
              <w:rPr>
                <w:sz w:val="22"/>
              </w:rPr>
              <w:t xml:space="preserve">- Báo và Phát thanh,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Truyền hình Tây Ninh;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Bdr/>
              <w:spacing/>
              <w:ind w:left="-98"/>
              <w:jc w:val="both"/>
              <w:rPr>
                <w:sz w:val="22"/>
              </w:rPr>
            </w:pPr>
            <w:r>
              <w:rPr>
                <w:sz w:val="22"/>
              </w:rPr>
              <w:t xml:space="preserve">- Trung tâm Công báo - Tin học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tỉnh;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Bdr/>
              <w:spacing/>
              <w:ind w:left="-98"/>
              <w:jc w:val="both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lang w:val="vi-VN"/>
              </w:rPr>
              <w:t xml:space="preserve">Phòng </w:t>
            </w:r>
            <w:r>
              <w:rPr>
                <w:sz w:val="22"/>
              </w:rPr>
              <w:t xml:space="preserve">VHXH</w:t>
            </w:r>
            <w:bookmarkStart w:id="1" w:name="_GoBack"/>
            <w:r/>
            <w:bookmarkEnd w:id="1"/>
            <w:r>
              <w:rPr>
                <w:sz w:val="22"/>
                <w:lang w:val="vi-VN"/>
              </w:rPr>
              <w:t xml:space="preserve">;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Bdr/>
              <w:spacing/>
              <w:ind w:left="-9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Ban Thi đua - Khen thưởng;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Bdr/>
              <w:spacing/>
              <w:ind w:left="-9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Lưu: VT, Cam.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widowControl w:val="false"/>
              <w:pBdr/>
              <w:spacing/>
              <w:ind w:left="-109"/>
              <w:jc w:val="both"/>
              <w:rPr>
                <w:sz w:val="22"/>
                <w:szCs w:val="22"/>
                <w:lang w:val="da-DK"/>
              </w:rPr>
            </w:pPr>
            <w:r>
              <w:rPr>
                <w:sz w:val="22"/>
                <w:szCs w:val="22"/>
                <w:lang w:val="da-DK"/>
              </w:rPr>
            </w:r>
            <w:r>
              <w:rPr>
                <w:sz w:val="22"/>
                <w:szCs w:val="22"/>
                <w:lang w:val="da-DK"/>
              </w:rPr>
            </w:r>
            <w:r>
              <w:rPr>
                <w:sz w:val="22"/>
                <w:szCs w:val="22"/>
                <w:lang w:val="da-DK"/>
              </w:rPr>
            </w:r>
          </w:p>
        </w:tc>
        <w:tc>
          <w:tcPr>
            <w:tcBorders/>
            <w:tcW w:w="4442" w:type="dxa"/>
            <w:textDirection w:val="lrTb"/>
            <w:noWrap w:val="false"/>
          </w:tcPr>
          <w:p>
            <w:pPr>
              <w:pBdr/>
              <w:tabs>
                <w:tab w:val="center" w:leader="none" w:pos="6480"/>
              </w:tabs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>
            <w:pPr>
              <w:pBdr/>
              <w:tabs>
                <w:tab w:val="center" w:leader="none" w:pos="6480"/>
              </w:tabs>
              <w:spacing/>
              <w:ind/>
              <w:jc w:val="center"/>
              <w:rPr>
                <w:b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</w:rPr>
              <w:t xml:space="preserve">TM.</w:t>
            </w:r>
            <w:r>
              <w:rPr>
                <w:b/>
                <w:sz w:val="28"/>
                <w:szCs w:val="28"/>
                <w:lang w:val="vi-VN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ỦY BAN NHÂN DÂN</w:t>
            </w:r>
            <w:r>
              <w:rPr>
                <w:b/>
                <w:sz w:val="28"/>
                <w:szCs w:val="28"/>
                <w:lang w:val="vi-VN"/>
              </w:rPr>
            </w:r>
            <w:r>
              <w:rPr>
                <w:b/>
                <w:sz w:val="28"/>
                <w:szCs w:val="28"/>
                <w:lang w:val="vi-VN"/>
              </w:rPr>
            </w:r>
          </w:p>
          <w:p>
            <w:pPr>
              <w:pBdr/>
              <w:tabs>
                <w:tab w:val="center" w:leader="none" w:pos="6480"/>
              </w:tabs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KT. </w:t>
            </w:r>
            <w:r>
              <w:rPr>
                <w:b/>
                <w:sz w:val="28"/>
                <w:szCs w:val="28"/>
              </w:rPr>
              <w:t xml:space="preserve">CHỦ TỊCH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>
            <w:pPr>
              <w:pBdr/>
              <w:tabs>
                <w:tab w:val="center" w:leader="none" w:pos="6480"/>
              </w:tabs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PHÓ CHỦ TỊCH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>
            <w:pPr>
              <w:pBdr/>
              <w:tabs>
                <w:tab w:val="center" w:leader="none" w:pos="6480"/>
              </w:tabs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>
            <w:pPr>
              <w:pBdr/>
              <w:tabs>
                <w:tab w:val="center" w:leader="none" w:pos="6480"/>
              </w:tabs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>
            <w:pPr>
              <w:pBdr/>
              <w:tabs>
                <w:tab w:val="center" w:leader="none" w:pos="6480"/>
              </w:tabs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>
            <w:pPr>
              <w:pBdr/>
              <w:tabs>
                <w:tab w:val="center" w:leader="none" w:pos="6480"/>
              </w:tabs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>
            <w:pPr>
              <w:pBdr/>
              <w:tabs>
                <w:tab w:val="center" w:leader="none" w:pos="6480"/>
              </w:tabs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>
            <w:pPr>
              <w:pBdr/>
              <w:tabs>
                <w:tab w:val="center" w:leader="none" w:pos="6480"/>
              </w:tabs>
              <w:spacing/>
              <w:ind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Phạm Tấn Hòa</w:t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>
            <w:pPr>
              <w:pBdr/>
              <w:tabs>
                <w:tab w:val="center" w:leader="none" w:pos="6480"/>
              </w:tabs>
              <w:spacing w:before="120"/>
              <w:ind w:firstLine="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>
            <w:pPr>
              <w:pBdr/>
              <w:tabs>
                <w:tab w:val="center" w:leader="none" w:pos="6480"/>
              </w:tabs>
              <w:spacing w:before="120"/>
              <w:ind w:firstLine="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>
            <w:pPr>
              <w:pBdr/>
              <w:tabs>
                <w:tab w:val="center" w:leader="none" w:pos="6480"/>
              </w:tabs>
              <w:spacing w:before="120"/>
              <w:ind w:firstLine="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>
            <w:pPr>
              <w:pBdr/>
              <w:tabs>
                <w:tab w:val="center" w:leader="none" w:pos="6480"/>
              </w:tabs>
              <w:spacing w:before="120"/>
              <w:ind w:firstLine="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  <w:p>
            <w:pPr>
              <w:pBdr/>
              <w:tabs>
                <w:tab w:val="center" w:leader="none" w:pos="6480"/>
              </w:tabs>
              <w:spacing w:before="120"/>
              <w:ind w:firstLine="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  <w:r>
              <w:rPr>
                <w:b/>
                <w:sz w:val="28"/>
                <w:szCs w:val="28"/>
              </w:rPr>
            </w:r>
          </w:p>
        </w:tc>
      </w:tr>
    </w:tbl>
    <w:p>
      <w:pPr>
        <w:pBdr/>
        <w:spacing w:after="120" w:line="288" w:lineRule="auto"/>
        <w:ind/>
        <w:jc w:val="both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sectPr>
      <w:headerReference w:type="default" r:id="rId9"/>
      <w:headerReference w:type="first" r:id="rId10"/>
      <w:footerReference w:type="default" r:id="rId11"/>
      <w:footnotePr/>
      <w:endnotePr/>
      <w:type w:val="continuous"/>
      <w:pgSz w:h="16838" w:orient="portrait" w:w="11906"/>
      <w:pgMar w:top="1134" w:right="1134" w:bottom="1134" w:left="1701" w:header="284" w:footer="284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TimesNewRomanPSMT">
    <w:panose1 w:val="02020603050405020304"/>
  </w:font>
  <w:font w:name="Lucida Sans Unicode">
    <w:panose1 w:val="020B0602030504020204"/>
  </w:font>
  <w:font w:name="Courier New">
    <w:panose1 w:val="02070309020205020404"/>
  </w:font>
  <w:font w:name="Mangal">
    <w:panose1 w:val="02040503050406030204"/>
  </w:font>
  <w:font w:name="Tahoma">
    <w:panose1 w:val="020B0604030504040204"/>
  </w:font>
  <w:font w:name="MS Mincho">
    <w:panose1 w:val="02020603050405090304"/>
  </w:font>
  <w:font w:name="Times New Roman">
    <w:panose1 w:val="02020603050405020304"/>
  </w:font>
  <w:font w:name="Cambria">
    <w:panose1 w:val="02040503050406030204"/>
  </w:font>
  <w:font w:name="Calibri Light">
    <w:panose1 w:val="020F0302020204030204"/>
  </w:font>
  <w:font w:name="Arial Unicode MS">
    <w:panose1 w:val="020B060402020202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1"/>
      <w:pBdr/>
      <w:spacing/>
      <w:ind/>
      <w:jc w:val="center"/>
      <w:rPr/>
    </w:pPr>
    <w:r/>
    <w:r/>
  </w:p>
  <w:p>
    <w:pPr>
      <w:pStyle w:val="104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663898707"/>
      <w:docPartObj>
        <w:docPartGallery w:val="Page Numbers (Top of Page)"/>
        <w:docPartUnique w:val="true"/>
      </w:docPartObj>
      <w:rPr/>
    </w:sdtPr>
    <w:sdtContent>
      <w:p>
        <w:pPr>
          <w:pStyle w:val="1040"/>
          <w:pBdr/>
          <w:spacing/>
          <w:ind/>
          <w:jc w:val="center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>
    <w:pPr>
      <w:pStyle w:val="104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40680841"/>
      <w:docPartObj>
        <w:docPartGallery w:val="Page Numbers (Top of Page)"/>
        <w:docPartUnique w:val="true"/>
      </w:docPartObj>
      <w:rPr/>
    </w:sdtPr>
    <w:sdtContent>
      <w:p>
        <w:pPr>
          <w:pStyle w:val="1040"/>
          <w:pBdr/>
          <w:spacing/>
          <w:ind/>
          <w:jc w:val="center"/>
          <w:rPr/>
        </w:pPr>
        <w:r/>
        <w:r/>
      </w:p>
    </w:sdtContent>
  </w:sdt>
  <w:p>
    <w:pPr>
      <w:pStyle w:val="104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/>
      <w:numFmt w:val="none"/>
      <w:pPr>
        <w:pBdr/>
        <w:tabs>
          <w:tab w:val="left" w:leader="none" w:pos="0"/>
        </w:tabs>
        <w:spacing/>
        <w:ind w:firstLine="0" w:left="0"/>
      </w:pPr>
      <w:pStyle w:val="847"/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left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left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left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left" w:leader="none" w:pos="0"/>
        </w:tabs>
        <w:spacing/>
        <w:ind w:firstLine="0" w:left="0"/>
      </w:pPr>
      <w:pStyle w:val="851"/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left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left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left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left" w:leader="none" w:pos="0"/>
        </w:tabs>
        <w:spacing/>
        <w:ind w:firstLine="0" w:left="0"/>
      </w:pPr>
      <w:rPr/>
      <w:start w:val="1"/>
      <w:suff w:val="nothing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3">
    <w:name w:val="Table Grid Light"/>
    <w:basedOn w:val="85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1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2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3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4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5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6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846" w:default="1">
    <w:name w:val="Normal"/>
    <w:qFormat/>
    <w:pPr>
      <w:pBdr/>
      <w:spacing/>
      <w:ind/>
    </w:pPr>
    <w:rPr>
      <w:sz w:val="24"/>
      <w:szCs w:val="24"/>
      <w:lang w:eastAsia="zh-CN"/>
    </w:rPr>
  </w:style>
  <w:style w:type="paragraph" w:styleId="847">
    <w:name w:val="Heading 1"/>
    <w:basedOn w:val="846"/>
    <w:next w:val="846"/>
    <w:link w:val="1052"/>
    <w:qFormat/>
    <w:pPr>
      <w:keepNext w:val="true"/>
      <w:numPr>
        <w:numId w:val="1"/>
      </w:numPr>
      <w:pBdr/>
      <w:spacing/>
      <w:ind/>
      <w:outlineLvl w:val="0"/>
    </w:pPr>
    <w:rPr>
      <w:b/>
      <w:bCs/>
      <w:sz w:val="26"/>
    </w:rPr>
  </w:style>
  <w:style w:type="paragraph" w:styleId="848">
    <w:name w:val="Heading 2"/>
    <w:basedOn w:val="846"/>
    <w:next w:val="846"/>
    <w:link w:val="1057"/>
    <w:uiPriority w:val="9"/>
    <w:unhideWhenUsed/>
    <w:qFormat/>
    <w:pPr>
      <w:keepNext w:val="true"/>
      <w:pBdr/>
      <w:spacing w:after="60" w:before="240"/>
      <w:ind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849">
    <w:name w:val="Heading 3"/>
    <w:basedOn w:val="846"/>
    <w:next w:val="846"/>
    <w:link w:val="1053"/>
    <w:uiPriority w:val="9"/>
    <w:qFormat/>
    <w:pPr>
      <w:keepNext w:val="true"/>
      <w:pBdr/>
      <w:spacing w:after="60" w:before="240"/>
      <w:ind/>
      <w:outlineLvl w:val="2"/>
    </w:pPr>
    <w:rPr>
      <w:rFonts w:ascii="Cambria" w:hAnsi="Cambria"/>
      <w:b/>
      <w:bCs/>
      <w:sz w:val="26"/>
      <w:szCs w:val="26"/>
    </w:rPr>
  </w:style>
  <w:style w:type="paragraph" w:styleId="850">
    <w:name w:val="Heading 4"/>
    <w:basedOn w:val="846"/>
    <w:next w:val="846"/>
    <w:link w:val="952"/>
    <w:qFormat/>
    <w:pPr>
      <w:keepNext w:val="true"/>
      <w:pBdr/>
      <w:spacing w:after="60" w:before="240"/>
      <w:ind/>
      <w:outlineLvl w:val="3"/>
    </w:pPr>
    <w:rPr>
      <w:b/>
      <w:bCs/>
      <w:sz w:val="28"/>
      <w:szCs w:val="28"/>
    </w:rPr>
  </w:style>
  <w:style w:type="paragraph" w:styleId="851">
    <w:name w:val="Heading 5"/>
    <w:basedOn w:val="1034"/>
    <w:next w:val="1035"/>
    <w:link w:val="953"/>
    <w:qFormat/>
    <w:pPr>
      <w:numPr>
        <w:ilvl w:val="4"/>
        <w:numId w:val="1"/>
      </w:numPr>
      <w:pBdr/>
      <w:spacing/>
      <w:ind/>
      <w:outlineLvl w:val="4"/>
    </w:pPr>
    <w:rPr>
      <w:rFonts w:ascii="Times New Roman" w:hAnsi="Times New Roman"/>
      <w:b/>
      <w:bCs/>
      <w:sz w:val="20"/>
      <w:szCs w:val="20"/>
    </w:rPr>
  </w:style>
  <w:style w:type="paragraph" w:styleId="852">
    <w:name w:val="Heading 6"/>
    <w:basedOn w:val="1034"/>
    <w:next w:val="1035"/>
    <w:link w:val="1060"/>
    <w:qFormat/>
    <w:pPr>
      <w:pBdr/>
      <w:tabs>
        <w:tab w:val="left" w:leader="none" w:pos="0"/>
      </w:tabs>
      <w:spacing/>
      <w:ind/>
      <w:outlineLvl w:val="5"/>
    </w:pPr>
    <w:rPr>
      <w:rFonts w:eastAsia="MS Mincho" w:cs="Times New Roman"/>
      <w:b/>
      <w:bCs/>
      <w:sz w:val="21"/>
      <w:szCs w:val="21"/>
    </w:rPr>
  </w:style>
  <w:style w:type="paragraph" w:styleId="853">
    <w:name w:val="Heading 7"/>
    <w:basedOn w:val="1034"/>
    <w:next w:val="1035"/>
    <w:link w:val="1061"/>
    <w:qFormat/>
    <w:pPr>
      <w:pBdr/>
      <w:tabs>
        <w:tab w:val="left" w:leader="none" w:pos="0"/>
      </w:tabs>
      <w:spacing/>
      <w:ind/>
      <w:outlineLvl w:val="6"/>
    </w:pPr>
    <w:rPr>
      <w:rFonts w:eastAsia="MS Mincho" w:cs="Times New Roman"/>
      <w:b/>
      <w:bCs/>
      <w:sz w:val="21"/>
      <w:szCs w:val="21"/>
    </w:rPr>
  </w:style>
  <w:style w:type="paragraph" w:styleId="854">
    <w:name w:val="Heading 8"/>
    <w:basedOn w:val="1034"/>
    <w:next w:val="1035"/>
    <w:link w:val="1062"/>
    <w:qFormat/>
    <w:pPr>
      <w:pBdr/>
      <w:tabs>
        <w:tab w:val="left" w:leader="none" w:pos="0"/>
      </w:tabs>
      <w:spacing/>
      <w:ind/>
      <w:outlineLvl w:val="7"/>
    </w:pPr>
    <w:rPr>
      <w:rFonts w:eastAsia="MS Mincho" w:cs="Times New Roman"/>
      <w:b/>
      <w:bCs/>
      <w:sz w:val="21"/>
      <w:szCs w:val="21"/>
    </w:rPr>
  </w:style>
  <w:style w:type="paragraph" w:styleId="855">
    <w:name w:val="Heading 9"/>
    <w:basedOn w:val="1034"/>
    <w:next w:val="1035"/>
    <w:link w:val="1063"/>
    <w:qFormat/>
    <w:pPr>
      <w:pBdr/>
      <w:tabs>
        <w:tab w:val="left" w:leader="none" w:pos="0"/>
      </w:tabs>
      <w:spacing/>
      <w:ind/>
      <w:outlineLvl w:val="8"/>
    </w:pPr>
    <w:rPr>
      <w:rFonts w:eastAsia="MS Mincho" w:cs="Times New Roman"/>
      <w:b/>
      <w:bCs/>
      <w:sz w:val="21"/>
      <w:szCs w:val="21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table" w:styleId="85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8" w:default="1">
    <w:name w:val="No List"/>
    <w:uiPriority w:val="99"/>
    <w:semiHidden/>
    <w:unhideWhenUsed/>
    <w:pPr>
      <w:pBdr/>
      <w:spacing/>
      <w:ind/>
    </w:pPr>
  </w:style>
  <w:style w:type="table" w:styleId="859">
    <w:name w:val="Grid Table Light"/>
    <w:basedOn w:val="857"/>
    <w:uiPriority w:val="59"/>
    <w:pPr>
      <w:pBdr/>
      <w:spacing/>
      <w:ind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1 Light Accent 1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1 Light Accent 2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1 Light Accent 3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1 Light Accent 4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1 Light Accent 5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1 Light Accent 6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2 Accent 1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2 Accent 2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2 Accent 3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2 Accent 4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2 Accent 5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2 Accent 6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3 Accent 1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3 Accent 2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3 Accent 3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3 Accent 4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3 Accent 5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3 Accent 6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4 Accent 1"/>
    <w:basedOn w:val="857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4 Accent 2"/>
    <w:basedOn w:val="857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4 Accent 3"/>
    <w:basedOn w:val="857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4 Accent 4"/>
    <w:basedOn w:val="857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4 Accent 5"/>
    <w:basedOn w:val="857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4 Accent 6"/>
    <w:basedOn w:val="857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5 Dark Accent 2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fbe5d6" w:themeFill="accent2" w:themeFillTint="32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5 Dark Accent 3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ececec" w:themeFill="accent3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5 Dark Accent 5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d8e2f3" w:themeFill="accent5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5 Dark Accent 6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e1efd8" w:themeFill="accent6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6 Colorful Accent 1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6 Colorful Accent 2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6 Colorful Accent 3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6 Colorful Accent 4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6 Colorful Accent 5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6 Colorful Accent 6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7 Colorful Accent 1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7 Colorful Accent 2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7 Colorful Accent 3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7 Colorful Accent 4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7 Colorful Accent 5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7 Colorful Accent 6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1 Light Accent 1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1 Light Accent 2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1 Light Accent 3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1 Light Accent 4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1 Light Accent 5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1 Light Accent 6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2 Accent 1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2 Accent 2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2 Accent 3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2 Accent 4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2 Accent 5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2 Accent 6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3 Accent 1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3 Accent 2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3 Accent 3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3 Accent 4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3 Accent 5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3 Accent 6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Accent 1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4 Accent 2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4 Accent 3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4 Accent 4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4 Accent 5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4 Accent 6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Accent 1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auto" w:fill="5b9bd5" w:themeFill="accent1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Accent 2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auto" w:fill="f4b184" w:themeFill="accent2" w:themeFillTint="97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5 Dark Accent 3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auto" w:fill="c9c9c9" w:themeFill="accent3" w:themeFillTint="98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5 Dark Accent 4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auto" w:fill="ffd865" w:themeFill="accent4" w:themeFillTint="9A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5 Dark Accent 5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auto" w:fill="8da9db" w:themeFill="accent5" w:themeFillTint="9A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5 Dark Accent 6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uto" w:fill="a9d08e" w:themeFill="accent6" w:themeFillTint="98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Accent 1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5b9bd5" w:themeColor="accent1" w:sz="4" w:space="0"/>
        <w:bottom w:val="single" w:color="5b9bd5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Accent 2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4b184" w:themeColor="accent2" w:themeTint="97" w:sz="4" w:space="0"/>
        <w:bottom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Accent 3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9c9c9" w:themeColor="accent3" w:themeTint="98" w:sz="4" w:space="0"/>
        <w:bottom w:val="single" w:color="c9c9c9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6 Colorful Accent 4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d865" w:themeColor="accent4" w:themeTint="9A" w:sz="4" w:space="0"/>
        <w:bottom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6 Colorful Accent 5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8da9db" w:themeColor="accent5" w:themeTint="9A" w:sz="4" w:space="0"/>
        <w:bottom w:val="single" w:color="8da9db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6 Colorful Accent 6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a9d08e" w:themeColor="accent6" w:themeTint="98" w:sz="4" w:space="0"/>
        <w:bottom w:val="single" w:color="a9d08e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Accent 1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5b9bd5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Accent 2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f4b184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Accent 3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c9c9c9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Accent 4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ffd865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7 Colorful Accent 5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8da9db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7 Colorful Accent 6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a9d08e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>
    <w:name w:val="Intense Emphasis"/>
    <w:basedOn w:val="856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character" w:styleId="943">
    <w:name w:val="Intense Reference"/>
    <w:basedOn w:val="856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944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5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946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7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48" w:customStyle="1">
    <w:name w:val="Endnote Text Char"/>
    <w:basedOn w:val="856"/>
    <w:link w:val="1042"/>
    <w:uiPriority w:val="99"/>
    <w:semiHidden/>
    <w:pPr>
      <w:pBdr/>
      <w:spacing/>
      <w:ind/>
    </w:pPr>
    <w:rPr>
      <w:sz w:val="20"/>
      <w:szCs w:val="20"/>
    </w:rPr>
  </w:style>
  <w:style w:type="character" w:styleId="949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950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1">
    <w:name w:val="table of figures"/>
    <w:basedOn w:val="846"/>
    <w:next w:val="846"/>
    <w:uiPriority w:val="99"/>
    <w:unhideWhenUsed/>
    <w:pPr>
      <w:pBdr/>
      <w:spacing/>
      <w:ind/>
    </w:pPr>
  </w:style>
  <w:style w:type="character" w:styleId="952" w:customStyle="1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953" w:customStyle="1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954">
    <w:name w:val="No Spacing"/>
    <w:uiPriority w:val="1"/>
    <w:qFormat/>
    <w:pPr>
      <w:pBdr/>
      <w:spacing/>
      <w:ind/>
    </w:pPr>
  </w:style>
  <w:style w:type="paragraph" w:styleId="955">
    <w:name w:val="Title"/>
    <w:basedOn w:val="846"/>
    <w:next w:val="846"/>
    <w:link w:val="956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956" w:customStyle="1">
    <w:name w:val="Title Char"/>
    <w:basedOn w:val="856"/>
    <w:link w:val="955"/>
    <w:uiPriority w:val="10"/>
    <w:pPr>
      <w:pBdr/>
      <w:spacing/>
      <w:ind/>
    </w:pPr>
    <w:rPr>
      <w:sz w:val="48"/>
      <w:szCs w:val="48"/>
    </w:rPr>
  </w:style>
  <w:style w:type="paragraph" w:styleId="957">
    <w:name w:val="Subtitle"/>
    <w:basedOn w:val="846"/>
    <w:next w:val="846"/>
    <w:link w:val="958"/>
    <w:uiPriority w:val="11"/>
    <w:qFormat/>
    <w:pPr>
      <w:pBdr/>
      <w:spacing w:after="200" w:before="200"/>
      <w:ind/>
    </w:pPr>
  </w:style>
  <w:style w:type="character" w:styleId="958" w:customStyle="1">
    <w:name w:val="Subtitle Char"/>
    <w:basedOn w:val="856"/>
    <w:link w:val="957"/>
    <w:uiPriority w:val="11"/>
    <w:pPr>
      <w:pBdr/>
      <w:spacing/>
      <w:ind/>
    </w:pPr>
    <w:rPr>
      <w:sz w:val="24"/>
      <w:szCs w:val="24"/>
    </w:rPr>
  </w:style>
  <w:style w:type="paragraph" w:styleId="959">
    <w:name w:val="Quote"/>
    <w:basedOn w:val="846"/>
    <w:next w:val="846"/>
    <w:link w:val="960"/>
    <w:uiPriority w:val="29"/>
    <w:qFormat/>
    <w:pPr>
      <w:pBdr/>
      <w:spacing/>
      <w:ind w:right="720" w:left="720"/>
    </w:pPr>
    <w:rPr>
      <w:i/>
    </w:rPr>
  </w:style>
  <w:style w:type="character" w:styleId="960" w:customStyle="1">
    <w:name w:val="Quote Char"/>
    <w:link w:val="959"/>
    <w:uiPriority w:val="29"/>
    <w:pPr>
      <w:pBdr/>
      <w:spacing/>
      <w:ind/>
    </w:pPr>
    <w:rPr>
      <w:i/>
    </w:rPr>
  </w:style>
  <w:style w:type="paragraph" w:styleId="961">
    <w:name w:val="Intense Quote"/>
    <w:basedOn w:val="846"/>
    <w:next w:val="846"/>
    <w:link w:val="962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962" w:customStyle="1">
    <w:name w:val="Intense Quote Char"/>
    <w:link w:val="961"/>
    <w:uiPriority w:val="30"/>
    <w:pPr>
      <w:pBdr/>
      <w:spacing/>
      <w:ind/>
    </w:pPr>
    <w:rPr>
      <w:i/>
    </w:rPr>
  </w:style>
  <w:style w:type="character" w:styleId="963" w:customStyle="1">
    <w:name w:val="Header Char"/>
    <w:basedOn w:val="856"/>
    <w:link w:val="1040"/>
    <w:uiPriority w:val="99"/>
    <w:pPr>
      <w:pBdr/>
      <w:spacing/>
      <w:ind/>
    </w:pPr>
  </w:style>
  <w:style w:type="table" w:styleId="964">
    <w:name w:val="Table Grid"/>
    <w:basedOn w:val="857"/>
    <w:uiPriority w:val="59"/>
    <w:pPr>
      <w:pBdr/>
      <w:spacing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Plain Table 1"/>
    <w:basedOn w:val="857"/>
    <w:uiPriority w:val="59"/>
    <w:pPr>
      <w:pBdr/>
      <w:spacing/>
      <w:ind/>
    </w:pPr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Plain Table 2"/>
    <w:basedOn w:val="857"/>
    <w:uiPriority w:val="59"/>
    <w:pPr>
      <w:pBdr/>
      <w:spacing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Plain Table 3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Plain Table 4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Plain Table 5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1 Light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2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3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4"/>
    <w:basedOn w:val="857"/>
    <w:uiPriority w:val="59"/>
    <w:pPr>
      <w:pBdr/>
      <w:spacing/>
      <w:ind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5 Dark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Grid Table 5 Dark- Accent 1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ddeaf6" w:themeFill="accent1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Grid Table 5 Dark- Accent 4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uto" w:fill="fff2cb" w:themeFill="accent4" w:themeFillTint="34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6 Colorful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7 Colorful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1 Light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2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3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4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5 Dark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auto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6 Colorful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7 Colorful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ned - Accent"/>
    <w:basedOn w:val="85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ned - Accent 1"/>
    <w:basedOn w:val="85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ned - Accent 2"/>
    <w:basedOn w:val="85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ned - Accent 3"/>
    <w:basedOn w:val="85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ned - Accent 4"/>
    <w:basedOn w:val="85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ned - Accent 5"/>
    <w:basedOn w:val="85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ned - Accent 6"/>
    <w:basedOn w:val="85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Bordered &amp; Lined - Accent"/>
    <w:basedOn w:val="85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Bordered &amp; Lined - Accent 1"/>
    <w:basedOn w:val="85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Ind w:w="0" w:type="dxa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Bordered &amp; Lined - Accent 2"/>
    <w:basedOn w:val="85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Ind w:w="0" w:type="dxa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Bordered &amp; Lined - Accent 3"/>
    <w:basedOn w:val="85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Ind w:w="0" w:type="dxa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Bordered &amp; Lined - Accent 4"/>
    <w:basedOn w:val="85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Ind w:w="0" w:type="dxa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Bordered &amp; Lined - Accent 5"/>
    <w:basedOn w:val="85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Ind w:w="0" w:type="dxa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Bordered &amp; Lined - Accent 6"/>
    <w:basedOn w:val="857"/>
    <w:uiPriority w:val="99"/>
    <w:pPr>
      <w:pBdr/>
      <w:spacing/>
      <w:ind/>
    </w:pPr>
    <w:rPr>
      <w:color w:val="404040"/>
      <w:szCs w:val="20"/>
    </w:rPr>
    <w:tblPr>
      <w:tblStyleRowBandSize w:val="1"/>
      <w:tblStyleColBandSize w:val="1"/>
      <w:tblInd w:w="0" w:type="dxa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Bordered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Bordered - Accent 1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Bordered - Accent 2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Bordered - Accent 3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Bordered - Accent 4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Bordered - Accent 5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Bordered - Accent 6"/>
    <w:basedOn w:val="857"/>
    <w:uiPriority w:val="99"/>
    <w:pPr>
      <w:pBdr/>
      <w:spacing/>
      <w:ind/>
    </w:pPr>
    <w:tblPr>
      <w:tblStyleRowBandSize w:val="1"/>
      <w:tblStyleColBandSize w:val="1"/>
      <w:tblInd w:w="0" w:type="dxa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7" w:customStyle="1">
    <w:name w:val="Footnote Text Char"/>
    <w:link w:val="1043"/>
    <w:uiPriority w:val="99"/>
    <w:pPr>
      <w:pBdr/>
      <w:spacing/>
      <w:ind/>
    </w:pPr>
    <w:rPr>
      <w:sz w:val="18"/>
    </w:rPr>
  </w:style>
  <w:style w:type="character" w:styleId="1008">
    <w:name w:val="footnote reference"/>
    <w:basedOn w:val="856"/>
    <w:uiPriority w:val="99"/>
    <w:unhideWhenUsed/>
    <w:pPr>
      <w:pBdr/>
      <w:spacing/>
      <w:ind/>
    </w:pPr>
    <w:rPr>
      <w:vertAlign w:val="superscript"/>
    </w:rPr>
  </w:style>
  <w:style w:type="paragraph" w:styleId="1009">
    <w:name w:val="toc 1"/>
    <w:basedOn w:val="846"/>
    <w:next w:val="846"/>
    <w:uiPriority w:val="39"/>
    <w:unhideWhenUsed/>
    <w:pPr>
      <w:pBdr/>
      <w:spacing w:after="57"/>
      <w:ind/>
    </w:pPr>
  </w:style>
  <w:style w:type="paragraph" w:styleId="1010">
    <w:name w:val="toc 2"/>
    <w:basedOn w:val="846"/>
    <w:next w:val="846"/>
    <w:uiPriority w:val="39"/>
    <w:unhideWhenUsed/>
    <w:pPr>
      <w:pBdr/>
      <w:spacing w:after="57"/>
      <w:ind w:left="283"/>
    </w:pPr>
  </w:style>
  <w:style w:type="paragraph" w:styleId="1011">
    <w:name w:val="toc 3"/>
    <w:basedOn w:val="846"/>
    <w:next w:val="846"/>
    <w:uiPriority w:val="39"/>
    <w:unhideWhenUsed/>
    <w:pPr>
      <w:pBdr/>
      <w:spacing w:after="57"/>
      <w:ind w:left="567"/>
    </w:pPr>
  </w:style>
  <w:style w:type="paragraph" w:styleId="1012">
    <w:name w:val="toc 4"/>
    <w:basedOn w:val="846"/>
    <w:next w:val="846"/>
    <w:uiPriority w:val="39"/>
    <w:unhideWhenUsed/>
    <w:pPr>
      <w:pBdr/>
      <w:spacing w:after="57"/>
      <w:ind w:left="850"/>
    </w:pPr>
  </w:style>
  <w:style w:type="paragraph" w:styleId="1013">
    <w:name w:val="toc 5"/>
    <w:basedOn w:val="846"/>
    <w:next w:val="846"/>
    <w:uiPriority w:val="39"/>
    <w:unhideWhenUsed/>
    <w:pPr>
      <w:pBdr/>
      <w:spacing w:after="57"/>
      <w:ind w:left="1134"/>
    </w:pPr>
  </w:style>
  <w:style w:type="paragraph" w:styleId="1014">
    <w:name w:val="toc 6"/>
    <w:basedOn w:val="846"/>
    <w:next w:val="846"/>
    <w:uiPriority w:val="39"/>
    <w:unhideWhenUsed/>
    <w:pPr>
      <w:pBdr/>
      <w:spacing w:after="57"/>
      <w:ind w:left="1417"/>
    </w:pPr>
  </w:style>
  <w:style w:type="paragraph" w:styleId="1015">
    <w:name w:val="toc 7"/>
    <w:basedOn w:val="846"/>
    <w:next w:val="846"/>
    <w:uiPriority w:val="39"/>
    <w:unhideWhenUsed/>
    <w:pPr>
      <w:pBdr/>
      <w:spacing w:after="57"/>
      <w:ind w:left="1701"/>
    </w:pPr>
  </w:style>
  <w:style w:type="paragraph" w:styleId="1016">
    <w:name w:val="toc 8"/>
    <w:basedOn w:val="846"/>
    <w:next w:val="846"/>
    <w:uiPriority w:val="39"/>
    <w:unhideWhenUsed/>
    <w:pPr>
      <w:pBdr/>
      <w:spacing w:after="57"/>
      <w:ind w:left="1984"/>
    </w:pPr>
  </w:style>
  <w:style w:type="paragraph" w:styleId="1017">
    <w:name w:val="toc 9"/>
    <w:basedOn w:val="846"/>
    <w:next w:val="846"/>
    <w:uiPriority w:val="39"/>
    <w:unhideWhenUsed/>
    <w:pPr>
      <w:pBdr/>
      <w:spacing w:after="57"/>
      <w:ind w:left="2268"/>
    </w:pPr>
  </w:style>
  <w:style w:type="paragraph" w:styleId="1018">
    <w:name w:val="TOC Heading"/>
    <w:uiPriority w:val="39"/>
    <w:unhideWhenUsed/>
    <w:pPr>
      <w:pBdr/>
      <w:spacing/>
      <w:ind/>
    </w:pPr>
  </w:style>
  <w:style w:type="character" w:styleId="1019" w:customStyle="1">
    <w:name w:val="Absatz-Standardschriftart"/>
    <w:pPr>
      <w:pBdr/>
      <w:spacing/>
      <w:ind/>
    </w:pPr>
  </w:style>
  <w:style w:type="character" w:styleId="1020" w:customStyle="1">
    <w:name w:val="Char Char8"/>
    <w:pPr>
      <w:pBdr/>
      <w:spacing/>
      <w:ind/>
    </w:pPr>
    <w:rPr>
      <w:rFonts w:ascii="Times New Roman" w:hAnsi="Times New Roman" w:eastAsia="Times New Roman" w:cs="Times New Roman"/>
      <w:b/>
      <w:bCs/>
      <w:sz w:val="26"/>
      <w:szCs w:val="24"/>
    </w:rPr>
  </w:style>
  <w:style w:type="character" w:styleId="1021" w:customStyle="1">
    <w:name w:val="Char Char7"/>
    <w:pPr>
      <w:pBdr/>
      <w:spacing/>
      <w:ind/>
    </w:pPr>
    <w:rPr>
      <w:rFonts w:ascii="Times New Roman" w:hAnsi="Times New Roman" w:eastAsia="Times New Roman" w:cs="Times New Roman"/>
      <w:sz w:val="26"/>
      <w:szCs w:val="24"/>
    </w:rPr>
  </w:style>
  <w:style w:type="character" w:styleId="1022">
    <w:name w:val="Hyperlink"/>
    <w:uiPriority w:val="99"/>
    <w:pPr>
      <w:pBdr/>
      <w:spacing/>
      <w:ind/>
    </w:pPr>
    <w:rPr>
      <w:color w:val="0000ff"/>
      <w:u w:val="single"/>
    </w:rPr>
  </w:style>
  <w:style w:type="character" w:styleId="1023" w:customStyle="1">
    <w:name w:val="Char Char6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1024" w:customStyle="1">
    <w:name w:val="Char Char5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1025" w:customStyle="1">
    <w:name w:val="Char Char4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1026" w:customStyle="1">
    <w:name w:val="Endnote Characters"/>
    <w:pPr>
      <w:pBdr/>
      <w:spacing/>
      <w:ind/>
    </w:pPr>
    <w:rPr>
      <w:vertAlign w:val="superscript"/>
    </w:rPr>
  </w:style>
  <w:style w:type="character" w:styleId="1027" w:customStyle="1">
    <w:name w:val="Char Char3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1028" w:customStyle="1">
    <w:name w:val="Footnote Characters"/>
    <w:pPr>
      <w:pBdr/>
      <w:spacing/>
      <w:ind/>
    </w:pPr>
    <w:rPr>
      <w:vertAlign w:val="superscript"/>
    </w:rPr>
  </w:style>
  <w:style w:type="character" w:styleId="1029">
    <w:name w:val="annotation reference"/>
    <w:pPr>
      <w:pBdr/>
      <w:spacing/>
      <w:ind/>
    </w:pPr>
    <w:rPr>
      <w:sz w:val="16"/>
      <w:szCs w:val="16"/>
    </w:rPr>
  </w:style>
  <w:style w:type="character" w:styleId="1030" w:customStyle="1">
    <w:name w:val="Char Char2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1031" w:customStyle="1">
    <w:name w:val="Char Char1"/>
    <w:pPr>
      <w:pBdr/>
      <w:spacing/>
      <w:ind/>
    </w:pPr>
    <w:rPr>
      <w:rFonts w:ascii="Times New Roman" w:hAnsi="Times New Roman" w:eastAsia="Times New Roman" w:cs="Times New Roman"/>
      <w:b/>
      <w:bCs/>
    </w:rPr>
  </w:style>
  <w:style w:type="character" w:styleId="1032" w:customStyle="1">
    <w:name w:val="Char Char"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character" w:styleId="1033" w:customStyle="1">
    <w:name w:val="apple-converted-space"/>
    <w:basedOn w:val="856"/>
    <w:pPr>
      <w:pBdr/>
      <w:spacing/>
      <w:ind/>
    </w:pPr>
  </w:style>
  <w:style w:type="paragraph" w:styleId="1034" w:customStyle="1">
    <w:name w:val="Heading"/>
    <w:basedOn w:val="846"/>
    <w:next w:val="1035"/>
    <w:pPr>
      <w:keepNext w:val="true"/>
      <w:pBdr/>
      <w:spacing w:after="120" w:before="240"/>
      <w:ind/>
    </w:pPr>
    <w:rPr>
      <w:rFonts w:ascii="Arial" w:hAnsi="Arial" w:eastAsia="Lucida Sans Unicode" w:cs="Mangal"/>
      <w:sz w:val="28"/>
      <w:szCs w:val="28"/>
    </w:rPr>
  </w:style>
  <w:style w:type="paragraph" w:styleId="1035">
    <w:name w:val="Body Text"/>
    <w:basedOn w:val="846"/>
    <w:link w:val="1056"/>
    <w:pPr>
      <w:pBdr/>
      <w:spacing w:after="120"/>
      <w:ind/>
    </w:pPr>
  </w:style>
  <w:style w:type="paragraph" w:styleId="1036">
    <w:name w:val="List"/>
    <w:basedOn w:val="1035"/>
    <w:pPr>
      <w:pBdr/>
      <w:spacing/>
      <w:ind/>
    </w:pPr>
    <w:rPr>
      <w:rFonts w:cs="Mangal"/>
    </w:rPr>
  </w:style>
  <w:style w:type="paragraph" w:styleId="1037">
    <w:name w:val="Caption"/>
    <w:basedOn w:val="846"/>
    <w:qFormat/>
    <w:pPr>
      <w:pBdr/>
      <w:spacing w:after="120" w:before="120"/>
      <w:ind/>
    </w:pPr>
    <w:rPr>
      <w:rFonts w:cs="Mangal"/>
      <w:i/>
      <w:iCs/>
    </w:rPr>
  </w:style>
  <w:style w:type="paragraph" w:styleId="1038" w:customStyle="1">
    <w:name w:val="Index"/>
    <w:basedOn w:val="846"/>
    <w:pPr>
      <w:pBdr/>
      <w:spacing/>
      <w:ind/>
    </w:pPr>
    <w:rPr>
      <w:rFonts w:cs="Mangal"/>
    </w:rPr>
  </w:style>
  <w:style w:type="paragraph" w:styleId="1039">
    <w:name w:val="Body Text Indent"/>
    <w:basedOn w:val="846"/>
    <w:pPr>
      <w:pBdr/>
      <w:spacing/>
      <w:ind w:firstLine="851"/>
      <w:jc w:val="both"/>
    </w:pPr>
    <w:rPr>
      <w:sz w:val="26"/>
    </w:rPr>
  </w:style>
  <w:style w:type="paragraph" w:styleId="1040">
    <w:name w:val="Header"/>
    <w:basedOn w:val="846"/>
    <w:link w:val="963"/>
    <w:uiPriority w:val="99"/>
    <w:pPr>
      <w:pBdr/>
      <w:tabs>
        <w:tab w:val="center" w:leader="none" w:pos="4680"/>
        <w:tab w:val="right" w:leader="none" w:pos="9360"/>
      </w:tabs>
      <w:spacing/>
      <w:ind/>
    </w:pPr>
  </w:style>
  <w:style w:type="paragraph" w:styleId="1041">
    <w:name w:val="Footer"/>
    <w:basedOn w:val="846"/>
    <w:link w:val="1055"/>
    <w:uiPriority w:val="99"/>
    <w:pPr>
      <w:pBdr/>
      <w:tabs>
        <w:tab w:val="center" w:leader="none" w:pos="4680"/>
        <w:tab w:val="right" w:leader="none" w:pos="9360"/>
      </w:tabs>
      <w:spacing/>
      <w:ind/>
    </w:pPr>
  </w:style>
  <w:style w:type="paragraph" w:styleId="1042">
    <w:name w:val="endnote text"/>
    <w:basedOn w:val="846"/>
    <w:link w:val="948"/>
    <w:pPr>
      <w:pBdr/>
      <w:spacing/>
      <w:ind/>
    </w:pPr>
    <w:rPr>
      <w:sz w:val="20"/>
      <w:szCs w:val="20"/>
    </w:rPr>
  </w:style>
  <w:style w:type="paragraph" w:styleId="1043">
    <w:name w:val="footnote text"/>
    <w:basedOn w:val="846"/>
    <w:link w:val="1007"/>
    <w:pPr>
      <w:pBdr/>
      <w:spacing/>
      <w:ind/>
    </w:pPr>
    <w:rPr>
      <w:sz w:val="20"/>
      <w:szCs w:val="20"/>
    </w:rPr>
  </w:style>
  <w:style w:type="paragraph" w:styleId="1044">
    <w:name w:val="annotation text"/>
    <w:basedOn w:val="846"/>
    <w:pPr>
      <w:pBdr/>
      <w:spacing/>
      <w:ind/>
    </w:pPr>
    <w:rPr>
      <w:sz w:val="20"/>
      <w:szCs w:val="20"/>
    </w:rPr>
  </w:style>
  <w:style w:type="paragraph" w:styleId="1045">
    <w:name w:val="annotation subject"/>
    <w:basedOn w:val="1044"/>
    <w:next w:val="1044"/>
    <w:pPr>
      <w:pBdr/>
      <w:spacing/>
      <w:ind/>
    </w:pPr>
    <w:rPr>
      <w:b/>
      <w:bCs/>
    </w:rPr>
  </w:style>
  <w:style w:type="paragraph" w:styleId="1046">
    <w:name w:val="Balloon Text"/>
    <w:basedOn w:val="846"/>
    <w:pPr>
      <w:pBdr/>
      <w:spacing/>
      <w:ind/>
    </w:pPr>
    <w:rPr>
      <w:rFonts w:ascii="Tahoma" w:hAnsi="Tahoma" w:cs="Tahoma"/>
      <w:sz w:val="16"/>
      <w:szCs w:val="16"/>
    </w:rPr>
  </w:style>
  <w:style w:type="paragraph" w:styleId="1047" w:customStyle="1">
    <w:name w:val="western"/>
    <w:basedOn w:val="846"/>
    <w:pPr>
      <w:pBdr/>
      <w:spacing w:after="119" w:before="280"/>
      <w:ind/>
    </w:pPr>
    <w:rPr>
      <w:color w:val="000000"/>
    </w:rPr>
  </w:style>
  <w:style w:type="paragraph" w:styleId="1048" w:customStyle="1">
    <w:name w:val="Frame contents"/>
    <w:basedOn w:val="1035"/>
    <w:pPr>
      <w:pBdr/>
      <w:spacing/>
      <w:ind/>
    </w:pPr>
  </w:style>
  <w:style w:type="paragraph" w:styleId="1049" w:customStyle="1">
    <w:name w:val="Table Contents"/>
    <w:basedOn w:val="846"/>
    <w:pPr>
      <w:pBdr/>
      <w:spacing/>
      <w:ind/>
    </w:pPr>
  </w:style>
  <w:style w:type="paragraph" w:styleId="1050" w:customStyle="1">
    <w:name w:val="Table Heading"/>
    <w:basedOn w:val="1049"/>
    <w:pPr>
      <w:pBdr/>
      <w:spacing/>
      <w:ind/>
      <w:jc w:val="center"/>
    </w:pPr>
    <w:rPr>
      <w:b/>
      <w:bCs/>
    </w:rPr>
  </w:style>
  <w:style w:type="paragraph" w:styleId="1051">
    <w:name w:val="Normal (Web)"/>
    <w:basedOn w:val="846"/>
    <w:link w:val="1078"/>
    <w:uiPriority w:val="99"/>
    <w:pPr>
      <w:pBdr/>
      <w:spacing w:after="280" w:before="280"/>
      <w:ind/>
    </w:pPr>
  </w:style>
  <w:style w:type="character" w:styleId="1052" w:customStyle="1">
    <w:name w:val="Heading 1 Char"/>
    <w:link w:val="847"/>
    <w:pPr>
      <w:pBdr/>
      <w:spacing/>
      <w:ind/>
    </w:pPr>
    <w:rPr>
      <w:b/>
      <w:bCs/>
      <w:sz w:val="26"/>
      <w:szCs w:val="24"/>
      <w:lang w:eastAsia="zh-CN"/>
    </w:rPr>
  </w:style>
  <w:style w:type="character" w:styleId="1053" w:customStyle="1">
    <w:name w:val="Heading 3 Char"/>
    <w:link w:val="849"/>
    <w:uiPriority w:val="9"/>
    <w:semiHidden/>
    <w:pPr>
      <w:pBdr/>
      <w:spacing/>
      <w:ind/>
    </w:pPr>
    <w:rPr>
      <w:rFonts w:ascii="Cambria" w:hAnsi="Cambria" w:eastAsia="Times New Roman" w:cs="Times New Roman"/>
      <w:b/>
      <w:bCs/>
      <w:sz w:val="26"/>
      <w:szCs w:val="26"/>
      <w:lang w:eastAsia="zh-CN"/>
    </w:rPr>
  </w:style>
  <w:style w:type="paragraph" w:styleId="1054" w:customStyle="1">
    <w:name w:val="Section 1"/>
    <w:basedOn w:val="846"/>
    <w:pPr>
      <w:pBdr/>
      <w:tabs>
        <w:tab w:val="center" w:leader="none" w:pos="2244"/>
        <w:tab w:val="center" w:leader="none" w:pos="6804"/>
      </w:tabs>
      <w:spacing/>
      <w:ind/>
    </w:pPr>
  </w:style>
  <w:style w:type="character" w:styleId="1055" w:customStyle="1">
    <w:name w:val="Footer Char"/>
    <w:link w:val="1041"/>
    <w:uiPriority w:val="99"/>
    <w:pPr>
      <w:pBdr/>
      <w:spacing/>
      <w:ind/>
    </w:pPr>
    <w:rPr>
      <w:sz w:val="24"/>
      <w:szCs w:val="24"/>
      <w:lang w:eastAsia="zh-CN"/>
    </w:rPr>
  </w:style>
  <w:style w:type="character" w:styleId="1056" w:customStyle="1">
    <w:name w:val="Body Text Char"/>
    <w:link w:val="1035"/>
    <w:pPr>
      <w:pBdr/>
      <w:spacing/>
      <w:ind/>
    </w:pPr>
    <w:rPr>
      <w:sz w:val="24"/>
      <w:szCs w:val="24"/>
      <w:lang w:eastAsia="zh-CN"/>
    </w:rPr>
  </w:style>
  <w:style w:type="character" w:styleId="1057" w:customStyle="1">
    <w:name w:val="Heading 2 Char"/>
    <w:link w:val="848"/>
    <w:uiPriority w:val="9"/>
    <w:pPr>
      <w:pBdr/>
      <w:spacing/>
      <w:ind/>
    </w:pPr>
    <w:rPr>
      <w:rFonts w:ascii="Calibri Light" w:hAnsi="Calibri Light" w:eastAsia="Times New Roman" w:cs="Times New Roman"/>
      <w:b/>
      <w:bCs/>
      <w:i/>
      <w:iCs/>
      <w:sz w:val="28"/>
      <w:szCs w:val="28"/>
      <w:lang w:eastAsia="zh-CN"/>
    </w:rPr>
  </w:style>
  <w:style w:type="character" w:styleId="1058" w:customStyle="1">
    <w:name w:val="Body text (2)_"/>
    <w:link w:val="1059"/>
    <w:pPr>
      <w:pBdr/>
      <w:spacing/>
      <w:ind/>
    </w:pPr>
    <w:rPr>
      <w:sz w:val="42"/>
      <w:szCs w:val="42"/>
      <w:shd w:val="clear" w:color="auto" w:fill="ffffff"/>
    </w:rPr>
  </w:style>
  <w:style w:type="paragraph" w:styleId="1059" w:customStyle="1">
    <w:name w:val="Body text (2)"/>
    <w:basedOn w:val="846"/>
    <w:link w:val="1058"/>
    <w:pPr>
      <w:widowControl w:val="false"/>
      <w:pBdr/>
      <w:shd w:val="clear" w:color="auto" w:fill="ffffff"/>
      <w:spacing w:line="503" w:lineRule="exact"/>
      <w:ind w:firstLine="1320"/>
      <w:jc w:val="both"/>
    </w:pPr>
    <w:rPr>
      <w:sz w:val="42"/>
      <w:szCs w:val="42"/>
    </w:rPr>
  </w:style>
  <w:style w:type="character" w:styleId="1060" w:customStyle="1">
    <w:name w:val="Heading 6 Char"/>
    <w:link w:val="852"/>
    <w:pPr>
      <w:pBdr/>
      <w:spacing/>
      <w:ind/>
    </w:pPr>
    <w:rPr>
      <w:rFonts w:ascii="Arial" w:hAnsi="Arial" w:eastAsia="MS Mincho" w:cs="Tahoma"/>
      <w:b/>
      <w:bCs/>
      <w:sz w:val="21"/>
      <w:szCs w:val="21"/>
      <w:lang w:eastAsia="zh-CN"/>
    </w:rPr>
  </w:style>
  <w:style w:type="character" w:styleId="1061" w:customStyle="1">
    <w:name w:val="Heading 7 Char"/>
    <w:link w:val="853"/>
    <w:pPr>
      <w:pBdr/>
      <w:spacing/>
      <w:ind/>
    </w:pPr>
    <w:rPr>
      <w:rFonts w:ascii="Arial" w:hAnsi="Arial" w:eastAsia="MS Mincho" w:cs="Tahoma"/>
      <w:b/>
      <w:bCs/>
      <w:sz w:val="21"/>
      <w:szCs w:val="21"/>
      <w:lang w:eastAsia="zh-CN"/>
    </w:rPr>
  </w:style>
  <w:style w:type="character" w:styleId="1062" w:customStyle="1">
    <w:name w:val="Heading 8 Char"/>
    <w:link w:val="854"/>
    <w:pPr>
      <w:pBdr/>
      <w:spacing/>
      <w:ind/>
    </w:pPr>
    <w:rPr>
      <w:rFonts w:ascii="Arial" w:hAnsi="Arial" w:eastAsia="MS Mincho" w:cs="Tahoma"/>
      <w:b/>
      <w:bCs/>
      <w:sz w:val="21"/>
      <w:szCs w:val="21"/>
      <w:lang w:eastAsia="zh-CN"/>
    </w:rPr>
  </w:style>
  <w:style w:type="character" w:styleId="1063" w:customStyle="1">
    <w:name w:val="Heading 9 Char"/>
    <w:link w:val="855"/>
    <w:pPr>
      <w:pBdr/>
      <w:spacing/>
      <w:ind/>
    </w:pPr>
    <w:rPr>
      <w:rFonts w:ascii="Arial" w:hAnsi="Arial" w:eastAsia="MS Mincho" w:cs="Tahoma"/>
      <w:b/>
      <w:bCs/>
      <w:sz w:val="21"/>
      <w:szCs w:val="21"/>
      <w:lang w:eastAsia="zh-CN"/>
    </w:rPr>
  </w:style>
  <w:style w:type="paragraph" w:styleId="1064" w:customStyle="1">
    <w:name w:val="Char Char Char Char"/>
    <w:next w:val="846"/>
    <w:semiHidden/>
    <w:pPr>
      <w:pBdr/>
      <w:spacing w:after="160" w:line="240" w:lineRule="exact"/>
      <w:ind/>
      <w:jc w:val="both"/>
    </w:pPr>
    <w:rPr>
      <w:sz w:val="28"/>
    </w:rPr>
  </w:style>
  <w:style w:type="character" w:styleId="1065">
    <w:name w:val="line number"/>
    <w:uiPriority w:val="99"/>
    <w:semiHidden/>
    <w:unhideWhenUsed/>
    <w:pPr>
      <w:pBdr/>
      <w:spacing/>
      <w:ind/>
    </w:pPr>
  </w:style>
  <w:style w:type="paragraph" w:styleId="1066">
    <w:name w:val="Document Map"/>
    <w:basedOn w:val="846"/>
    <w:link w:val="1067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67" w:customStyle="1">
    <w:name w:val="Document Map Char"/>
    <w:link w:val="1066"/>
    <w:uiPriority w:val="99"/>
    <w:semiHidden/>
    <w:pPr>
      <w:pBdr/>
      <w:spacing/>
      <w:ind/>
    </w:pPr>
    <w:rPr>
      <w:rFonts w:ascii="Tahoma" w:hAnsi="Tahoma" w:cs="Tahoma"/>
      <w:sz w:val="16"/>
      <w:szCs w:val="16"/>
      <w:lang w:eastAsia="zh-CN"/>
    </w:rPr>
  </w:style>
  <w:style w:type="paragraph" w:styleId="1068">
    <w:name w:val="List Paragraph"/>
    <w:basedOn w:val="846"/>
    <w:uiPriority w:val="34"/>
    <w:qFormat/>
    <w:pPr>
      <w:pBdr/>
      <w:spacing/>
      <w:ind w:left="720"/>
      <w:contextualSpacing w:val="true"/>
    </w:pPr>
  </w:style>
  <w:style w:type="character" w:styleId="1069">
    <w:name w:val="Emphasis"/>
    <w:qFormat/>
    <w:pPr>
      <w:pBdr/>
      <w:spacing/>
      <w:ind/>
    </w:pPr>
    <w:rPr>
      <w:i/>
      <w:iCs/>
    </w:rPr>
  </w:style>
  <w:style w:type="character" w:styleId="1070" w:customStyle="1">
    <w:name w:val="Heading #1_"/>
    <w:basedOn w:val="856"/>
    <w:link w:val="1071"/>
    <w:pPr>
      <w:pBdr/>
      <w:spacing/>
      <w:ind/>
    </w:pPr>
    <w:rPr>
      <w:b/>
      <w:bCs/>
      <w:color w:val="101316"/>
      <w:sz w:val="26"/>
      <w:szCs w:val="26"/>
    </w:rPr>
  </w:style>
  <w:style w:type="paragraph" w:styleId="1071" w:customStyle="1">
    <w:name w:val="Heading #1"/>
    <w:basedOn w:val="846"/>
    <w:link w:val="1070"/>
    <w:pPr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100" w:line="276" w:lineRule="auto"/>
      <w:ind w:firstLine="720" w:left="150"/>
      <w:outlineLvl w:val="0"/>
    </w:pPr>
    <w:rPr>
      <w:b/>
      <w:bCs/>
      <w:color w:val="101316"/>
      <w:sz w:val="26"/>
      <w:szCs w:val="26"/>
      <w:lang w:eastAsia="en-US"/>
    </w:rPr>
  </w:style>
  <w:style w:type="paragraph" w:styleId="1072">
    <w:name w:val="Body Text Indent 3"/>
    <w:basedOn w:val="846"/>
    <w:link w:val="1073"/>
    <w:uiPriority w:val="99"/>
    <w:semiHidden/>
    <w:unhideWhenUsed/>
    <w:pPr>
      <w:pBdr/>
      <w:spacing w:after="120"/>
      <w:ind w:left="360"/>
    </w:pPr>
    <w:rPr>
      <w:sz w:val="16"/>
      <w:szCs w:val="16"/>
    </w:rPr>
  </w:style>
  <w:style w:type="character" w:styleId="1073" w:customStyle="1">
    <w:name w:val="Body Text Indent 3 Char"/>
    <w:basedOn w:val="856"/>
    <w:link w:val="1072"/>
    <w:uiPriority w:val="99"/>
    <w:semiHidden/>
    <w:pPr>
      <w:pBdr/>
      <w:spacing/>
      <w:ind/>
    </w:pPr>
    <w:rPr>
      <w:sz w:val="16"/>
      <w:szCs w:val="16"/>
      <w:lang w:eastAsia="zh-CN"/>
    </w:rPr>
  </w:style>
  <w:style w:type="paragraph" w:styleId="1074">
    <w:name w:val="Body Text Indent 2"/>
    <w:basedOn w:val="846"/>
    <w:link w:val="1075"/>
    <w:uiPriority w:val="99"/>
    <w:semiHidden/>
    <w:unhideWhenUsed/>
    <w:pPr>
      <w:pBdr/>
      <w:spacing w:after="120" w:line="480" w:lineRule="auto"/>
      <w:ind w:left="360"/>
    </w:pPr>
  </w:style>
  <w:style w:type="character" w:styleId="1075" w:customStyle="1">
    <w:name w:val="Body Text Indent 2 Char"/>
    <w:basedOn w:val="856"/>
    <w:link w:val="1074"/>
    <w:uiPriority w:val="99"/>
    <w:semiHidden/>
    <w:pPr>
      <w:pBdr/>
      <w:spacing/>
      <w:ind/>
    </w:pPr>
    <w:rPr>
      <w:sz w:val="24"/>
      <w:szCs w:val="24"/>
      <w:lang w:eastAsia="zh-CN"/>
    </w:rPr>
  </w:style>
  <w:style w:type="character" w:styleId="1076" w:customStyle="1">
    <w:name w:val="fontstyle21"/>
    <w:uiPriority w:val="99"/>
    <w:pPr>
      <w:pBdr/>
      <w:spacing/>
      <w:ind/>
    </w:pPr>
    <w:rPr>
      <w:rFonts w:ascii="Times New Roman" w:hAnsi="Times New Roman" w:cs="Times New Roman"/>
      <w:color w:val="000000"/>
      <w:sz w:val="28"/>
      <w:szCs w:val="28"/>
    </w:rPr>
  </w:style>
  <w:style w:type="character" w:styleId="1077" w:customStyle="1">
    <w:name w:val="fontstyle01"/>
    <w:pPr>
      <w:pBdr/>
      <w:spacing/>
      <w:ind/>
    </w:pPr>
    <w:rPr>
      <w:rFonts w:hint="default" w:ascii="TimesNewRomanPSMT" w:hAnsi="TimesNewRomanPSMT"/>
      <w:b w:val="0"/>
      <w:bCs w:val="0"/>
      <w:i w:val="0"/>
      <w:iCs w:val="0"/>
      <w:color w:val="000000"/>
      <w:sz w:val="28"/>
      <w:szCs w:val="28"/>
    </w:rPr>
  </w:style>
  <w:style w:type="character" w:styleId="1078" w:customStyle="1">
    <w:name w:val="Normal (Web) Char"/>
    <w:link w:val="1051"/>
    <w:pPr>
      <w:pBdr/>
      <w:spacing/>
      <w:ind/>
    </w:pPr>
    <w:rPr>
      <w:sz w:val="24"/>
      <w:szCs w:val="24"/>
      <w:lang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footnotes" Target="footnotes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11" Type="http://schemas.openxmlformats.org/officeDocument/2006/relationships/footer" Target="footer1.xml"/><Relationship Id="rId5" Type="http://schemas.openxmlformats.org/officeDocument/2006/relationships/theme" Target="theme/theme1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F7FB8B-10D5-423B-BB80-E8599D585B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EE1197-D2A0-49EF-978A-3E53364518D7}"/>
</file>

<file path=customXml/itemProps3.xml><?xml version="1.0" encoding="utf-8"?>
<ds:datastoreItem xmlns:ds="http://schemas.openxmlformats.org/officeDocument/2006/customXml" ds:itemID="{6E24E126-673B-4E78-BDF0-008B86C372E1}"/>
</file>

<file path=customXml/itemProps4.xml><?xml version="1.0" encoding="utf-8"?>
<ds:datastoreItem xmlns:ds="http://schemas.openxmlformats.org/officeDocument/2006/customXml" ds:itemID="{2F59D5ED-B9F0-480E-976D-871AEA93D1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ONLYOFFICE/8.3.3.19</Application>
  <DocSecurity>0</DocSecurity>
  <ScaleCrop>0</ScaleCrop>
  <HeadingPairs>
    <vt:vector size="0" baseType="variant"/>
  </HeadingPairs>
  <TitlesOfParts>
    <vt:vector size="0" baseType="lpstr"/>
  </TitlesOfParts>
  <Company>Vinh Long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Lưu Hương Xuân</cp:lastModifiedBy>
  <cp:revision>5</cp:revision>
  <dcterms:created xsi:type="dcterms:W3CDTF">2026-03-13T07:17:00Z</dcterms:created>
  <dcterms:modified xsi:type="dcterms:W3CDTF">2026-03-13T08:54:16Z</dcterms:modified>
</cp:coreProperties>
</file>