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7"/>
        <w:gridCol w:w="6237"/>
      </w:tblGrid>
      <w:tr>
        <w:trPr>
          <w:trHeight w:val="1418"/>
        </w:trPr>
        <w:tc>
          <w:tcPr>
            <w:tcW w:w="3227" w:type="dxa"/>
          </w:tcPr>
          <w:p>
            <w:pPr>
              <w:jc w:val="center"/>
              <w:rPr>
                <w:rFonts w:ascii="Times New Roman" w:hAnsi="Times New Roman" w:cs="Times New Roman"/>
                <w:b/>
                <w:sz w:val="27"/>
                <w:szCs w:val="27"/>
              </w:rPr>
            </w:pPr>
            <w:r>
              <w:rPr>
                <w:rFonts w:ascii="Times New Roman" w:hAnsi="Times New Roman" w:cs="Times New Roman"/>
                <w:b/>
                <w:sz w:val="27"/>
                <w:szCs w:val="27"/>
              </w:rPr>
              <w:t>ỦY BAN NHÂN DÂN</w:t>
            </w:r>
          </w:p>
          <w:p>
            <w:pPr>
              <w:jc w:val="center"/>
              <w:rPr>
                <w:rFonts w:ascii="Times New Roman" w:hAnsi="Times New Roman" w:cs="Times New Roman"/>
                <w:sz w:val="27"/>
                <w:szCs w:val="27"/>
              </w:rPr>
            </w:pPr>
            <w:r>
              <w:rPr>
                <w:rFonts w:ascii="Times New Roman" w:hAnsi="Times New Roman" w:cs="Times New Roman"/>
                <w:b/>
                <w:sz w:val="27"/>
                <w:szCs w:val="27"/>
              </w:rPr>
              <w:t>TỈNH QUẢNG NINH</w:t>
            </w:r>
          </w:p>
          <w:p>
            <w:pPr>
              <w:jc w:val="center"/>
              <w:rPr>
                <w:rFonts w:ascii="Times New Roman" w:hAnsi="Times New Roman" w:cs="Times New Roman"/>
                <w:sz w:val="26"/>
                <w:szCs w:val="26"/>
              </w:rPr>
            </w:pPr>
            <w:r>
              <w:rPr>
                <w:noProof/>
                <w14:ligatures w14:val="none"/>
              </w:rPr>
              <mc:AlternateContent>
                <mc:Choice Requires="wps">
                  <w:drawing>
                    <wp:anchor distT="4294967295" distB="4294967295" distL="114300" distR="114300" simplePos="0" relativeHeight="251658240" behindDoc="0" locked="0" layoutInCell="1" allowOverlap="1">
                      <wp:simplePos x="0" y="0"/>
                      <wp:positionH relativeFrom="column">
                        <wp:posOffset>646430</wp:posOffset>
                      </wp:positionH>
                      <wp:positionV relativeFrom="paragraph">
                        <wp:posOffset>27939</wp:posOffset>
                      </wp:positionV>
                      <wp:extent cx="577850" cy="0"/>
                      <wp:effectExtent l="0" t="0" r="3175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78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9pt,2.2pt" to="96.4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" strokecolor="black [3213]">
                      <o:lock v:ext="edit" shapetype="f"/>
                    </v:line>
                  </w:pict>
                </mc:Fallback>
              </mc:AlternateContent>
            </w:r>
          </w:p>
          <w:p>
            <w:pPr>
              <w:jc w:val="center"/>
              <w:rPr>
                <w:rFonts w:ascii="Times New Roman" w:hAnsi="Times New Roman" w:cs="Times New Roman"/>
                <w:sz w:val="26"/>
                <w:szCs w:val="26"/>
              </w:rPr>
            </w:pPr>
            <w:r>
              <w:rPr>
                <w:rFonts w:ascii="Times New Roman" w:hAnsi="Times New Roman" w:cs="Times New Roman"/>
                <w:sz w:val="26"/>
                <w:szCs w:val="26"/>
              </w:rPr>
              <w:t>Số: 54 /2026/QĐ-UBND</w:t>
            </w:r>
          </w:p>
        </w:tc>
        <w:tc>
          <w:tcPr>
            <w:tcW w:w="6237" w:type="dxa"/>
          </w:tcPr>
          <w:p>
            <w:pPr>
              <w:jc w:val="center"/>
              <w:rPr>
                <w:rFonts w:ascii="Times New Roman" w:hAnsi="Times New Roman" w:cs="Times New Roman"/>
                <w:b/>
                <w:sz w:val="27"/>
                <w:szCs w:val="27"/>
              </w:rPr>
            </w:pPr>
            <w:r>
              <w:rPr>
                <w:rFonts w:ascii="Times New Roman" w:hAnsi="Times New Roman" w:cs="Times New Roman"/>
                <w:b/>
                <w:sz w:val="27"/>
                <w:szCs w:val="27"/>
              </w:rPr>
              <w:t>CỘNG HÒA XÃ HỘI CHỦ NGHĨA VIỆT NAM</w:t>
            </w:r>
          </w:p>
          <w:p>
            <w:pPr>
              <w:jc w:val="center"/>
              <w:rPr>
                <w:rFonts w:ascii="Times New Roman" w:hAnsi="Times New Roman" w:cs="Times New Roman"/>
                <w:b/>
                <w:sz w:val="27"/>
                <w:szCs w:val="27"/>
              </w:rPr>
            </w:pPr>
            <w:r>
              <w:rPr>
                <w:rFonts w:ascii="Times New Roman" w:hAnsi="Times New Roman" w:cs="Times New Roman"/>
                <w:b/>
                <w:sz w:val="27"/>
                <w:szCs w:val="27"/>
              </w:rPr>
              <w:t>Độc lập - Tự do - Hạnh phúc</w:t>
            </w:r>
          </w:p>
          <w:p>
            <w:pPr>
              <w:jc w:val="center"/>
              <w:rPr>
                <w:rFonts w:ascii="Times New Roman" w:hAnsi="Times New Roman" w:cs="Times New Roman"/>
                <w:i/>
                <w:sz w:val="28"/>
                <w:szCs w:val="28"/>
              </w:rPr>
            </w:pPr>
            <w:r>
              <w:rPr>
                <w:noProof/>
                <w14:ligatures w14:val="none"/>
              </w:rPr>
              <mc:AlternateContent>
                <mc:Choice Requires="wps">
                  <w:drawing>
                    <wp:anchor distT="4294967295" distB="4294967295" distL="114300" distR="114300" simplePos="0" relativeHeight="251661312" behindDoc="0" locked="0" layoutInCell="1" allowOverlap="1">
                      <wp:simplePos x="0" y="0"/>
                      <wp:positionH relativeFrom="column">
                        <wp:posOffset>821055</wp:posOffset>
                      </wp:positionH>
                      <wp:positionV relativeFrom="paragraph">
                        <wp:posOffset>31115</wp:posOffset>
                      </wp:positionV>
                      <wp:extent cx="2128520" cy="0"/>
                      <wp:effectExtent l="0" t="0" r="2413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2852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4.65pt,2.45pt" to="232.2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" strokecolor="black [3213]">
                      <o:lock v:ext="edit" shapetype="f"/>
                    </v:line>
                  </w:pict>
                </mc:Fallback>
              </mc:AlternateContent>
            </w:r>
          </w:p>
          <w:p>
            <w:pPr>
              <w:jc w:val="center"/>
              <w:rPr>
                <w:rFonts w:ascii="Times New Roman" w:hAnsi="Times New Roman" w:cs="Times New Roman"/>
                <w:i/>
                <w:sz w:val="27"/>
                <w:szCs w:val="27"/>
              </w:rPr>
            </w:pPr>
            <w:r>
              <w:rPr>
                <w:rFonts w:ascii="Times New Roman" w:hAnsi="Times New Roman" w:cs="Times New Roman"/>
                <w:i/>
                <w:sz w:val="27"/>
                <w:szCs w:val="27"/>
              </w:rPr>
              <w:t>Quảng Ninh, ngày 24 tháng 6 năm 2026</w:t>
            </w:r>
          </w:p>
        </w:tc>
      </w:tr>
    </w:tbl>
    <w:p>
      <w:pPr>
        <w:spacing w:before="360" w:after="0" w:line="240" w:lineRule="auto"/>
        <w:jc w:val="center"/>
        <w:rPr>
          <w:rFonts w:ascii="Times New Roman" w:hAnsi="Times New Roman" w:cs="Times New Roman"/>
          <w:b/>
          <w:sz w:val="28"/>
          <w:szCs w:val="28"/>
        </w:rPr>
      </w:pPr>
      <w:r>
        <w:rPr>
          <w:rFonts w:ascii="Times New Roman" w:hAnsi="Times New Roman" w:cs="Times New Roman"/>
          <w:b/>
          <w:sz w:val="28"/>
          <w:szCs w:val="28"/>
        </w:rPr>
        <w:t>QUYẾT ĐỊNH</w:t>
      </w:r>
    </w:p>
    <w:p>
      <w:pPr>
        <w:spacing w:after="0" w:line="240" w:lineRule="auto"/>
        <w:jc w:val="center"/>
        <w:rPr>
          <w:rFonts w:ascii="Times New Roman" w:hAnsi="Times New Roman" w:cs="Times New Roman"/>
          <w:b/>
          <w:bCs/>
          <w:spacing w:val="-4"/>
          <w:sz w:val="28"/>
          <w:szCs w:val="28"/>
        </w:rPr>
      </w:pPr>
      <w:r>
        <w:rPr>
          <w:rFonts w:ascii="Times New Roman" w:hAnsi="Times New Roman" w:cs="Times New Roman"/>
          <w:b/>
          <w:bCs/>
          <w:spacing w:val="-4"/>
          <w:sz w:val="28"/>
          <w:szCs w:val="28"/>
        </w:rPr>
        <w:t xml:space="preserve">Quy định về danh mục tài sản công cho thuê, tiêu chí, mức hỗ trợ, </w:t>
      </w:r>
    </w:p>
    <w:p>
      <w:pPr>
        <w:spacing w:after="0" w:line="240" w:lineRule="auto"/>
        <w:jc w:val="center"/>
        <w:rPr>
          <w:rFonts w:ascii="Times New Roman" w:hAnsi="Times New Roman" w:cs="Times New Roman"/>
          <w:b/>
          <w:bCs/>
          <w:spacing w:val="-4"/>
          <w:sz w:val="28"/>
          <w:szCs w:val="28"/>
        </w:rPr>
      </w:pPr>
      <w:r>
        <w:rPr>
          <w:rFonts w:ascii="Times New Roman" w:hAnsi="Times New Roman" w:cs="Times New Roman"/>
          <w:b/>
          <w:bCs/>
          <w:spacing w:val="-4"/>
          <w:sz w:val="28"/>
          <w:szCs w:val="28"/>
        </w:rPr>
        <w:t xml:space="preserve">hình thức hỗ trợ, trình tự, thủ tục cho thuê nhà, đất là tài sản công theo </w:t>
      </w:r>
    </w:p>
    <w:p>
      <w:pPr>
        <w:spacing w:after="0" w:line="240" w:lineRule="auto"/>
        <w:jc w:val="center"/>
        <w:rPr>
          <w:rFonts w:ascii="Times New Roman" w:hAnsi="Times New Roman" w:cs="Times New Roman"/>
          <w:b/>
          <w:bCs/>
          <w:spacing w:val="-4"/>
          <w:sz w:val="28"/>
          <w:szCs w:val="28"/>
        </w:rPr>
      </w:pPr>
      <w:r>
        <w:rPr>
          <w:rFonts w:ascii="Times New Roman" w:hAnsi="Times New Roman" w:cs="Times New Roman"/>
          <w:b/>
          <w:bCs/>
          <w:spacing w:val="-4"/>
          <w:sz w:val="28"/>
          <w:szCs w:val="28"/>
        </w:rPr>
        <w:t xml:space="preserve">quy định tại Điều 8 Nghị quyết số 198/2025/QH15 ngày 17 tháng 5 năm 2025 </w:t>
      </w:r>
    </w:p>
    <w:p>
      <w:pPr>
        <w:spacing w:after="0" w:line="240" w:lineRule="auto"/>
        <w:jc w:val="center"/>
        <w:rPr>
          <w:rFonts w:ascii="Times New Roman" w:hAnsi="Times New Roman" w:cs="Times New Roman"/>
          <w:b/>
          <w:spacing w:val="-4"/>
          <w:sz w:val="28"/>
          <w:szCs w:val="28"/>
        </w:rPr>
      </w:pPr>
      <w:r>
        <w:rPr>
          <w:rFonts w:ascii="Times New Roman" w:hAnsi="Times New Roman" w:cs="Times New Roman"/>
          <w:b/>
          <w:bCs/>
          <w:spacing w:val="-4"/>
          <w:sz w:val="28"/>
          <w:szCs w:val="28"/>
        </w:rPr>
        <w:t>của Quốc hội trên đ</w:t>
      </w:r>
      <w:bookmarkStart w:id="0" w:name="_GoBack"/>
      <w:bookmarkEnd w:id="0"/>
      <w:r>
        <w:rPr>
          <w:rFonts w:ascii="Times New Roman" w:hAnsi="Times New Roman" w:cs="Times New Roman"/>
          <w:b/>
          <w:bCs/>
          <w:spacing w:val="-4"/>
          <w:sz w:val="28"/>
          <w:szCs w:val="28"/>
        </w:rPr>
        <w:t>ịa bàn tỉnh Quảng Ninh</w:t>
      </w:r>
    </w:p>
    <w:p>
      <w:pPr>
        <w:spacing w:after="0" w:line="240" w:lineRule="auto"/>
        <w:jc w:val="center"/>
        <w:rPr>
          <w:rFonts w:ascii="Times New Roman" w:hAnsi="Times New Roman" w:cs="Times New Roman"/>
          <w:b/>
          <w:sz w:val="28"/>
          <w:szCs w:val="28"/>
        </w:rPr>
      </w:pPr>
      <w:r>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simplePos x="0" y="0"/>
                <wp:positionH relativeFrom="column">
                  <wp:posOffset>2276475</wp:posOffset>
                </wp:positionH>
                <wp:positionV relativeFrom="paragraph">
                  <wp:posOffset>46990</wp:posOffset>
                </wp:positionV>
                <wp:extent cx="131445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13144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5"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9.25pt,3.7pt" to="282.7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" strokecolor="black [3213]"/>
            </w:pict>
          </mc:Fallback>
        </mc:AlternateContent>
      </w:r>
    </w:p>
    <w:p>
      <w:pPr>
        <w:spacing w:before="120" w:after="100" w:line="245" w:lineRule="auto"/>
        <w:ind w:firstLine="720"/>
        <w:jc w:val="both"/>
        <w:rPr>
          <w:rFonts w:ascii="Times New Roman" w:hAnsi="Times New Roman" w:cs="Times New Roman"/>
          <w:i/>
          <w:iCs/>
          <w:spacing w:val="-6"/>
          <w:sz w:val="28"/>
          <w:szCs w:val="28"/>
          <w:lang w:val="pt-BR"/>
        </w:rPr>
      </w:pPr>
      <w:r>
        <w:rPr>
          <w:rFonts w:ascii="Times New Roman" w:hAnsi="Times New Roman" w:cs="Times New Roman"/>
          <w:i/>
          <w:spacing w:val="-6"/>
          <w:sz w:val="28"/>
          <w:szCs w:val="28"/>
          <w:lang w:val="pt-BR"/>
        </w:rPr>
        <w:t>Căn cứ Luật Tổ chức chính quyền địa phương số 72/2025/QH15;</w:t>
      </w:r>
      <w:r>
        <w:rPr>
          <w:rFonts w:ascii="Times New Roman" w:hAnsi="Times New Roman" w:cs="Times New Roman"/>
          <w:i/>
          <w:iCs/>
          <w:spacing w:val="-6"/>
          <w:sz w:val="28"/>
          <w:szCs w:val="28"/>
          <w:lang w:val="pt-BR"/>
        </w:rPr>
        <w:t xml:space="preserve"> </w:t>
      </w:r>
    </w:p>
    <w:p>
      <w:pPr>
        <w:spacing w:after="100" w:line="245" w:lineRule="auto"/>
        <w:ind w:firstLine="720"/>
        <w:jc w:val="both"/>
        <w:rPr>
          <w:rFonts w:ascii="Times New Roman" w:hAnsi="Times New Roman" w:cs="Times New Roman"/>
          <w:i/>
          <w:iCs/>
          <w:sz w:val="28"/>
          <w:szCs w:val="28"/>
          <w:lang w:val="pt-BR"/>
        </w:rPr>
      </w:pPr>
      <w:r>
        <w:rPr>
          <w:rFonts w:ascii="Times New Roman" w:hAnsi="Times New Roman" w:cs="Times New Roman"/>
          <w:i/>
          <w:iCs/>
          <w:sz w:val="28"/>
          <w:szCs w:val="28"/>
          <w:lang w:val="pt-BR"/>
        </w:rPr>
        <w:t>Căn cứ Luật Quản lý, sử dụng tài sản công số 15/2017/QH14 được sửa đổi bổ sung một số điều theo Luật số 64/2020/QH14, Luật số 07/2022/QH15, Luật số 24/2023/QH15, Luật số 31/2024/QH15, Luật số 43/2024/QH15, Luật số 56/2024/QH15, Luật số 90/2025/QH15;</w:t>
      </w:r>
    </w:p>
    <w:p>
      <w:pPr>
        <w:spacing w:after="100" w:line="245" w:lineRule="auto"/>
        <w:ind w:firstLine="720"/>
        <w:jc w:val="both"/>
        <w:rPr>
          <w:rFonts w:ascii="Times New Roman" w:hAnsi="Times New Roman" w:cs="Times New Roman"/>
          <w:i/>
          <w:iCs/>
          <w:sz w:val="28"/>
          <w:szCs w:val="28"/>
          <w:lang w:val="pt-BR"/>
        </w:rPr>
      </w:pPr>
      <w:r>
        <w:rPr>
          <w:rFonts w:ascii="Times New Roman" w:hAnsi="Times New Roman" w:cs="Times New Roman"/>
          <w:i/>
          <w:iCs/>
          <w:sz w:val="28"/>
          <w:szCs w:val="28"/>
          <w:lang w:val="pt-BR"/>
        </w:rPr>
        <w:t>Căn cứ Nghị quyết số 198/2025/QH15 của Quốc hội về một số cơ chế, chính sách đặc biệt phát triển kinh tế tư nhân;</w:t>
      </w:r>
    </w:p>
    <w:p>
      <w:pPr>
        <w:shd w:val="clear" w:color="auto" w:fill="FFFFFF"/>
        <w:spacing w:after="100" w:line="245" w:lineRule="auto"/>
        <w:ind w:firstLine="720"/>
        <w:jc w:val="both"/>
        <w:rPr>
          <w:rFonts w:ascii="Times New Roman" w:hAnsi="Times New Roman" w:cs="Times New Roman"/>
          <w:i/>
          <w:spacing w:val="-2"/>
          <w:sz w:val="28"/>
          <w:szCs w:val="28"/>
          <w:lang w:val="pt-BR"/>
        </w:rPr>
      </w:pPr>
      <w:bookmarkStart w:id="1" w:name="loai_1_name"/>
      <w:r>
        <w:rPr>
          <w:rFonts w:ascii="Times New Roman" w:hAnsi="Times New Roman" w:cs="Times New Roman"/>
          <w:i/>
          <w:spacing w:val="-2"/>
          <w:sz w:val="28"/>
          <w:szCs w:val="28"/>
          <w:lang w:val="pt-BR"/>
        </w:rPr>
        <w:t>Căn cứ Nghị định số 108/2024/NĐ-CP của Chính phủ quy định việc quản lý, sử dụng và khai thác nhà, đất là tài sản công không sử dụng vào mục đích để ở giao cho tổ chức có chức năng quản lý, kinh doanh nhà địa phương quản lý, khai thác</w:t>
      </w:r>
      <w:bookmarkEnd w:id="1"/>
      <w:r>
        <w:rPr>
          <w:rFonts w:ascii="Times New Roman" w:hAnsi="Times New Roman" w:cs="Times New Roman"/>
          <w:i/>
          <w:spacing w:val="-2"/>
          <w:sz w:val="28"/>
          <w:szCs w:val="28"/>
          <w:lang w:val="pt-BR"/>
        </w:rPr>
        <w:t>, đã được sửa đổi, bổ sung một số điều theo Nghị định số 286/2025/NĐ-CP của Chính phủ;</w:t>
      </w:r>
    </w:p>
    <w:p>
      <w:pPr>
        <w:shd w:val="clear" w:color="auto" w:fill="FFFFFF"/>
        <w:spacing w:after="100" w:line="245" w:lineRule="auto"/>
        <w:ind w:firstLine="720"/>
        <w:jc w:val="both"/>
        <w:rPr>
          <w:rFonts w:ascii="Times New Roman" w:hAnsi="Times New Roman" w:cs="Times New Roman"/>
          <w:i/>
          <w:sz w:val="28"/>
          <w:szCs w:val="28"/>
          <w:lang w:val="pt-BR"/>
        </w:rPr>
      </w:pPr>
      <w:r>
        <w:rPr>
          <w:rFonts w:ascii="Times New Roman" w:hAnsi="Times New Roman" w:cs="Times New Roman"/>
          <w:i/>
          <w:sz w:val="28"/>
          <w:szCs w:val="28"/>
          <w:lang w:val="pt-BR"/>
        </w:rPr>
        <w:t>Căn cứ Nghị định số 20/2026/NĐ-CP của Chính phủ quy định chi tiết và hướng dẫn thi hành một số điều của Nghị quyết số 198/2025/QH15 ngày 17 tháng 5 năm 2025 của Quốc hội về một số cơ chế, chính sách đặc biệt phát triển kinh tế tư nhân;</w:t>
      </w:r>
    </w:p>
    <w:p>
      <w:pPr>
        <w:shd w:val="clear" w:color="auto" w:fill="FFFFFF"/>
        <w:spacing w:after="100" w:line="245" w:lineRule="auto"/>
        <w:ind w:firstLine="720"/>
        <w:jc w:val="both"/>
        <w:rPr>
          <w:rFonts w:ascii="Times New Roman" w:hAnsi="Times New Roman" w:cs="Times New Roman"/>
          <w:i/>
          <w:sz w:val="28"/>
          <w:szCs w:val="28"/>
          <w:lang w:val="pt-BR"/>
        </w:rPr>
      </w:pPr>
      <w:r>
        <w:rPr>
          <w:rFonts w:ascii="Times New Roman" w:hAnsi="Times New Roman" w:cs="Times New Roman"/>
          <w:i/>
          <w:sz w:val="28"/>
          <w:szCs w:val="28"/>
          <w:lang w:val="pt-BR"/>
        </w:rPr>
        <w:t>Căn cứ Nghị định số 230/2025/NĐ-CP của Chính phủ quy định các trường hợp khác được miễn, giảm tiền sử dụng đất, tiền thuê đất theo quy định tại khoản 2 Điều 157 Luật Đất đai năm 2024;</w:t>
      </w:r>
    </w:p>
    <w:p>
      <w:pPr>
        <w:spacing w:after="100" w:line="245" w:lineRule="auto"/>
        <w:ind w:firstLine="720"/>
        <w:jc w:val="both"/>
        <w:rPr>
          <w:rFonts w:ascii="Times New Roman" w:hAnsi="Times New Roman" w:cs="Times New Roman"/>
          <w:i/>
          <w:iCs/>
          <w:sz w:val="28"/>
          <w:szCs w:val="28"/>
          <w:lang w:val="pt-BR"/>
        </w:rPr>
      </w:pPr>
      <w:r>
        <w:rPr>
          <w:rFonts w:ascii="Times New Roman" w:hAnsi="Times New Roman" w:cs="Times New Roman"/>
          <w:i/>
          <w:iCs/>
          <w:sz w:val="28"/>
          <w:szCs w:val="28"/>
          <w:lang w:val="vi-VN"/>
        </w:rPr>
        <w:t>Theo đề nghị của Sở Tài chính</w:t>
      </w:r>
      <w:r>
        <w:rPr>
          <w:rFonts w:ascii="Times New Roman" w:hAnsi="Times New Roman" w:cs="Times New Roman"/>
          <w:i/>
          <w:iCs/>
          <w:sz w:val="28"/>
          <w:szCs w:val="28"/>
          <w:lang w:val="pt-BR"/>
        </w:rPr>
        <w:t xml:space="preserve"> tỉnh Quảng Ninh tại Tờ trình số 4878/TTr-STC ngày 12 tháng 5 năm 2026 và Văn bản số 6302/STC-QLG&amp;CS ngày 10 tháng 6 năm 2026; Báo cáo thẩm định số 151/BC-STP ngày 05 tháng 5 năm 2026 của Sở Tư pháp;</w:t>
      </w:r>
    </w:p>
    <w:p>
      <w:pPr>
        <w:spacing w:after="100" w:line="245" w:lineRule="auto"/>
        <w:ind w:firstLine="709"/>
        <w:jc w:val="both"/>
        <w:rPr>
          <w:rFonts w:ascii="Times New Roman" w:hAnsi="Times New Roman" w:cs="Times New Roman"/>
          <w:bCs/>
          <w:i/>
          <w:sz w:val="28"/>
          <w:szCs w:val="28"/>
          <w:lang w:val="pt-BR"/>
        </w:rPr>
      </w:pPr>
      <w:r>
        <w:rPr>
          <w:rFonts w:ascii="Times New Roman" w:hAnsi="Times New Roman" w:cs="Times New Roman"/>
          <w:i/>
          <w:iCs/>
          <w:sz w:val="28"/>
          <w:szCs w:val="28"/>
          <w:lang w:val="pt-BR"/>
        </w:rPr>
        <w:t xml:space="preserve">Ủy ban nhân dân tỉnh </w:t>
      </w:r>
      <w:r>
        <w:rPr>
          <w:rFonts w:ascii="Times New Roman" w:hAnsi="Times New Roman" w:cs="Times New Roman"/>
          <w:i/>
          <w:sz w:val="28"/>
          <w:szCs w:val="28"/>
          <w:lang w:val="pt-BR"/>
        </w:rPr>
        <w:t xml:space="preserve">ban hành Quyết định </w:t>
      </w:r>
      <w:r>
        <w:rPr>
          <w:rFonts w:ascii="Times New Roman" w:hAnsi="Times New Roman" w:cs="Times New Roman"/>
          <w:i/>
          <w:spacing w:val="-4"/>
          <w:sz w:val="28"/>
          <w:szCs w:val="28"/>
          <w:lang w:val="pt-BR"/>
        </w:rPr>
        <w:t>quy định về danh mục tài sản công cho thuê, tiêu chí, mức hỗ trợ, hình thức hỗ trợ, trình tự, thủ tục cho thuê nhà, đất là tài sản công theo quy định tại Điều 8 Nghị quyết số 198/2025/QH15 ngày 17 tháng 5 năm 2025 của Quốc hội trên địa bàn tỉnh Quảng Ninh</w:t>
      </w:r>
      <w:r>
        <w:rPr>
          <w:rFonts w:ascii="Times New Roman" w:hAnsi="Times New Roman" w:cs="Times New Roman"/>
          <w:bCs/>
          <w:i/>
          <w:sz w:val="28"/>
          <w:szCs w:val="28"/>
          <w:lang w:val="pt-BR"/>
        </w:rPr>
        <w:t>.</w:t>
      </w:r>
    </w:p>
    <w:p>
      <w:pPr>
        <w:spacing w:after="120" w:line="245" w:lineRule="auto"/>
        <w:ind w:right="3" w:firstLine="720"/>
        <w:jc w:val="both"/>
        <w:rPr>
          <w:rFonts w:ascii="Times New Roman" w:hAnsi="Times New Roman" w:cs="Times New Roman"/>
          <w:b/>
          <w:sz w:val="28"/>
          <w:szCs w:val="28"/>
          <w:lang w:val="nl-NL"/>
        </w:rPr>
      </w:pPr>
      <w:r>
        <w:rPr>
          <w:rFonts w:ascii="Times New Roman" w:hAnsi="Times New Roman" w:cs="Times New Roman"/>
          <w:b/>
          <w:sz w:val="28"/>
          <w:szCs w:val="28"/>
          <w:lang w:val="pt-BR"/>
        </w:rPr>
        <w:t>Điều 1.</w:t>
      </w:r>
      <w:r>
        <w:rPr>
          <w:rFonts w:ascii="Times New Roman" w:hAnsi="Times New Roman" w:cs="Times New Roman"/>
          <w:sz w:val="28"/>
          <w:szCs w:val="28"/>
          <w:lang w:val="pt-BR"/>
        </w:rPr>
        <w:t xml:space="preserve"> </w:t>
      </w:r>
      <w:r>
        <w:rPr>
          <w:rFonts w:ascii="Times New Roman" w:hAnsi="Times New Roman" w:cs="Times New Roman"/>
          <w:b/>
          <w:sz w:val="28"/>
          <w:szCs w:val="28"/>
          <w:lang w:val="nl-NL"/>
        </w:rPr>
        <w:t>Phạm vi điều chỉnh</w:t>
      </w:r>
    </w:p>
    <w:p>
      <w:pPr>
        <w:spacing w:after="120" w:line="245" w:lineRule="auto"/>
        <w:ind w:right="3" w:firstLine="720"/>
        <w:jc w:val="both"/>
        <w:rPr>
          <w:rFonts w:ascii="Times New Roman" w:hAnsi="Times New Roman" w:cs="Times New Roman"/>
          <w:sz w:val="28"/>
          <w:szCs w:val="28"/>
          <w:lang w:val="nl-NL"/>
        </w:rPr>
      </w:pPr>
      <w:r>
        <w:rPr>
          <w:rFonts w:ascii="Times New Roman" w:hAnsi="Times New Roman" w:cs="Times New Roman"/>
          <w:sz w:val="28"/>
          <w:szCs w:val="28"/>
          <w:shd w:val="clear" w:color="auto" w:fill="FFFFFF"/>
          <w:lang w:val="nl-NL"/>
        </w:rPr>
        <w:t xml:space="preserve">Quyết định này quy định về danh mục tài sản công cho thuê, tiêu chí, mức hỗ trợ, hình thức hỗ trợ, trình tự, thủ tục cho thuê nhà, đất là tài sản công theo </w:t>
      </w:r>
      <w:r>
        <w:rPr>
          <w:rFonts w:ascii="Times New Roman" w:hAnsi="Times New Roman" w:cs="Times New Roman"/>
          <w:sz w:val="28"/>
          <w:szCs w:val="28"/>
          <w:shd w:val="clear" w:color="auto" w:fill="FFFFFF"/>
          <w:lang w:val="nl-NL"/>
        </w:rPr>
        <w:lastRenderedPageBreak/>
        <w:t>quy định tại Điều 8 Nghị quyết số 198/2025/QH15 ngày 17 tháng 5 năm 2025 của Quốc hội trên địa bàn tỉnh Quảng Ninh</w:t>
      </w:r>
      <w:r>
        <w:rPr>
          <w:rFonts w:ascii="Times New Roman" w:hAnsi="Times New Roman" w:cs="Times New Roman"/>
          <w:spacing w:val="-4"/>
          <w:sz w:val="28"/>
          <w:szCs w:val="28"/>
          <w:lang w:val="nl-NL"/>
        </w:rPr>
        <w:t>.</w:t>
      </w:r>
    </w:p>
    <w:p>
      <w:pPr>
        <w:tabs>
          <w:tab w:val="right" w:leader="dot" w:pos="8640"/>
        </w:tabs>
        <w:spacing w:after="120" w:line="245" w:lineRule="auto"/>
        <w:ind w:firstLine="720"/>
        <w:jc w:val="both"/>
        <w:rPr>
          <w:rFonts w:ascii="Times New Roman" w:hAnsi="Times New Roman" w:cs="Times New Roman"/>
          <w:sz w:val="28"/>
          <w:szCs w:val="28"/>
          <w:lang w:val="nl-NL"/>
        </w:rPr>
      </w:pPr>
      <w:r>
        <w:rPr>
          <w:rFonts w:ascii="Times New Roman" w:hAnsi="Times New Roman" w:cs="Times New Roman"/>
          <w:b/>
          <w:sz w:val="28"/>
          <w:szCs w:val="28"/>
          <w:lang w:val="nl-NL"/>
        </w:rPr>
        <w:t>Điều 2. Đối tượng áp dụng</w:t>
      </w:r>
    </w:p>
    <w:p>
      <w:pPr>
        <w:tabs>
          <w:tab w:val="right" w:leader="dot" w:pos="8640"/>
        </w:tabs>
        <w:spacing w:after="120" w:line="245" w:lineRule="auto"/>
        <w:ind w:firstLine="720"/>
        <w:jc w:val="both"/>
        <w:rPr>
          <w:rFonts w:ascii="Times New Roman" w:hAnsi="Times New Roman" w:cs="Times New Roman"/>
          <w:sz w:val="28"/>
          <w:szCs w:val="28"/>
          <w:lang w:val="nl-NL"/>
        </w:rPr>
      </w:pPr>
      <w:r>
        <w:rPr>
          <w:rFonts w:ascii="Times New Roman" w:hAnsi="Times New Roman" w:cs="Times New Roman"/>
          <w:sz w:val="28"/>
          <w:szCs w:val="28"/>
          <w:lang w:val="nl-NL"/>
        </w:rPr>
        <w:t xml:space="preserve">1. Các đối tượng được hỗ trợ thuê nhà, đất là tài sản công theo quy định tại khoản 2 </w:t>
      </w:r>
      <w:r>
        <w:rPr>
          <w:rFonts w:ascii="Times New Roman" w:hAnsi="Times New Roman" w:cs="Times New Roman"/>
          <w:sz w:val="28"/>
          <w:szCs w:val="28"/>
          <w:shd w:val="clear" w:color="auto" w:fill="FFFFFF"/>
          <w:lang w:val="nl-NL"/>
        </w:rPr>
        <w:t>Điều 6 Nghị định số 20/2026/NĐ-CP ngày 15 tháng 01 năm 2026 của Chính phủ,</w:t>
      </w:r>
      <w:r>
        <w:rPr>
          <w:rFonts w:ascii="Times New Roman" w:hAnsi="Times New Roman" w:cs="Times New Roman"/>
          <w:sz w:val="28"/>
          <w:szCs w:val="28"/>
          <w:lang w:val="nl-NL"/>
        </w:rPr>
        <w:t xml:space="preserve"> bao gồm:</w:t>
      </w:r>
    </w:p>
    <w:p>
      <w:pPr>
        <w:shd w:val="clear" w:color="auto" w:fill="FFFFFF"/>
        <w:spacing w:after="120" w:line="245" w:lineRule="auto"/>
        <w:ind w:firstLine="720"/>
        <w:jc w:val="both"/>
        <w:rPr>
          <w:rFonts w:ascii="Times New Roman" w:hAnsi="Times New Roman" w:cs="Times New Roman"/>
          <w:sz w:val="28"/>
          <w:szCs w:val="28"/>
          <w:lang w:val="nl-NL"/>
        </w:rPr>
      </w:pPr>
      <w:r>
        <w:rPr>
          <w:rFonts w:ascii="Times New Roman" w:hAnsi="Times New Roman" w:cs="Times New Roman"/>
          <w:sz w:val="28"/>
          <w:szCs w:val="28"/>
          <w:lang w:val="nl-NL"/>
        </w:rPr>
        <w:t>a) Doanh nghiệp đổi mới sáng tạo được xác định theo quy định tại khoản 2 Điều 6 Nghị định số 20/2026/NĐ-CP ngày 15 tháng 01 năm 2026 của Chính phủ, bao gồm doanh nghiệp khởi nghiệp sáng tạo được công nhận theo quy định của Luật Khoa học, công nghệ và đổi mới sáng tạo, Mục 2 Chương III Nghị định số 268/2025/NĐ-CP ngày 14 tháng 10 năm 2025 của Chính phủ.</w:t>
      </w:r>
    </w:p>
    <w:p>
      <w:pPr>
        <w:shd w:val="clear" w:color="auto" w:fill="FFFFFF"/>
        <w:spacing w:after="120" w:line="245" w:lineRule="auto"/>
        <w:ind w:firstLine="720"/>
        <w:jc w:val="both"/>
        <w:rPr>
          <w:rFonts w:ascii="Times New Roman" w:hAnsi="Times New Roman" w:cs="Times New Roman"/>
          <w:sz w:val="28"/>
          <w:szCs w:val="28"/>
          <w:lang w:val="nl-NL"/>
        </w:rPr>
      </w:pPr>
      <w:r>
        <w:rPr>
          <w:rFonts w:ascii="Times New Roman" w:hAnsi="Times New Roman" w:cs="Times New Roman"/>
          <w:sz w:val="28"/>
          <w:szCs w:val="28"/>
          <w:lang w:val="nl-NL"/>
        </w:rPr>
        <w:t>b) Doanh nghiệp công nghiệp hỗ trợ được xác định theo quy định tại khoản 1 Điều 3 Nghị định số 20/2026/NĐ-CP ngày 15 tháng 01 năm 2026 của Chính phủ, bao gồm doanh nghiệp hoạt động trong các ngành công nghiệp sản xuất, gia công nguyên liệu, phụ liệu, vật liệu, linh kiện và phụ tùng để cung cấp cho sản xuất sản phẩm hoàn chỉnh.</w:t>
      </w:r>
    </w:p>
    <w:p>
      <w:pPr>
        <w:shd w:val="clear" w:color="auto" w:fill="FFFFFF"/>
        <w:spacing w:after="120" w:line="245" w:lineRule="auto"/>
        <w:ind w:firstLine="720"/>
        <w:jc w:val="both"/>
        <w:rPr>
          <w:rFonts w:ascii="Times New Roman" w:hAnsi="Times New Roman" w:cs="Times New Roman"/>
          <w:sz w:val="28"/>
          <w:szCs w:val="28"/>
          <w:lang w:val="nl-NL"/>
        </w:rPr>
      </w:pPr>
      <w:r>
        <w:rPr>
          <w:rFonts w:ascii="Times New Roman" w:hAnsi="Times New Roman" w:cs="Times New Roman"/>
          <w:sz w:val="28"/>
          <w:szCs w:val="28"/>
          <w:lang w:val="nl-NL"/>
        </w:rPr>
        <w:t>c) Doanh nghiệp nhỏ và vừa được xác định theo quy định tại khoản 1 Điều 4 Luật hỗ trợ doanh nghiệp nhỏ và vừa, bao gồm doanh nghiệp siêu nhỏ, doanh nghiệp nhỏ và doanh nghiệp vừa, có số lao động tham gia bảo hiểm xã hội bình quân năm không quá 200 người và đáp ứng một trong hai tiêu chí sau đây:</w:t>
      </w:r>
    </w:p>
    <w:p>
      <w:pPr>
        <w:shd w:val="clear" w:color="auto" w:fill="FFFFFF"/>
        <w:spacing w:after="120" w:line="245" w:lineRule="auto"/>
        <w:ind w:firstLine="720"/>
        <w:jc w:val="both"/>
        <w:rPr>
          <w:rFonts w:ascii="Times New Roman" w:hAnsi="Times New Roman" w:cs="Times New Roman"/>
          <w:sz w:val="28"/>
          <w:szCs w:val="28"/>
          <w:lang w:val="nl-NL"/>
        </w:rPr>
      </w:pPr>
      <w:r>
        <w:rPr>
          <w:rFonts w:ascii="Times New Roman" w:hAnsi="Times New Roman" w:cs="Times New Roman"/>
          <w:sz w:val="28"/>
          <w:szCs w:val="28"/>
          <w:lang w:val="nl-NL"/>
        </w:rPr>
        <w:t>Tổng nguồn vốn không quá 100 tỷ đồng;</w:t>
      </w:r>
    </w:p>
    <w:p>
      <w:pPr>
        <w:shd w:val="clear" w:color="auto" w:fill="FFFFFF"/>
        <w:spacing w:after="120" w:line="245" w:lineRule="auto"/>
        <w:ind w:firstLine="720"/>
        <w:jc w:val="both"/>
        <w:rPr>
          <w:rFonts w:ascii="Times New Roman" w:hAnsi="Times New Roman" w:cs="Times New Roman"/>
          <w:sz w:val="28"/>
          <w:szCs w:val="28"/>
          <w:lang w:val="nl-NL"/>
        </w:rPr>
      </w:pPr>
      <w:r>
        <w:rPr>
          <w:rFonts w:ascii="Times New Roman" w:hAnsi="Times New Roman" w:cs="Times New Roman"/>
          <w:sz w:val="28"/>
          <w:szCs w:val="28"/>
          <w:lang w:val="nl-NL"/>
        </w:rPr>
        <w:t>Tổng doanh thu của năm trước liền kề không quá 300 tỷ đồng.</w:t>
      </w:r>
    </w:p>
    <w:p>
      <w:pPr>
        <w:shd w:val="clear" w:color="auto" w:fill="FFFFFF"/>
        <w:spacing w:after="120" w:line="245" w:lineRule="auto"/>
        <w:ind w:firstLine="720"/>
        <w:jc w:val="both"/>
        <w:rPr>
          <w:rFonts w:ascii="Times New Roman" w:hAnsi="Times New Roman" w:cs="Times New Roman"/>
          <w:sz w:val="28"/>
          <w:szCs w:val="28"/>
          <w:lang w:val="nl-NL"/>
        </w:rPr>
      </w:pPr>
      <w:r>
        <w:rPr>
          <w:rFonts w:ascii="Times New Roman" w:hAnsi="Times New Roman" w:cs="Times New Roman"/>
          <w:sz w:val="28"/>
          <w:szCs w:val="28"/>
          <w:lang w:val="nl-NL"/>
        </w:rPr>
        <w:t>2. Tổ chức có chức năng quản lý, kinh doanh nhà địa phương được giao nhiệm vụ quản lý, khai thác nhà, đất theo quy định tại khoản 3 Điều 2 Nghị định số 108/2024/NĐ-CP ngày 23 tháng 8 năm 2024 của Chính phủ (được sửa đổi, bổ sung tại điểm b khoản 16 Điều 1 Nghị định số 286/2025/NĐ-CP ngày 03 tháng 11 năm 2025 của Chính phủ).</w:t>
      </w:r>
    </w:p>
    <w:p>
      <w:pPr>
        <w:spacing w:after="120" w:line="245" w:lineRule="auto"/>
        <w:ind w:firstLine="720"/>
        <w:jc w:val="both"/>
        <w:rPr>
          <w:rFonts w:ascii="Times New Roman" w:hAnsi="Times New Roman" w:cs="Times New Roman"/>
          <w:sz w:val="28"/>
          <w:szCs w:val="28"/>
          <w:lang w:val="nl-NL"/>
        </w:rPr>
      </w:pPr>
      <w:r>
        <w:rPr>
          <w:rFonts w:ascii="Times New Roman" w:hAnsi="Times New Roman" w:cs="Times New Roman"/>
          <w:sz w:val="28"/>
          <w:szCs w:val="28"/>
          <w:lang w:val="nl-NL"/>
        </w:rPr>
        <w:t>3. Các cơ quan, tổ chức, đơn vị, doanh nghiệp và cá nhân khác có liên quan đến việc quản lý, sử dụng và khai thác nhà, đất quy định tại khoản 1 Điều 1 Nghị định số 108/2024/NĐ-CP ngày 23 tháng 8 năm 2024 của Chính phủ.</w:t>
      </w:r>
    </w:p>
    <w:p>
      <w:pPr>
        <w:spacing w:after="120" w:line="245" w:lineRule="auto"/>
        <w:ind w:firstLine="720"/>
        <w:jc w:val="both"/>
        <w:rPr>
          <w:rFonts w:ascii="Times New Roman" w:hAnsi="Times New Roman" w:cs="Times New Roman"/>
          <w:b/>
          <w:sz w:val="28"/>
          <w:szCs w:val="28"/>
          <w:lang w:val="nl-NL"/>
        </w:rPr>
      </w:pPr>
      <w:r>
        <w:rPr>
          <w:rFonts w:ascii="Times New Roman" w:hAnsi="Times New Roman" w:cs="Times New Roman"/>
          <w:b/>
          <w:sz w:val="28"/>
          <w:szCs w:val="28"/>
          <w:lang w:val="nl-NL"/>
        </w:rPr>
        <w:t>Điều 3. Danh mục tài sản công cho thuê</w:t>
      </w:r>
    </w:p>
    <w:p>
      <w:pPr>
        <w:spacing w:after="120" w:line="245" w:lineRule="auto"/>
        <w:ind w:firstLine="720"/>
        <w:jc w:val="both"/>
        <w:rPr>
          <w:rFonts w:ascii="Times New Roman" w:hAnsi="Times New Roman" w:cs="Times New Roman"/>
          <w:sz w:val="28"/>
          <w:szCs w:val="28"/>
          <w:lang w:val="nl-NL"/>
        </w:rPr>
      </w:pPr>
      <w:r>
        <w:rPr>
          <w:rFonts w:ascii="Times New Roman" w:hAnsi="Times New Roman" w:cs="Times New Roman"/>
          <w:sz w:val="28"/>
          <w:szCs w:val="28"/>
          <w:lang w:val="nl-NL"/>
        </w:rPr>
        <w:t>Danh mục nhà, đất là tài sản công cho thuê là nhà, đất không sử dụng vào mục đích để ở giao cho tổ chức có chức năng quản lý, kinh doanh nhà địa phương để cho thuê theo quy định tại khoản 1 Điều 1 Nghị định số 108/2024/NĐ-CP ngày 23 tháng 8 năm 2024 của Chính phủ.</w:t>
      </w:r>
    </w:p>
    <w:p>
      <w:pPr>
        <w:spacing w:after="120" w:line="245" w:lineRule="auto"/>
        <w:ind w:firstLine="720"/>
        <w:jc w:val="both"/>
        <w:rPr>
          <w:rFonts w:ascii="Times New Roman" w:hAnsi="Times New Roman" w:cs="Times New Roman"/>
          <w:b/>
          <w:sz w:val="28"/>
          <w:szCs w:val="28"/>
          <w:lang w:val="nl-NL"/>
        </w:rPr>
      </w:pPr>
      <w:r>
        <w:rPr>
          <w:rFonts w:ascii="Times New Roman" w:hAnsi="Times New Roman" w:cs="Times New Roman"/>
          <w:b/>
          <w:sz w:val="28"/>
          <w:szCs w:val="28"/>
          <w:lang w:val="nl-NL"/>
        </w:rPr>
        <w:t>Điều 4. Tiêu chí</w:t>
      </w:r>
    </w:p>
    <w:p>
      <w:pPr>
        <w:spacing w:after="120" w:line="245" w:lineRule="auto"/>
        <w:ind w:firstLine="720"/>
        <w:jc w:val="both"/>
        <w:rPr>
          <w:rFonts w:ascii="Times New Roman" w:hAnsi="Times New Roman" w:cs="Times New Roman"/>
          <w:sz w:val="28"/>
          <w:szCs w:val="28"/>
          <w:lang w:val="nl-NL"/>
        </w:rPr>
      </w:pPr>
      <w:r>
        <w:rPr>
          <w:rFonts w:ascii="Times New Roman" w:hAnsi="Times New Roman" w:cs="Times New Roman"/>
          <w:sz w:val="28"/>
          <w:szCs w:val="28"/>
          <w:lang w:val="nl-NL"/>
        </w:rPr>
        <w:t xml:space="preserve">1. Các doanh nghiệp thuộc đối tượng quy định tại khoản 1 Điều 2 Quyết định này tại thời điểm nộp hồ sơ đăng ký thuê nhà, đất là tài sản công, doanh </w:t>
      </w:r>
      <w:r>
        <w:rPr>
          <w:rFonts w:ascii="Times New Roman" w:hAnsi="Times New Roman" w:cs="Times New Roman"/>
          <w:sz w:val="28"/>
          <w:szCs w:val="28"/>
          <w:lang w:val="nl-NL"/>
        </w:rPr>
        <w:lastRenderedPageBreak/>
        <w:t>nghiệp không nợ ngân sách nhà nước thì được hỗ trợ theo quy định tại Quyết định này.</w:t>
      </w:r>
    </w:p>
    <w:p>
      <w:pPr>
        <w:spacing w:after="120" w:line="245" w:lineRule="auto"/>
        <w:ind w:firstLine="720"/>
        <w:jc w:val="both"/>
        <w:rPr>
          <w:rFonts w:ascii="Times New Roman" w:hAnsi="Times New Roman" w:cs="Times New Roman"/>
          <w:sz w:val="28"/>
          <w:szCs w:val="28"/>
          <w:lang w:val="nl-NL"/>
        </w:rPr>
      </w:pPr>
      <w:r>
        <w:rPr>
          <w:rFonts w:ascii="Times New Roman" w:hAnsi="Times New Roman" w:cs="Times New Roman"/>
          <w:sz w:val="28"/>
          <w:szCs w:val="28"/>
          <w:lang w:val="nl-NL"/>
        </w:rPr>
        <w:t>2. Đối với doanh nghiệp công nghiệp hỗ trợ, doanh nghiệp nhỏ và vừa: Việc thuê nhà, đất là tài sản công không sử dụng làm cơ sở sản xuất đối với các ngành, nghề được khuyến khích đầu tư, di dời vào cụm công nghiệp theo quy định tại khoản 1 Điều 1 Nghị định số 32/2024/NĐ-CP ngày 15 tháng 3 năm 2024 của Chính phủ.</w:t>
      </w:r>
    </w:p>
    <w:p>
      <w:pPr>
        <w:spacing w:after="120" w:line="245" w:lineRule="auto"/>
        <w:ind w:firstLine="720"/>
        <w:jc w:val="both"/>
        <w:rPr>
          <w:rFonts w:ascii="Times New Roman" w:hAnsi="Times New Roman" w:cs="Times New Roman"/>
          <w:b/>
          <w:sz w:val="28"/>
          <w:szCs w:val="28"/>
          <w:lang w:val="nl-NL"/>
        </w:rPr>
      </w:pPr>
      <w:r>
        <w:rPr>
          <w:rFonts w:ascii="Times New Roman" w:hAnsi="Times New Roman" w:cs="Times New Roman"/>
          <w:b/>
          <w:sz w:val="28"/>
          <w:szCs w:val="28"/>
          <w:lang w:val="nl-NL"/>
        </w:rPr>
        <w:t>Điều 5. Hình thức hỗ trợ, mức hỗ trợ</w:t>
      </w:r>
    </w:p>
    <w:p>
      <w:pPr>
        <w:spacing w:after="120" w:line="245" w:lineRule="auto"/>
        <w:ind w:firstLine="720"/>
        <w:jc w:val="both"/>
        <w:rPr>
          <w:rFonts w:ascii="Times New Roman" w:hAnsi="Times New Roman" w:cs="Times New Roman"/>
          <w:sz w:val="28"/>
          <w:szCs w:val="28"/>
          <w:shd w:val="clear" w:color="auto" w:fill="FFFFFF"/>
          <w:lang w:val="nl-NL"/>
        </w:rPr>
      </w:pPr>
      <w:r>
        <w:rPr>
          <w:rFonts w:ascii="Times New Roman" w:hAnsi="Times New Roman" w:cs="Times New Roman"/>
          <w:sz w:val="28"/>
          <w:szCs w:val="28"/>
          <w:lang w:val="nl-NL"/>
        </w:rPr>
        <w:t>Các đối tượng được hỗ trợ thuê nhà, đất là tài sản công theo quy định tại khoản 1 Điều 2 Quyết định này</w:t>
      </w:r>
      <w:r>
        <w:rPr>
          <w:rFonts w:ascii="Times New Roman" w:hAnsi="Times New Roman" w:cs="Times New Roman"/>
          <w:sz w:val="28"/>
          <w:szCs w:val="28"/>
          <w:shd w:val="clear" w:color="auto" w:fill="FFFFFF"/>
          <w:lang w:val="nl-NL"/>
        </w:rPr>
        <w:t xml:space="preserve"> được hỗ trợ như sau:</w:t>
      </w:r>
    </w:p>
    <w:p>
      <w:pPr>
        <w:spacing w:after="120" w:line="245" w:lineRule="auto"/>
        <w:ind w:firstLine="720"/>
        <w:jc w:val="both"/>
        <w:rPr>
          <w:rFonts w:ascii="Times New Roman" w:hAnsi="Times New Roman" w:cs="Times New Roman"/>
          <w:sz w:val="28"/>
          <w:szCs w:val="28"/>
          <w:lang w:val="nl-NL"/>
        </w:rPr>
      </w:pPr>
      <w:r>
        <w:rPr>
          <w:rFonts w:ascii="Times New Roman" w:hAnsi="Times New Roman" w:cs="Times New Roman"/>
          <w:sz w:val="28"/>
          <w:szCs w:val="28"/>
          <w:lang w:val="nl-NL"/>
        </w:rPr>
        <w:t>1. Được cho thuê nhà theo phương thức niêm yết giá theo quy định tại Điều 14 Nghị định số 108/2024/NĐ-CP ngày 23 tháng 8 năm 2024 của Chính phủ (được sửa đổi, bổ sung bởi Nghị định số 286/2025/NĐ-CP ngày 03 tháng 11 năm 2025 của Chính phủ).</w:t>
      </w:r>
    </w:p>
    <w:p>
      <w:pPr>
        <w:spacing w:after="120" w:line="245" w:lineRule="auto"/>
        <w:ind w:firstLine="720"/>
        <w:jc w:val="both"/>
        <w:rPr>
          <w:rFonts w:ascii="Times New Roman" w:hAnsi="Times New Roman" w:cs="Times New Roman"/>
          <w:sz w:val="28"/>
          <w:szCs w:val="28"/>
          <w:lang w:val="nl-NL"/>
        </w:rPr>
      </w:pPr>
      <w:r>
        <w:rPr>
          <w:rFonts w:ascii="Times New Roman" w:hAnsi="Times New Roman" w:cs="Times New Roman"/>
          <w:sz w:val="28"/>
          <w:szCs w:val="28"/>
          <w:lang w:val="nl-NL"/>
        </w:rPr>
        <w:t>2. Giảm tiền thuê nhà với số tiền được giảm bằng 100% số tiền thuê đất (trong cơ cấu tiền thuê nhà).</w:t>
      </w:r>
    </w:p>
    <w:p>
      <w:pPr>
        <w:spacing w:after="120" w:line="245" w:lineRule="auto"/>
        <w:ind w:firstLine="720"/>
        <w:jc w:val="both"/>
        <w:rPr>
          <w:rFonts w:ascii="Times New Roman" w:hAnsi="Times New Roman" w:cs="Times New Roman"/>
          <w:b/>
          <w:sz w:val="28"/>
          <w:szCs w:val="28"/>
          <w:lang w:val="nl-NL"/>
        </w:rPr>
      </w:pPr>
      <w:r>
        <w:rPr>
          <w:rFonts w:ascii="Times New Roman" w:hAnsi="Times New Roman" w:cs="Times New Roman"/>
          <w:b/>
          <w:sz w:val="28"/>
          <w:szCs w:val="28"/>
          <w:lang w:val="nl-NL"/>
        </w:rPr>
        <w:t xml:space="preserve">Điều 6. Trình tự, thủ tục </w:t>
      </w:r>
    </w:p>
    <w:p>
      <w:pPr>
        <w:spacing w:after="120" w:line="245" w:lineRule="auto"/>
        <w:ind w:firstLine="720"/>
        <w:jc w:val="both"/>
        <w:rPr>
          <w:rFonts w:ascii="Times New Roman" w:hAnsi="Times New Roman" w:cs="Times New Roman"/>
          <w:spacing w:val="-4"/>
          <w:sz w:val="28"/>
          <w:szCs w:val="28"/>
          <w:lang w:val="nl-NL"/>
        </w:rPr>
      </w:pPr>
      <w:r>
        <w:rPr>
          <w:rFonts w:ascii="Times New Roman" w:hAnsi="Times New Roman" w:cs="Times New Roman"/>
          <w:spacing w:val="-4"/>
          <w:sz w:val="28"/>
          <w:szCs w:val="28"/>
          <w:lang w:val="nl-NL"/>
        </w:rPr>
        <w:t>1. Trình tự, thủ tục cho thuê thực hiện theo quy định tại Điều 14 Nghị định số 108/2024/NĐ-CP ngày 23 tháng 8 năm 2024 của Chính phủ (được sửa đổi, bổ sung bởi Nghị định số 286/2025/NĐ-CP ngày 03 tháng 11 năm 2025 của Chính phủ).</w:t>
      </w:r>
    </w:p>
    <w:p>
      <w:pPr>
        <w:spacing w:after="120" w:line="245" w:lineRule="auto"/>
        <w:ind w:firstLine="720"/>
        <w:jc w:val="both"/>
        <w:rPr>
          <w:rFonts w:ascii="Times New Roman" w:hAnsi="Times New Roman" w:cs="Times New Roman"/>
          <w:sz w:val="28"/>
          <w:szCs w:val="28"/>
          <w:lang w:val="nl-NL"/>
        </w:rPr>
      </w:pPr>
      <w:r>
        <w:rPr>
          <w:rFonts w:ascii="Times New Roman" w:hAnsi="Times New Roman" w:cs="Times New Roman"/>
          <w:sz w:val="28"/>
          <w:szCs w:val="28"/>
          <w:lang w:val="nl-NL"/>
        </w:rPr>
        <w:t>2. Trình tự, thủ tục miễn, giảm tiền thuê nhà thực hiện theo quy định tại khoản 2 Điều 16 Nghị định số 108/2024/NĐ-CP ngày 23 tháng 8 năm 2024 của Chính phủ (được sửa đổi, bổ sung tại điểm a khoản 8 Điều 1 Nghị định số 286/2025/NĐ-CP ngày 03 tháng 11 năm 2025 của Chính phủ).</w:t>
      </w:r>
    </w:p>
    <w:p>
      <w:pPr>
        <w:spacing w:after="120" w:line="245" w:lineRule="auto"/>
        <w:ind w:right="3" w:firstLine="720"/>
        <w:jc w:val="both"/>
        <w:rPr>
          <w:rFonts w:ascii="Times New Roman" w:hAnsi="Times New Roman" w:cs="Times New Roman"/>
          <w:b/>
          <w:sz w:val="28"/>
          <w:szCs w:val="28"/>
          <w:lang w:val="nl-NL"/>
        </w:rPr>
      </w:pPr>
      <w:r>
        <w:rPr>
          <w:rFonts w:ascii="Times New Roman" w:hAnsi="Times New Roman" w:cs="Times New Roman"/>
          <w:b/>
          <w:sz w:val="28"/>
          <w:szCs w:val="28"/>
          <w:lang w:val="nl-NL"/>
        </w:rPr>
        <w:t>Điều 7. Hiệu lực thi hành</w:t>
      </w:r>
    </w:p>
    <w:p>
      <w:pPr>
        <w:spacing w:after="120" w:line="245" w:lineRule="auto"/>
        <w:ind w:right="3" w:firstLine="720"/>
        <w:jc w:val="both"/>
        <w:rPr>
          <w:rFonts w:ascii="Times New Roman" w:hAnsi="Times New Roman" w:cs="Times New Roman"/>
          <w:sz w:val="28"/>
          <w:szCs w:val="28"/>
          <w:lang w:val="nl-NL"/>
        </w:rPr>
      </w:pPr>
      <w:r>
        <w:rPr>
          <w:rFonts w:ascii="Times New Roman" w:hAnsi="Times New Roman" w:cs="Times New Roman"/>
          <w:sz w:val="28"/>
          <w:szCs w:val="28"/>
          <w:lang w:val="nl-NL"/>
        </w:rPr>
        <w:t>1. Quyết định này có hiệu lực thi hành kể từ ngày 10 tháng 7 năm 2026 đến hết ngày 09 tháng 7 năm 2031.</w:t>
      </w:r>
    </w:p>
    <w:p>
      <w:pPr>
        <w:spacing w:before="120" w:after="120" w:line="254" w:lineRule="auto"/>
        <w:ind w:right="3" w:firstLine="709"/>
        <w:jc w:val="both"/>
        <w:rPr>
          <w:rFonts w:ascii="Times New Roman" w:hAnsi="Times New Roman" w:cs="Times New Roman"/>
          <w:sz w:val="28"/>
          <w:szCs w:val="28"/>
          <w:lang w:val="nl-NL"/>
        </w:rPr>
      </w:pPr>
      <w:r>
        <w:rPr>
          <w:rFonts w:ascii="Times New Roman" w:hAnsi="Times New Roman" w:cs="Times New Roman"/>
          <w:sz w:val="28"/>
          <w:szCs w:val="28"/>
          <w:lang w:val="nl-NL"/>
        </w:rPr>
        <w:t>2. Trường hợp các văn bản quy phạm pháp luật dẫn chiếu tại Quyết định này được sửa đổi, bổ sung hoặc thay thế bằng văn bản quy phạm pháp luật khác thì thực hiện theo quy định tại văn bản được sửa đổi, bổ sung hoặc thay thế đó.</w:t>
      </w:r>
    </w:p>
    <w:p>
      <w:pPr>
        <w:spacing w:after="120" w:line="245" w:lineRule="auto"/>
        <w:ind w:firstLine="720"/>
        <w:jc w:val="both"/>
        <w:rPr>
          <w:rStyle w:val="fontstyle01"/>
          <w:b/>
        </w:rPr>
      </w:pPr>
      <w:r>
        <w:rPr>
          <w:rStyle w:val="fontstyle01"/>
          <w:b/>
        </w:rPr>
        <w:t>Điều 8. Tổ chức thực hiện</w:t>
      </w:r>
    </w:p>
    <w:p>
      <w:pPr>
        <w:shd w:val="clear" w:color="auto" w:fill="FFFFFF"/>
        <w:spacing w:after="120" w:line="245" w:lineRule="auto"/>
        <w:ind w:firstLine="720"/>
        <w:jc w:val="both"/>
        <w:rPr>
          <w:rFonts w:ascii="Times New Roman" w:hAnsi="Times New Roman" w:cs="Times New Roman"/>
          <w:sz w:val="28"/>
          <w:szCs w:val="28"/>
          <w:lang w:val="nl-NL"/>
        </w:rPr>
      </w:pPr>
      <w:r>
        <w:rPr>
          <w:rFonts w:ascii="Times New Roman" w:hAnsi="Times New Roman" w:cs="Times New Roman"/>
          <w:sz w:val="28"/>
          <w:szCs w:val="28"/>
          <w:lang w:val="nl-NL"/>
        </w:rPr>
        <w:t>1. Tổ chức có chức năng quản lý, kinh doanh nhà địa phương được giao nhiệm vụ quản lý, khai thác nhà, đất theo quy định tại khoản 3 Điều 2 Nghị định số 108/2024/NĐ-CP ngày 23 tháng 8 năm 2024 của Chính phủ tổ chức thực hiện miễn, giảm tiền thuê nhà cho các đối tượng được thuê nhà theo đúng nguyên tắc quy định tại khoản 4 Nghị định số 20/2026/NĐ-CP ngày 15 tháng 01 năm 2026 của Chính phủ và các quy định pháp luật liên quan.</w:t>
      </w:r>
    </w:p>
    <w:p>
      <w:pPr>
        <w:shd w:val="clear" w:color="auto" w:fill="FFFFFF"/>
        <w:spacing w:after="120" w:line="245" w:lineRule="auto"/>
        <w:ind w:firstLine="720"/>
        <w:jc w:val="both"/>
        <w:rPr>
          <w:rStyle w:val="fontstyle01"/>
          <w:lang w:val="nl-NL"/>
        </w:rPr>
      </w:pPr>
      <w:r>
        <w:rPr>
          <w:rStyle w:val="fontstyle01"/>
          <w:lang w:val="nl-NL"/>
        </w:rPr>
        <w:t xml:space="preserve">2. Trong quá trình thực hiện Quyết định, nếu phát sinh khó khăn vướng mắc cần sửa đổi, bổ sung, thay thế, các cơ quan, tổ chức, đơn vị và Ủy ban nhân </w:t>
      </w:r>
      <w:r>
        <w:rPr>
          <w:rStyle w:val="fontstyle01"/>
          <w:lang w:val="nl-NL"/>
        </w:rPr>
        <w:lastRenderedPageBreak/>
        <w:t>dân cấp xã kịp thời tổng hợp, báo cáo Ủy ban nhân dân tỉnh để xem xét, giải quyết theo thẩm quyền.</w:t>
      </w:r>
    </w:p>
    <w:p>
      <w:pPr>
        <w:shd w:val="clear" w:color="auto" w:fill="FFFFFF"/>
        <w:spacing w:after="120" w:line="245" w:lineRule="auto"/>
        <w:ind w:firstLine="720"/>
        <w:jc w:val="both"/>
        <w:rPr>
          <w:rStyle w:val="fontstyle01"/>
          <w:lang w:val="nl-NL"/>
        </w:rPr>
      </w:pPr>
      <w:r>
        <w:rPr>
          <w:rStyle w:val="fontstyle01"/>
          <w:lang w:val="nl-NL"/>
        </w:rPr>
        <w:t>Trường hợp có sự thay đổi khác về chủ trương, định hướng đối với cơ chế, chính sách liên quan đến phạm vi điều chỉnh, đối tượng áp dụng tại Quyết định này, Sở Tài chính có trách nhiệm chủ trì, phối hợp với các cơ quan, đơn vị liên quan kịp thời báo cáo, tham mưu Ủy ban nhân dân tỉnh xem xét xử lý theo thẩm quyền bảo đảm đúng quy định.</w:t>
      </w:r>
    </w:p>
    <w:p>
      <w:pPr>
        <w:spacing w:after="120" w:line="245" w:lineRule="auto"/>
        <w:ind w:firstLine="720"/>
        <w:jc w:val="both"/>
        <w:rPr>
          <w:rStyle w:val="fontstyle01"/>
        </w:rPr>
      </w:pPr>
      <w:r>
        <w:rPr>
          <w:rStyle w:val="fontstyle01"/>
        </w:rPr>
        <w:t>3. Chánh Văn phòng Ủy ban nhân dân tỉnh; Thủ trưởng các sở, ban, ngành; Chủ tịch Ủy ban nhân dân các xã, phường, đặc khu và các</w:t>
      </w:r>
      <w:r>
        <w:t xml:space="preserve"> </w:t>
      </w:r>
      <w:r>
        <w:rPr>
          <w:rStyle w:val="fontstyle01"/>
        </w:rPr>
        <w:t>đơn vị, tổ chức, cá nhân khác có liên quan chịu trách nhiệm thi hành</w:t>
      </w:r>
      <w:r>
        <w:t xml:space="preserve"> </w:t>
      </w:r>
      <w:r>
        <w:rPr>
          <w:rStyle w:val="fontstyle01"/>
        </w:rPr>
        <w:t>Quyết định này./.</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5070"/>
        <w:gridCol w:w="4252"/>
      </w:tblGrid>
      <w:tr>
        <w:tc>
          <w:tcPr>
            <w:tcW w:w="5070" w:type="dxa"/>
            <w:tcBorders>
              <w:top w:val="nil"/>
              <w:left w:val="nil"/>
              <w:bottom w:val="nil"/>
              <w:right w:val="nil"/>
              <w:tl2br w:val="nil"/>
              <w:tr2bl w:val="nil"/>
            </w:tcBorders>
            <w:tcMar>
              <w:top w:w="0" w:type="dxa"/>
              <w:left w:w="108" w:type="dxa"/>
              <w:bottom w:w="0" w:type="dxa"/>
              <w:right w:w="108" w:type="dxa"/>
            </w:tcMar>
          </w:tcPr>
          <w:p>
            <w:pPr>
              <w:tabs>
                <w:tab w:val="center" w:pos="6480"/>
              </w:tabs>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mc:AlternateContent>
                <mc:Choice Requires="wps">
                  <w:drawing>
                    <wp:anchor distT="0" distB="0" distL="114300" distR="114300" simplePos="0" relativeHeight="251657216" behindDoc="0" locked="0" layoutInCell="1" allowOverlap="1">
                      <wp:simplePos x="0" y="0"/>
                      <wp:positionH relativeFrom="column">
                        <wp:posOffset>2215515</wp:posOffset>
                      </wp:positionH>
                      <wp:positionV relativeFrom="paragraph">
                        <wp:posOffset>198120</wp:posOffset>
                      </wp:positionV>
                      <wp:extent cx="495300" cy="619125"/>
                      <wp:effectExtent l="38100" t="0" r="57150" b="28575"/>
                      <wp:wrapNone/>
                      <wp:docPr id="6" name="Double Brac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00" cy="619125"/>
                              </a:xfrm>
                              <a:prstGeom prst="bracePair">
                                <a:avLst/>
                              </a:prstGeom>
                              <a:noFill/>
                              <a:ln w="6350" cap="flat" cmpd="sng" algn="ctr">
                                <a:solidFill>
                                  <a:srgbClr val="5B9BD5"/>
                                </a:solidFill>
                                <a:prstDash val="solid"/>
                                <a:miter lim="800000"/>
                              </a:ln>
                              <a:effectLst/>
                            </wps:spPr>
                            <wps:txbx>
                              <w:txbxContent>
                                <w:p>
                                  <w:pPr>
                                    <w:ind w:right="-57"/>
                                    <w:rPr>
                                      <w:rFonts w:ascii="Times New Roman" w:hAnsi="Times New Roman" w:cs="Times New Roman"/>
                                    </w:rPr>
                                  </w:pPr>
                                  <w:r>
                                    <w:rPr>
                                      <w:rFonts w:ascii="Times New Roman" w:hAnsi="Times New Roman" w:cs="Times New Roman"/>
                                    </w:rPr>
                                    <w:t>Báo cáo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86" coordsize="21600,21600" o:spt="186" adj="1800" path="m@9,nfqx@0@0l@0@7qy0@4@0@8l@0@6qy@9,21600em@10,nfqx@5@0l@5@7qy21600@4@5@8l@5@6qy@10,21600em@9,nsqx@0@0l@0@7qy0@4@0@8l@0@6qy@9,21600l@10,21600qx@5@6l@5@8qy21600@4@5@7l@5@0qy@10,xe" filled="f">
                      <v:formulas>
                        <v:f eqn="val #0"/>
                        <v:f eqn="val width"/>
                        <v:f eqn="val height"/>
                        <v:f eqn="prod width 1 2"/>
                        <v:f eqn="prod height 1 2"/>
                        <v:f eqn="sum width 0 #0"/>
                        <v:f eqn="sum height 0 #0"/>
                        <v:f eqn="sum @4 0 #0"/>
                        <v:f eqn="sum @4 #0 0"/>
                        <v:f eqn="prod #0 2 1"/>
                        <v:f eqn="sum width 0 @9"/>
                        <v:f eqn="prod #0 9598 32768"/>
                        <v:f eqn="sum height 0 @11"/>
                        <v:f eqn="sum @11 #0 0"/>
                        <v:f eqn="sum width 0 @13"/>
                      </v:formulas>
                      <v:path o:extrusionok="f" limo="10800,10800" o:connecttype="custom" o:connectlocs="@3,0;0,@4;@3,@2;@1,@4" textboxrect="@13,@11,@14,@12"/>
                      <v:handles>
                        <v:h position="topLeft,#0" switch="" yrange="0,5400"/>
                      </v:handles>
                    </v:shapetype>
                    <v:shape id="Double Brace 6" o:spid="_x0000_s1026" type="#_x0000_t186" style="position:absolute;margin-left:174.45pt;margin-top:15.6pt;width:39pt;height:48.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" strokecolor="#5b9bd5" strokeweight=".5pt">
                      <v:stroke joinstyle="miter"/>
                      <v:path arrowok="t"/>
                      <v:textbox>
                        <w:txbxContent>
                          <w:p>
                            <w:pPr>
                              <w:ind w:right="-57"/>
                              <w:rPr>
                                <w:rFonts w:ascii="Times New Roman" w:hAnsi="Times New Roman" w:cs="Times New Roman"/>
                              </w:rPr>
                            </w:pPr>
                            <w:r>
                              <w:rPr>
                                <w:rFonts w:ascii="Times New Roman" w:hAnsi="Times New Roman" w:cs="Times New Roman"/>
                              </w:rPr>
                              <w:t>Báo cáo</w:t>
                            </w:r>
                          </w:p>
                        </w:txbxContent>
                      </v:textbox>
                    </v:shape>
                  </w:pict>
                </mc:Fallback>
              </mc:AlternateContent>
            </w:r>
            <w:r>
              <w:rPr>
                <w:rFonts w:ascii="Times New Roman" w:eastAsia="Times New Roman" w:hAnsi="Times New Roman" w:cs="Times New Roman"/>
                <w:b/>
                <w:bCs/>
                <w:i/>
                <w:iCs/>
                <w:kern w:val="0"/>
                <w:sz w:val="24"/>
                <w:szCs w:val="24"/>
                <w:lang w:val="vi-VN"/>
                <w14:ligatures w14:val="none"/>
              </w:rPr>
              <w:t>Nơi nhận:</w:t>
            </w:r>
          </w:p>
          <w:p>
            <w:pPr>
              <w:tabs>
                <w:tab w:val="center" w:pos="6480"/>
              </w:tabs>
              <w:spacing w:after="0" w:line="240" w:lineRule="auto"/>
              <w:jc w:val="both"/>
              <w:rPr>
                <w:rFonts w:ascii="Times New Roman" w:eastAsia="Times New Roman" w:hAnsi="Times New Roman" w:cs="Times New Roman"/>
                <w:kern w:val="0"/>
                <w:lang w:val="vi-VN"/>
                <w14:ligatures w14:val="none"/>
              </w:rPr>
            </w:pPr>
            <w:r>
              <w:rPr>
                <w:rFonts w:ascii="Times New Roman" w:eastAsia="Times New Roman" w:hAnsi="Times New Roman" w:cs="Times New Roman"/>
                <w:kern w:val="0"/>
                <w:lang w:val="vi-VN"/>
                <w14:ligatures w14:val="none"/>
              </w:rPr>
              <w:t>- Bộ Tài chính;</w:t>
            </w:r>
          </w:p>
          <w:p>
            <w:pPr>
              <w:tabs>
                <w:tab w:val="center" w:pos="6480"/>
              </w:tabs>
              <w:spacing w:after="0" w:line="240" w:lineRule="auto"/>
              <w:jc w:val="both"/>
              <w:rPr>
                <w:rFonts w:ascii="Times New Roman" w:eastAsia="Times New Roman" w:hAnsi="Times New Roman" w:cs="Times New Roman"/>
                <w:spacing w:val="-2"/>
                <w:kern w:val="0"/>
                <w14:ligatures w14:val="none"/>
              </w:rPr>
            </w:pPr>
            <w:r>
              <w:rPr>
                <w:rFonts w:ascii="Times New Roman" w:eastAsia="Times New Roman" w:hAnsi="Times New Roman" w:cs="Times New Roman"/>
                <w:spacing w:val="-2"/>
                <w:kern w:val="0"/>
                <w14:ligatures w14:val="none"/>
              </w:rPr>
              <w:t xml:space="preserve">- </w:t>
            </w:r>
            <w:r>
              <w:rPr>
                <w:rFonts w:ascii="Times New Roman" w:eastAsia="Times New Roman" w:hAnsi="Times New Roman" w:cs="Times New Roman"/>
                <w:spacing w:val="-2"/>
                <w:kern w:val="0"/>
                <w:lang w:val="it-IT"/>
                <w14:ligatures w14:val="none"/>
              </w:rPr>
              <w:t>Cục Kiểm tra VBQPPL, Bộ Tư pháp;</w:t>
            </w:r>
          </w:p>
          <w:p>
            <w:pPr>
              <w:tabs>
                <w:tab w:val="center" w:pos="6480"/>
              </w:tabs>
              <w:spacing w:after="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TT Tỉnh ủy, TT HĐND tỉnh;</w:t>
            </w:r>
            <w:r>
              <w:rPr>
                <w:rFonts w:ascii="Times New Roman" w:eastAsia="Times New Roman" w:hAnsi="Times New Roman" w:cs="Times New Roman"/>
                <w:kern w:val="0"/>
                <w14:ligatures w14:val="none"/>
              </w:rPr>
              <w:tab/>
            </w:r>
          </w:p>
          <w:p>
            <w:pPr>
              <w:tabs>
                <w:tab w:val="center" w:pos="6480"/>
              </w:tabs>
              <w:spacing w:after="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Đoàn đại biểu Quốc hội tỉnh;</w:t>
            </w:r>
          </w:p>
          <w:p>
            <w:pPr>
              <w:tabs>
                <w:tab w:val="center" w:pos="6480"/>
              </w:tabs>
              <w:spacing w:after="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CT</w:t>
            </w:r>
            <w:r>
              <w:rPr>
                <w:rFonts w:ascii="Times New Roman" w:eastAsia="Times New Roman" w:hAnsi="Times New Roman" w:cs="Times New Roman"/>
                <w:kern w:val="0"/>
                <w:lang w:val="vi-VN"/>
                <w14:ligatures w14:val="none"/>
              </w:rPr>
              <w:t>, các PCT</w:t>
            </w:r>
            <w:r>
              <w:rPr>
                <w:rFonts w:ascii="Times New Roman" w:eastAsia="Times New Roman" w:hAnsi="Times New Roman" w:cs="Times New Roman"/>
                <w:kern w:val="0"/>
                <w14:ligatures w14:val="none"/>
              </w:rPr>
              <w:t xml:space="preserve"> UBND tỉnh;</w:t>
            </w:r>
          </w:p>
          <w:p>
            <w:pPr>
              <w:tabs>
                <w:tab w:val="center" w:pos="6480"/>
              </w:tabs>
              <w:spacing w:after="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Các sở, ban, ngành, tổ chức, đoàn thể của tỉnh;</w:t>
            </w:r>
          </w:p>
          <w:p>
            <w:pPr>
              <w:tabs>
                <w:tab w:val="center" w:pos="6480"/>
              </w:tabs>
              <w:spacing w:after="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Ủy ban nhân dân các xã, ph</w:t>
            </w:r>
            <w:r>
              <w:rPr>
                <w:rFonts w:ascii="Times New Roman" w:eastAsia="Times New Roman" w:hAnsi="Times New Roman" w:cs="Times New Roman" w:hint="eastAsia"/>
                <w:kern w:val="0"/>
                <w14:ligatures w14:val="none"/>
              </w:rPr>
              <w:t>ư</w:t>
            </w:r>
            <w:r>
              <w:rPr>
                <w:rFonts w:ascii="Times New Roman" w:eastAsia="Times New Roman" w:hAnsi="Times New Roman" w:cs="Times New Roman"/>
                <w:kern w:val="0"/>
                <w14:ligatures w14:val="none"/>
              </w:rPr>
              <w:t xml:space="preserve">ờng, </w:t>
            </w:r>
            <w:r>
              <w:rPr>
                <w:rFonts w:ascii="Times New Roman" w:eastAsia="Times New Roman" w:hAnsi="Times New Roman" w:cs="Times New Roman" w:hint="eastAsia"/>
                <w:kern w:val="0"/>
                <w14:ligatures w14:val="none"/>
              </w:rPr>
              <w:t>đ</w:t>
            </w:r>
            <w:r>
              <w:rPr>
                <w:rFonts w:ascii="Times New Roman" w:eastAsia="Times New Roman" w:hAnsi="Times New Roman" w:cs="Times New Roman"/>
                <w:kern w:val="0"/>
                <w14:ligatures w14:val="none"/>
              </w:rPr>
              <w:t>ặc khu;</w:t>
            </w:r>
          </w:p>
          <w:p>
            <w:pPr>
              <w:tabs>
                <w:tab w:val="center" w:pos="6480"/>
              </w:tabs>
              <w:spacing w:after="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Báo và phát thanh, truyền hình tỉnh;</w:t>
            </w:r>
          </w:p>
          <w:p>
            <w:pPr>
              <w:tabs>
                <w:tab w:val="center" w:pos="6480"/>
              </w:tabs>
              <w:spacing w:after="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Cổng thông tin điện tử tỉnh (công báo);</w:t>
            </w:r>
          </w:p>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V0, V1-4, CVNCTH;</w:t>
            </w:r>
          </w:p>
          <w:p>
            <w:pPr>
              <w:spacing w:after="0" w:line="240" w:lineRule="auto"/>
              <w:rPr>
                <w:rFonts w:ascii="Times New Roman" w:eastAsia="Times New Roman" w:hAnsi="Times New Roman" w:cs="Times New Roman"/>
                <w:kern w:val="0"/>
                <w:lang w:val="de-DE"/>
                <w14:ligatures w14:val="none"/>
              </w:rPr>
            </w:pPr>
            <w:r>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lang w:val="de-DE"/>
                <w14:ligatures w14:val="none"/>
              </w:rPr>
              <w:t>Lưu: VT, TM6.</w:t>
            </w:r>
          </w:p>
          <w:p>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ab/>
              <w:t>QĐ118-tsc</w:t>
            </w:r>
          </w:p>
        </w:tc>
        <w:tc>
          <w:tcPr>
            <w:tcW w:w="4252" w:type="dxa"/>
            <w:tcBorders>
              <w:top w:val="nil"/>
              <w:left w:val="nil"/>
              <w:bottom w:val="nil"/>
              <w:right w:val="nil"/>
              <w:tl2br w:val="nil"/>
              <w:tr2bl w:val="nil"/>
            </w:tcBorders>
            <w:tcMar>
              <w:top w:w="0" w:type="dxa"/>
              <w:left w:w="108" w:type="dxa"/>
              <w:bottom w:w="0" w:type="dxa"/>
              <w:right w:w="108" w:type="dxa"/>
            </w:tcMar>
          </w:tcPr>
          <w:p>
            <w:pPr>
              <w:spacing w:before="60" w:after="0" w:line="240" w:lineRule="auto"/>
              <w:jc w:val="center"/>
              <w:rPr>
                <w:rFonts w:ascii="Times New Roman" w:eastAsia="Times New Roman" w:hAnsi="Times New Roman" w:cs="Times New Roman"/>
                <w:b/>
                <w:bCs/>
                <w:kern w:val="0"/>
                <w:sz w:val="28"/>
                <w:szCs w:val="28"/>
                <w:lang w:val="nl-NL"/>
                <w14:ligatures w14:val="none"/>
              </w:rPr>
            </w:pPr>
            <w:r>
              <w:rPr>
                <w:rFonts w:ascii="Times New Roman" w:eastAsia="Times New Roman" w:hAnsi="Times New Roman" w:cs="Times New Roman"/>
                <w:b/>
                <w:bCs/>
                <w:kern w:val="0"/>
                <w:sz w:val="28"/>
                <w:szCs w:val="28"/>
                <w:lang w:val="nl-NL"/>
                <w14:ligatures w14:val="none"/>
              </w:rPr>
              <w:t>TM. UỶ BAN NHÂN DÂN</w:t>
            </w:r>
          </w:p>
          <w:p>
            <w:pPr>
              <w:spacing w:after="0" w:line="240" w:lineRule="auto"/>
              <w:jc w:val="center"/>
              <w:rPr>
                <w:rFonts w:ascii="Times New Roman" w:eastAsia="Times New Roman" w:hAnsi="Times New Roman" w:cs="Times New Roman"/>
                <w:b/>
                <w:bCs/>
                <w:kern w:val="0"/>
                <w:sz w:val="28"/>
                <w:szCs w:val="28"/>
                <w:lang w:val="nl-NL"/>
                <w14:ligatures w14:val="none"/>
              </w:rPr>
            </w:pPr>
            <w:r>
              <w:rPr>
                <w:rFonts w:ascii="Times New Roman" w:eastAsia="Times New Roman" w:hAnsi="Times New Roman" w:cs="Times New Roman"/>
                <w:b/>
                <w:bCs/>
                <w:kern w:val="0"/>
                <w:sz w:val="28"/>
                <w:szCs w:val="28"/>
                <w:lang w:val="nl-NL"/>
                <w14:ligatures w14:val="none"/>
              </w:rPr>
              <w:t>KT. CHỦ TỊCH</w:t>
            </w:r>
          </w:p>
          <w:p>
            <w:pPr>
              <w:spacing w:after="0" w:line="240" w:lineRule="auto"/>
              <w:jc w:val="center"/>
              <w:rPr>
                <w:rFonts w:ascii="Times New Roman" w:eastAsia="Times New Roman" w:hAnsi="Times New Roman" w:cs="Times New Roman"/>
                <w:b/>
                <w:bCs/>
                <w:kern w:val="0"/>
                <w:sz w:val="28"/>
                <w:szCs w:val="28"/>
                <w:lang w:val="nl-NL"/>
                <w14:ligatures w14:val="none"/>
              </w:rPr>
            </w:pPr>
            <w:r>
              <w:rPr>
                <w:rFonts w:ascii="Times New Roman" w:eastAsia="Times New Roman" w:hAnsi="Times New Roman" w:cs="Times New Roman"/>
                <w:b/>
                <w:bCs/>
                <w:kern w:val="0"/>
                <w:sz w:val="28"/>
                <w:szCs w:val="28"/>
                <w:lang w:val="nl-NL"/>
                <w14:ligatures w14:val="none"/>
              </w:rPr>
              <w:t>PHÓ CHỦ TỊCH</w:t>
            </w:r>
          </w:p>
          <w:p>
            <w:pPr>
              <w:spacing w:before="80" w:after="0" w:line="240" w:lineRule="auto"/>
              <w:jc w:val="both"/>
              <w:rPr>
                <w:rFonts w:ascii="Times New Roman" w:eastAsia="Times New Roman" w:hAnsi="Times New Roman" w:cs="Times New Roman"/>
                <w:b/>
                <w:bCs/>
                <w:spacing w:val="-8"/>
                <w:kern w:val="0"/>
                <w:sz w:val="28"/>
                <w:szCs w:val="28"/>
                <w:lang w:val="nl-NL"/>
                <w14:ligatures w14:val="none"/>
              </w:rPr>
            </w:pPr>
          </w:p>
          <w:p>
            <w:pPr>
              <w:spacing w:before="80" w:after="0" w:line="240" w:lineRule="auto"/>
              <w:jc w:val="both"/>
              <w:rPr>
                <w:rFonts w:ascii="Times New Roman" w:eastAsia="Times New Roman" w:hAnsi="Times New Roman" w:cs="Times New Roman"/>
                <w:b/>
                <w:bCs/>
                <w:spacing w:val="-8"/>
                <w:kern w:val="0"/>
                <w:sz w:val="28"/>
                <w:szCs w:val="28"/>
                <w:lang w:val="nl-NL"/>
                <w14:ligatures w14:val="none"/>
              </w:rPr>
            </w:pPr>
          </w:p>
          <w:p>
            <w:pPr>
              <w:spacing w:before="80" w:after="0" w:line="240" w:lineRule="auto"/>
              <w:jc w:val="both"/>
              <w:rPr>
                <w:rFonts w:ascii="Times New Roman" w:eastAsia="Times New Roman" w:hAnsi="Times New Roman" w:cs="Times New Roman"/>
                <w:b/>
                <w:bCs/>
                <w:spacing w:val="-8"/>
                <w:kern w:val="0"/>
                <w:sz w:val="28"/>
                <w:szCs w:val="28"/>
                <w:lang w:val="nl-NL"/>
                <w14:ligatures w14:val="none"/>
              </w:rPr>
            </w:pPr>
          </w:p>
          <w:p>
            <w:pPr>
              <w:spacing w:before="80" w:after="0" w:line="240" w:lineRule="auto"/>
              <w:jc w:val="center"/>
              <w:rPr>
                <w:rFonts w:ascii="Times New Roman" w:eastAsia="Times New Roman" w:hAnsi="Times New Roman" w:cs="Times New Roman"/>
                <w:b/>
                <w:bCs/>
                <w:spacing w:val="-8"/>
                <w:kern w:val="0"/>
                <w:sz w:val="28"/>
                <w:szCs w:val="28"/>
                <w:lang w:val="nl-NL"/>
                <w14:ligatures w14:val="none"/>
              </w:rPr>
            </w:pPr>
          </w:p>
          <w:p>
            <w:pPr>
              <w:spacing w:before="120" w:after="0" w:line="240" w:lineRule="auto"/>
              <w:jc w:val="center"/>
              <w:rPr>
                <w:rFonts w:ascii="Times New Roman" w:eastAsia="Times New Roman" w:hAnsi="Times New Roman" w:cs="Times New Roman"/>
                <w:b/>
                <w:bCs/>
                <w:spacing w:val="-8"/>
                <w:kern w:val="0"/>
                <w:sz w:val="28"/>
                <w:szCs w:val="28"/>
                <w:lang w:val="nl-NL"/>
                <w14:ligatures w14:val="none"/>
              </w:rPr>
            </w:pPr>
          </w:p>
          <w:p>
            <w:pPr>
              <w:spacing w:after="0" w:line="240" w:lineRule="auto"/>
              <w:jc w:val="center"/>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 xml:space="preserve"> Vũ Văn Diện</w:t>
            </w:r>
          </w:p>
        </w:tc>
      </w:tr>
    </w:tbl>
    <w:p>
      <w:pPr>
        <w:spacing w:before="120" w:after="0" w:line="240" w:lineRule="auto"/>
        <w:jc w:val="both"/>
        <w:rPr>
          <w:rFonts w:ascii="Times New Roman" w:hAnsi="Times New Roman" w:cs="Times New Roman"/>
          <w:sz w:val="28"/>
          <w:szCs w:val="28"/>
        </w:rPr>
      </w:pPr>
    </w:p>
    <w:p/>
    <w:p/>
    <w:p/>
    <w:p/>
    <w:p/>
    <w:p/>
    <w:sectPr>
      <w:headerReference w:type="default" r:id="rId7"/>
      <w:pgSz w:w="11907" w:h="16840" w:code="9"/>
      <w:pgMar w:top="1021" w:right="964" w:bottom="1021" w:left="1758"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28901150"/>
      <w:docPartObj>
        <w:docPartGallery w:val="Page Numbers (Top of Page)"/>
        <w:docPartUnique/>
      </w:docPartObj>
    </w:sdtPr>
    <w:sdtEndPr>
      <w:rPr>
        <w:rFonts w:ascii="Times New Roman" w:hAnsi="Times New Roman" w:cs="Times New Roman"/>
        <w:noProof/>
        <w:sz w:val="26"/>
        <w:szCs w:val="26"/>
      </w:rPr>
    </w:sdtEndPr>
    <w:sdtContent>
      <w:p>
        <w:pPr>
          <w:pStyle w:val="Header"/>
          <w:spacing w:after="160"/>
          <w:jc w:val="center"/>
          <w:rPr>
            <w:rFonts w:ascii="Times New Roman" w:hAnsi="Times New Roman" w:cs="Times New Roman"/>
            <w:sz w:val="26"/>
            <w:szCs w:val="26"/>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   \* MERGEFORMAT </w:instrText>
        </w:r>
        <w:r>
          <w:rPr>
            <w:rFonts w:ascii="Times New Roman" w:hAnsi="Times New Roman" w:cs="Times New Roman"/>
            <w:sz w:val="26"/>
            <w:szCs w:val="26"/>
          </w:rPr>
          <w:fldChar w:fldCharType="separate"/>
        </w:r>
        <w:r>
          <w:rPr>
            <w:rFonts w:ascii="Times New Roman" w:hAnsi="Times New Roman" w:cs="Times New Roman"/>
            <w:noProof/>
            <w:sz w:val="26"/>
            <w:szCs w:val="26"/>
          </w:rPr>
          <w:t>2</w:t>
        </w:r>
        <w:r>
          <w:rPr>
            <w:rFonts w:ascii="Times New Roman" w:hAnsi="Times New Roman" w:cs="Times New Roman"/>
            <w:noProof/>
            <w:sz w:val="26"/>
            <w:szCs w:val="26"/>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visionView w:inkAnnotation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58FC81C2-54D4-4A2F-A30E-D64C4BBE6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hAnsiTheme="minorHAnsi"/>
      <w:kern w:val="2"/>
      <w:sz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rPr>
      <w:rFonts w:asciiTheme="minorHAnsi" w:hAnsiTheme="minorHAnsi"/>
      <w:kern w:val="2"/>
      <w:sz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rPr>
      <w:rFonts w:asciiTheme="minorHAnsi" w:hAnsiTheme="minorHAnsi"/>
      <w:kern w:val="2"/>
      <w:sz w:val="22"/>
      <w14:ligatures w14:val="standardContextual"/>
    </w:rPr>
  </w:style>
  <w:style w:type="character" w:customStyle="1" w:styleId="fontstyle01">
    <w:name w:val="fontstyle01"/>
    <w:rPr>
      <w:rFonts w:ascii="Times New Roman" w:hAnsi="Times New Roman" w:cs="Times New Roman" w:hint="default"/>
      <w:b w:val="0"/>
      <w:bCs w:val="0"/>
      <w:i w:val="0"/>
      <w:iCs w:val="0"/>
      <w:color w:val="000000"/>
      <w:sz w:val="28"/>
      <w:szCs w:val="28"/>
    </w:r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rPr>
      <w:rFonts w:asciiTheme="minorHAnsi" w:hAnsiTheme="minorHAnsi"/>
      <w:kern w:val="2"/>
      <w:sz w:val="22"/>
      <w14:ligatures w14:val="standardContextual"/>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
      <w:sz w:val="18"/>
      <w:szCs w:val="18"/>
      <w14:ligatures w14:val="standardContextual"/>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9F7BEA-00AC-4B85-8F74-A9B43E8255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4</Pages>
  <Words>1223</Words>
  <Characters>6973</Characters>
  <Application>Microsoft Office Word</Application>
  <DocSecurity>0</DocSecurity>
  <Lines>58</Lines>
  <Paragraphs>16</Paragraphs>
  <ScaleCrop>false</ScaleCrop>
  <Company/>
  <LinksUpToDate>false</LinksUpToDate>
  <CharactersWithSpaces>8180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CV Tai Mau 6</cp:lastModifiedBy>
  <cp:revision>36</cp:revision>
  <cp:lastPrinted>2026-06-23T10:38:00Z</cp:lastPrinted>
  <dcterms:created xsi:type="dcterms:W3CDTF">2026-06-10T09:38:00Z</dcterms:created>
  <dcterms:modified xsi:type="dcterms:W3CDTF">2026-06-24T04:05:00Z</dcterms:modified>
</cp:coreProperties>
</file>