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ight="-630" w:left="-426"/>
        <w:jc w:val="both"/>
        <w:rPr>
          <w:b/>
          <w:sz w:val="26"/>
        </w:rPr>
      </w:pPr>
      <w:r>
        <w:rPr>
          <w:b/>
          <w:sz w:val="26"/>
        </w:rPr>
        <w:t xml:space="preserve">CHỦ TỊCH</w:t>
      </w:r>
      <w:r>
        <w:rPr>
          <w:b/>
          <w:sz w:val="26"/>
        </w:rPr>
        <w:t xml:space="preserve"> </w:t>
      </w:r>
      <w:r>
        <w:rPr>
          <w:b/>
          <w:sz w:val="26"/>
        </w:rPr>
        <w:t xml:space="preserve">ỦY</w:t>
      </w:r>
      <w:r>
        <w:rPr>
          <w:b/>
          <w:sz w:val="26"/>
        </w:rPr>
        <w:t xml:space="preserve"> BAN NHÂN DÂN     </w:t>
      </w:r>
      <w:r>
        <w:rPr>
          <w:b/>
          <w:sz w:val="26"/>
        </w:rPr>
        <w:t xml:space="preserve">CỘNG HÒA XÃ HỘI CHỦ NGHĨA VIỆT NAM</w:t>
      </w:r>
      <w:r>
        <w:rPr>
          <w:b/>
          <w:sz w:val="26"/>
        </w:rPr>
      </w:r>
      <w:r>
        <w:rPr>
          <w:b/>
          <w:sz w:val="26"/>
        </w:rPr>
      </w:r>
    </w:p>
    <w:p>
      <w:pPr>
        <w:pStyle w:val="927"/>
        <w:pBdr/>
        <w:spacing/>
        <w:ind/>
        <w:rPr>
          <w:sz w:val="28"/>
        </w:rPr>
      </w:pPr>
      <w:r>
        <w:t xml:space="preserve">  </w:t>
      </w:r>
      <w:r>
        <w:t xml:space="preserve"> </w:t>
      </w:r>
      <w:r>
        <w:t xml:space="preserve"> </w:t>
      </w:r>
      <w:r>
        <w:t xml:space="preserve">  </w:t>
      </w:r>
      <w:r>
        <w:t xml:space="preserve">TỈNH TÂY NINH</w:t>
      </w:r>
      <w:r>
        <w:tab/>
      </w:r>
      <w:r>
        <w:tab/>
      </w:r>
      <w:r>
        <w:t xml:space="preserve">               </w:t>
      </w:r>
      <w:r>
        <w:rPr>
          <w:sz w:val="28"/>
        </w:rPr>
        <w:t xml:space="preserve">Độc lập - Tự do - Hạnh phúc</w:t>
      </w:r>
      <w:r>
        <w:rPr>
          <w:sz w:val="28"/>
        </w:rPr>
      </w:r>
      <w:r>
        <w:rPr>
          <w:sz w:val="28"/>
        </w:rPr>
      </w:r>
    </w:p>
    <w:p>
      <w:pPr>
        <w:pBdr/>
        <w:spacing/>
        <w:ind/>
        <w:jc w:val="both"/>
        <w:rPr>
          <w:sz w:val="26"/>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530860</wp:posOffset>
                </wp:positionH>
                <wp:positionV relativeFrom="paragraph">
                  <wp:posOffset>73660</wp:posOffset>
                </wp:positionV>
                <wp:extent cx="450850" cy="0"/>
                <wp:effectExtent l="0" t="0" r="25400" b="19050"/>
                <wp:wrapNone/>
                <wp:docPr id="1" name="Straight Connector 4"/>
                <wp:cNvGraphicFramePr/>
                <a:graphic xmlns:a="http://schemas.openxmlformats.org/drawingml/2006/main">
                  <a:graphicData uri="http://schemas.microsoft.com/office/word/2010/wordprocessingShape">
                    <wps:wsp>
                      <wps:cNvPr id="0" name=""/>
                      <wps:cNvSpPr/>
                      <wps:spPr bwMode="auto">
                        <a:xfrm>
                          <a:off x="0" y="0"/>
                          <a:ext cx="4508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59264;mso-wrap-distance-left:9.00pt;mso-wrap-distance-top:0.00pt;mso-wrap-distance-right:9.00pt;mso-wrap-distance-bottom:0.00pt;visibility:visible;" from="41.8pt,5.8pt" to="77.3pt,5.8pt" filled="f" strokecolor="#000000" strokeweight="0.75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2886710</wp:posOffset>
                </wp:positionH>
                <wp:positionV relativeFrom="paragraph">
                  <wp:posOffset>80010</wp:posOffset>
                </wp:positionV>
                <wp:extent cx="2165350" cy="0"/>
                <wp:effectExtent l="0" t="0" r="25400" b="19050"/>
                <wp:wrapNone/>
                <wp:docPr id="2" name="Straight Connector 5"/>
                <wp:cNvGraphicFramePr/>
                <a:graphic xmlns:a="http://schemas.openxmlformats.org/drawingml/2006/main">
                  <a:graphicData uri="http://schemas.microsoft.com/office/word/2010/wordprocessingShape">
                    <wps:wsp>
                      <wps:cNvPr id="0" name=""/>
                      <wps:cNvSpPr/>
                      <wps:spPr bwMode="auto">
                        <a:xfrm>
                          <a:off x="0" y="0"/>
                          <a:ext cx="21653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0288;mso-wrap-distance-left:9.00pt;mso-wrap-distance-top:0.00pt;mso-wrap-distance-right:9.00pt;mso-wrap-distance-bottom:0.00pt;visibility:visible;" from="227.3pt,6.3pt" to="397.8pt,6.3pt" filled="f" strokecolor="#000000" strokeweight="0.75pt">
                <v:stroke dashstyle="solid"/>
              </v:line>
            </w:pict>
          </mc:Fallback>
        </mc:AlternateContent>
      </w:r>
      <w:r>
        <w:rPr>
          <w:sz w:val="26"/>
        </w:rPr>
      </w:r>
      <w:r>
        <w:rPr>
          <w:sz w:val="26"/>
        </w:rPr>
      </w:r>
    </w:p>
    <w:p>
      <w:pPr>
        <w:pBdr/>
        <w:spacing/>
        <w:ind/>
        <w:jc w:val="both"/>
        <w:rPr>
          <w:i/>
        </w:rPr>
      </w:pPr>
      <w:r>
        <w:rPr>
          <w:sz w:val="26"/>
        </w:rPr>
        <w:t xml:space="preserve">Số</w:t>
      </w:r>
      <w:r>
        <w:rPr>
          <w:sz w:val="26"/>
        </w:rPr>
        <w:t xml:space="preserve">: </w:t>
      </w:r>
      <w:r>
        <w:rPr>
          <w:sz w:val="26"/>
        </w:rPr>
        <w:t xml:space="preserve"> 29</w:t>
      </w:r>
      <w:r>
        <w:rPr>
          <w:sz w:val="26"/>
        </w:rPr>
        <w:t xml:space="preserve"> </w:t>
      </w:r>
      <w:r>
        <w:rPr>
          <w:sz w:val="26"/>
        </w:rPr>
        <w:t xml:space="preserve"> </w:t>
      </w:r>
      <w:r>
        <w:rPr>
          <w:sz w:val="26"/>
        </w:rPr>
        <w:t xml:space="preserve">/</w:t>
      </w:r>
      <w:r>
        <w:rPr>
          <w:sz w:val="26"/>
        </w:rPr>
        <w:t xml:space="preserve">202</w:t>
      </w:r>
      <w:r>
        <w:rPr>
          <w:sz w:val="26"/>
        </w:rPr>
        <w:t xml:space="preserve">6</w:t>
      </w:r>
      <w:r>
        <w:rPr>
          <w:sz w:val="26"/>
        </w:rPr>
        <w:t xml:space="preserve">/</w:t>
      </w:r>
      <w:r>
        <w:rPr>
          <w:sz w:val="26"/>
        </w:rPr>
        <w:t xml:space="preserve">QĐ-</w:t>
      </w:r>
      <w:r>
        <w:rPr>
          <w:sz w:val="26"/>
        </w:rPr>
        <w:t xml:space="preserve">CT</w:t>
      </w:r>
      <w:r>
        <w:rPr>
          <w:sz w:val="26"/>
        </w:rPr>
        <w:t xml:space="preserve">UBND</w:t>
      </w:r>
      <w:r>
        <w:rPr>
          <w:sz w:val="26"/>
        </w:rPr>
        <w:tab/>
      </w:r>
      <w:r>
        <w:rPr>
          <w:sz w:val="26"/>
        </w:rPr>
        <w:tab/>
      </w:r>
      <w:r>
        <w:rPr>
          <w:i/>
        </w:rPr>
        <w:t xml:space="preserve">Tây Ninh, ngày </w:t>
      </w:r>
      <w:r>
        <w:rPr>
          <w:i/>
        </w:rPr>
        <w:t xml:space="preserve">   12</w:t>
      </w:r>
      <w:r>
        <w:rPr>
          <w:i/>
        </w:rPr>
        <w:t xml:space="preserve"> </w:t>
      </w:r>
      <w:r>
        <w:rPr>
          <w:i/>
        </w:rPr>
        <w:t xml:space="preserve">  tháng</w:t>
      </w:r>
      <w:r>
        <w:rPr>
          <w:i/>
        </w:rPr>
        <w:t xml:space="preserve"> </w:t>
      </w:r>
      <w:r>
        <w:rPr>
          <w:i/>
        </w:rPr>
        <w:t xml:space="preserve">3</w:t>
      </w:r>
      <w:r>
        <w:rPr>
          <w:i/>
        </w:rPr>
        <w:t xml:space="preserve">  </w:t>
      </w:r>
      <w:r>
        <w:rPr>
          <w:i/>
        </w:rPr>
        <w:t xml:space="preserve">năm 20</w:t>
      </w:r>
      <w:r>
        <w:rPr>
          <w:i/>
        </w:rPr>
        <w:t xml:space="preserve">2</w:t>
      </w:r>
      <w:r>
        <w:rPr>
          <w:i/>
        </w:rPr>
        <w:t xml:space="preserve">6</w:t>
      </w:r>
      <w:r>
        <w:rPr>
          <w:i/>
        </w:rPr>
      </w:r>
      <w:r>
        <w:rPr>
          <w:i/>
        </w:rPr>
      </w:r>
    </w:p>
    <w:p>
      <w:pPr>
        <w:pStyle w:val="926"/>
        <w:pBdr/>
        <w:spacing w:after="60" w:before="60"/>
        <w:ind/>
        <w:rPr/>
      </w:pPr>
      <w:r/>
      <w:r/>
    </w:p>
    <w:p>
      <w:pPr>
        <w:pStyle w:val="926"/>
        <w:pBdr/>
        <w:spacing/>
        <w:ind/>
        <w:rPr/>
      </w:pPr>
      <w:r>
        <w:t xml:space="preserve"> QUYẾT ĐỊNH </w:t>
      </w:r>
      <w:r/>
    </w:p>
    <w:p>
      <w:pPr>
        <w:pStyle w:val="926"/>
        <w:pBdr/>
        <w:spacing/>
        <w:ind/>
        <w:rPr>
          <w:spacing w:val="-8"/>
          <w:szCs w:val="28"/>
        </w:rPr>
      </w:pPr>
      <w:r>
        <w:rPr>
          <w:spacing w:val="-8"/>
          <w:szCs w:val="28"/>
        </w:rPr>
        <w:t xml:space="preserve">Về </w:t>
      </w:r>
      <w:r>
        <w:rPr>
          <w:spacing w:val="-8"/>
          <w:szCs w:val="28"/>
        </w:rPr>
        <w:t xml:space="preserve">quy định </w:t>
      </w:r>
      <w:r>
        <w:rPr>
          <w:spacing w:val="-8"/>
          <w:szCs w:val="28"/>
        </w:rPr>
        <w:t xml:space="preserve">thẩm quyền </w:t>
      </w:r>
      <w:r>
        <w:rPr>
          <w:spacing w:val="-8"/>
          <w:szCs w:val="28"/>
        </w:rPr>
        <w:t xml:space="preserve">quyết định </w:t>
      </w:r>
      <w:r>
        <w:rPr>
          <w:spacing w:val="-8"/>
          <w:szCs w:val="28"/>
        </w:rPr>
        <w:t xml:space="preserve">và phân cấp thẩm quyền </w:t>
      </w:r>
      <w:r>
        <w:rPr>
          <w:spacing w:val="-8"/>
          <w:szCs w:val="28"/>
        </w:rPr>
        <w:t xml:space="preserve">quyết định </w:t>
      </w:r>
      <w:r>
        <w:rPr>
          <w:spacing w:val="-8"/>
          <w:szCs w:val="28"/>
        </w:rPr>
        <w:t xml:space="preserve">xác lập quyền sở hữu toàn dân về tài sản và phê duyệt phương án xử lý tài sản</w:t>
      </w:r>
      <w:r>
        <w:rPr>
          <w:spacing w:val="-8"/>
          <w:szCs w:val="28"/>
        </w:rPr>
        <w:t xml:space="preserve"> được xác lập quyền sở hữu toàn dân </w:t>
      </w:r>
      <w:r>
        <w:rPr>
          <w:spacing w:val="-8"/>
          <w:szCs w:val="28"/>
        </w:rPr>
        <w:t xml:space="preserve">thuộc phạm vi quản lý </w:t>
      </w:r>
      <w:r>
        <w:rPr>
          <w:spacing w:val="-8"/>
          <w:szCs w:val="28"/>
        </w:rPr>
        <w:t xml:space="preserve">của tỉnh Tây Ninh</w:t>
      </w:r>
      <w:r>
        <w:rPr>
          <w:spacing w:val="-8"/>
          <w:szCs w:val="28"/>
        </w:rPr>
      </w:r>
      <w:r>
        <w:rPr>
          <w:spacing w:val="-8"/>
          <w:szCs w:val="28"/>
        </w:rPr>
      </w:r>
    </w:p>
    <w:p>
      <w:pPr>
        <w:pBdr/>
        <w:spacing w:after="60" w:before="60"/>
        <w:ind/>
        <w:jc w:val="center"/>
        <w:rPr>
          <w:b/>
        </w:rPr>
      </w:pPr>
      <w:r>
        <w:rPr>
          <w:b/>
        </w:rPr>
      </w:r>
      <w:r>
        <w:rPr>
          <w:b/>
        </w:rPr>
      </w:r>
      <w:r>
        <w:rPr>
          <w:b/>
        </w:rPr>
      </w:r>
    </w:p>
    <w:p>
      <w:pPr>
        <w:pBdr/>
        <w:spacing w:line="276" w:lineRule="auto"/>
        <w:ind w:firstLine="576"/>
        <w:jc w:val="both"/>
        <w:rPr>
          <w:i/>
          <w:iCs/>
          <w:lang w:val="vi-VN"/>
          <w14:ligatures w14:val="none"/>
        </w:rPr>
      </w:pPr>
      <w:r>
        <w:rPr>
          <w:i/>
          <w:iCs/>
          <w:lang w:val="vi-VN"/>
        </w:rPr>
        <w:t xml:space="preserve">Căn cứ Luật Tổ chức chính quyền địa phương số 72/2025/QH15;</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Căn cứ Luật Quản lý, sử dụng tài sản công số 15/2017/QH14;</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Căn cứ Luật Đầu tư theo phương thức đối tác công tư số 64/2020/QH14 ngày 18/6/2020;</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Căn cứ Luật sửa đổi, bổ sung một số điều của Luật Sở hữu trí tuệ số 07/2022/QH15 ngày 16/6/2022;</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Căn cứ Luật Viễn thông số 24/2023/QH15 ngày 24/11/2023;</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Căn cứ Luật Đất đai số 31/2024/QH15 ngày 18/01/2024;</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Căn cứ Luật số 43/2024/QH15 ngày 29/6/2024 về sửa đổi, bổ sung một số điều của Luật Đất đai số 31/2024/QH15, Luật Nhà ở số 27/2023/QH15, Luật Kinh doanh bất động sản số 29/2023/QH15 và Luật Các tổ chức tín dụng số 32/2024/QH15;</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Căn cứ Luật số 56/2024/QH15 ngày 29/11/2</w:t>
      </w:r>
      <w:r>
        <w:rPr>
          <w:i/>
          <w:iCs/>
          <w:lang w:val="vi-VN"/>
        </w:rPr>
        <w:t xml:space="preserve">024 về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Căn cứ Luật </w:t>
      </w:r>
      <w:r>
        <w:rPr>
          <w:i/>
          <w:iCs/>
          <w:lang w:val="vi-VN"/>
        </w:rPr>
        <w:t xml:space="preserve">số 90/2025/QH15 ngày 25/6/2025 về sửa đổi, bổ sung một số điều của Luật Đấu thầu, Luật Đầu tư theo phương thức đối tác công tư, Luật Hải quan, Luật Thuế giá trị gia tăng, Luật Thuế xuất khẩu, thuế nhập khẩu, Luật Đầu tư, Luật Quản lý, sử dụng tài sản công;</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Căn cứ Nghị định số 77/2025/NĐ-CP ngày 01/4/2025 của Chính phủ quy định thẩm quyền, thủ tục xác lập quyền sở hữu toàn dân về tài sản và xử lý đối với tài sản được xác lập quyền sở hữu toàn dân;</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Căn cứ Nghị định số 186/2025/NĐ-CP ngày 01/7/2025 của Chính phủ quy định chi tiết một số điều của Luật Quản lý, sử dụng tài sản công;</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Căn cứ Nghị định số 286/2025/NĐ-CP ngày 03/11/2025 của Chính phủ sửa đổi, bổ sung một số điều của các </w:t>
      </w:r>
      <w:r>
        <w:rPr>
          <w:i/>
          <w:iCs/>
          <w:lang w:val="vi-VN"/>
        </w:rPr>
        <w:t xml:space="preserve">N</w:t>
      </w:r>
      <w:r>
        <w:rPr>
          <w:i/>
          <w:iCs/>
          <w:lang w:val="vi-VN"/>
        </w:rPr>
        <w:t xml:space="preserve">ghị định trong lĩnh vực quản lý, sử dụng tài sản công;</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Theo</w:t>
      </w:r>
      <w:r>
        <w:rPr>
          <w:i/>
          <w:iCs/>
          <w:lang w:val="vi-VN"/>
        </w:rPr>
        <w:t xml:space="preserve"> đề nghị của Giám đố</w:t>
      </w:r>
      <w:r>
        <w:rPr>
          <w:i/>
          <w:iCs/>
          <w:lang w:val="vi-VN"/>
        </w:rPr>
        <w:t xml:space="preserve">c Sở Tài chính</w:t>
      </w:r>
      <w:r>
        <w:rPr>
          <w:i/>
          <w:iCs/>
          <w:lang w:val="vi-VN"/>
        </w:rPr>
        <w:t xml:space="preserve">.</w:t>
      </w:r>
      <w:r>
        <w:rPr>
          <w:i/>
          <w:iCs/>
          <w:lang w:val="vi-VN"/>
          <w14:ligatures w14:val="none"/>
        </w:rPr>
      </w:r>
      <w:r>
        <w:rPr>
          <w:i/>
          <w:iCs/>
          <w:lang w:val="vi-VN"/>
          <w14:ligatures w14:val="none"/>
        </w:rPr>
      </w:r>
    </w:p>
    <w:p>
      <w:pPr>
        <w:pBdr/>
        <w:spacing w:line="276" w:lineRule="auto"/>
        <w:ind w:firstLine="576"/>
        <w:jc w:val="both"/>
        <w:rPr>
          <w:i/>
          <w:iCs/>
          <w:lang w:val="vi-VN"/>
          <w14:ligatures w14:val="none"/>
        </w:rPr>
      </w:pPr>
      <w:r>
        <w:rPr>
          <w:i/>
          <w:iCs/>
          <w:lang w:val="vi-VN"/>
        </w:rPr>
        <w:t xml:space="preserve">Chủ tịch </w:t>
      </w:r>
      <w:r>
        <w:rPr>
          <w:i/>
          <w:iCs/>
          <w:lang w:val="vi-VN"/>
        </w:rPr>
        <w:t xml:space="preserve">Ủy</w:t>
      </w:r>
      <w:r>
        <w:rPr>
          <w:i/>
          <w:iCs/>
          <w:lang w:val="vi-VN"/>
        </w:rPr>
        <w:t xml:space="preserve"> ban nhân dân ban hành Quyết định </w:t>
      </w:r>
      <w:r>
        <w:rPr>
          <w:i/>
          <w:iCs/>
          <w:lang w:val="vi-VN"/>
        </w:rPr>
        <w:t xml:space="preserve">về </w:t>
      </w:r>
      <w:r>
        <w:rPr>
          <w:i/>
          <w:iCs/>
          <w:lang w:val="vi-VN"/>
        </w:rPr>
        <w:t xml:space="preserve">quy định thẩm quyền quyết định và phân cấp thẩm quyền quyết định xác lập quyền sở hữu toàn dân về tài sản và phê duyệt phương án xử lý tài sản được xác lập quyền sở hữu toàn dân thuộc phạm vi quản lý của tỉnh Tây Ninh</w:t>
      </w:r>
      <w:r>
        <w:rPr>
          <w:i/>
          <w:iCs/>
          <w:lang w:val="vi-VN"/>
        </w:rPr>
        <w:t xml:space="preserve">.</w:t>
      </w:r>
      <w:r>
        <w:rPr>
          <w:i/>
          <w:iCs/>
          <w:lang w:val="vi-VN"/>
          <w14:ligatures w14:val="none"/>
        </w:rPr>
      </w:r>
      <w:r>
        <w:rPr>
          <w:i/>
          <w:iCs/>
          <w:lang w:val="vi-VN"/>
          <w14:ligatures w14:val="none"/>
        </w:rPr>
      </w:r>
    </w:p>
    <w:p>
      <w:pPr>
        <w:pBdr/>
        <w:spacing w:after="120" w:line="264" w:lineRule="auto"/>
        <w:ind w:firstLine="576"/>
        <w:jc w:val="both"/>
        <w:rPr>
          <w:rFonts w:eastAsia="Calibri"/>
          <w:b/>
        </w:rPr>
      </w:pPr>
      <w:r>
        <w:rPr>
          <w:rFonts w:eastAsia="Calibri"/>
          <w:b/>
        </w:rPr>
        <w:t xml:space="preserve">Điều 1. Phạm vi điều chỉnh </w:t>
      </w:r>
      <w:r>
        <w:rPr>
          <w:rFonts w:eastAsia="Calibri"/>
          <w:b/>
        </w:rPr>
      </w:r>
      <w:r>
        <w:rPr>
          <w:rFonts w:eastAsia="Calibri"/>
          <w:b/>
        </w:rPr>
      </w:r>
    </w:p>
    <w:p>
      <w:pPr>
        <w:pBdr/>
        <w:spacing w:after="120" w:line="264" w:lineRule="auto"/>
        <w:ind w:firstLine="576"/>
        <w:jc w:val="both"/>
        <w:rPr>
          <w:rFonts w:eastAsia="Calibri"/>
          <w:b/>
        </w:rPr>
      </w:pPr>
      <w:r>
        <w:rPr>
          <w:color w:val="000000"/>
        </w:rPr>
        <w:t xml:space="preserve">Quyết định này quy định về </w:t>
      </w:r>
      <w:r>
        <w:rPr>
          <w:color w:val="000000"/>
        </w:rPr>
        <w:t xml:space="preserve">thẩm quyền quyết định và phân cấp thẩm quyền quyết định xác lập quyền sở hữu toàn dân về tài sản và phê duyệt phương án xử lý tài sản được xác lập quyền sở hữu toàn dân thuộc phạm vi quản lý của tỉnh Tây Ninh</w:t>
      </w:r>
      <w:r>
        <w:rPr>
          <w:color w:val="000000"/>
        </w:rPr>
        <w:t xml:space="preserve">.</w:t>
      </w:r>
      <w:r>
        <w:rPr>
          <w:rFonts w:eastAsia="Calibri"/>
          <w:b/>
        </w:rPr>
      </w:r>
      <w:r>
        <w:rPr>
          <w:rFonts w:eastAsia="Calibri"/>
          <w:b/>
        </w:rPr>
      </w:r>
    </w:p>
    <w:p>
      <w:pPr>
        <w:pBdr/>
        <w:spacing w:after="120" w:line="264" w:lineRule="auto"/>
        <w:ind w:firstLine="576"/>
        <w:jc w:val="both"/>
        <w:rPr>
          <w:rFonts w:eastAsia="Calibri"/>
          <w:b/>
        </w:rPr>
      </w:pPr>
      <w:r>
        <w:rPr>
          <w:rFonts w:eastAsia="Calibri"/>
          <w:b/>
        </w:rPr>
        <w:t xml:space="preserve">Điều 2. Đối tượng áp dụng</w:t>
      </w:r>
      <w:r>
        <w:rPr>
          <w:rFonts w:eastAsia="Calibri"/>
          <w:b/>
        </w:rPr>
      </w:r>
      <w:r>
        <w:rPr>
          <w:rFonts w:eastAsia="Calibri"/>
          <w:b/>
        </w:rPr>
      </w:r>
    </w:p>
    <w:p>
      <w:pPr>
        <w:pBdr/>
        <w:shd w:val="clear" w:color="auto" w:fill="ffffff"/>
        <w:spacing w:after="120" w:line="264" w:lineRule="auto"/>
        <w:ind w:firstLine="576"/>
        <w:jc w:val="both"/>
        <w:rPr/>
      </w:pPr>
      <w:r>
        <w:rPr>
          <w:color w:val="000000"/>
        </w:rPr>
        <w:t xml:space="preserve">1.</w:t>
      </w:r>
      <w:r>
        <w:rPr>
          <w:color w:val="000000"/>
          <w:lang w:val="vi-VN"/>
        </w:rPr>
        <w:t xml:space="preserve"> Cơ quan</w:t>
      </w:r>
      <w:r>
        <w:rPr>
          <w:color w:val="000000"/>
          <w:lang w:val="vi-VN"/>
        </w:rPr>
        <w:t xml:space="preserve">, </w:t>
      </w:r>
      <w:r>
        <w:rPr>
          <w:color w:val="000000"/>
        </w:rPr>
        <w:t xml:space="preserve">tổ chức, đơn vị, </w:t>
      </w:r>
      <w:r>
        <w:rPr>
          <w:color w:val="000000"/>
          <w:lang w:val="vi-VN"/>
        </w:rPr>
        <w:t xml:space="preserve">người có thẩm quyền quyết định </w:t>
      </w:r>
      <w:r>
        <w:rPr>
          <w:color w:val="000000"/>
        </w:rPr>
        <w:t xml:space="preserve">hoặc được phân cấp thẩm quyền quyết định </w:t>
      </w:r>
      <w:r>
        <w:rPr>
          <w:color w:val="000000"/>
          <w:lang w:val="vi-VN"/>
        </w:rPr>
        <w:t xml:space="preserve">xác lập quyền sở hữu </w:t>
      </w:r>
      <w:r>
        <w:rPr>
          <w:color w:val="000000"/>
        </w:rPr>
        <w:t xml:space="preserve">toàn dân</w:t>
      </w:r>
      <w:r>
        <w:rPr>
          <w:color w:val="000000"/>
          <w:lang w:val="vi-VN"/>
        </w:rPr>
        <w:t xml:space="preserve"> về tài sản</w:t>
      </w:r>
      <w:r>
        <w:rPr>
          <w:color w:val="000000"/>
          <w:lang w:val="en-GB"/>
        </w:rPr>
        <w:t xml:space="preserve"> và phê duyệt phương án xử lý tài sản được xác lập quyền sở hữu toàn dân</w:t>
      </w:r>
      <w:r>
        <w:rPr>
          <w:color w:val="000000"/>
          <w:lang w:val="vi-VN"/>
        </w:rPr>
        <w:t xml:space="preserve">.</w:t>
      </w:r>
      <w:r/>
    </w:p>
    <w:p>
      <w:pPr>
        <w:pBdr/>
        <w:shd w:val="clear" w:color="auto" w:fill="ffffff"/>
        <w:spacing w:after="120" w:line="264" w:lineRule="auto"/>
        <w:ind w:firstLine="576"/>
        <w:jc w:val="both"/>
        <w:rPr>
          <w:lang w:val="en-GB"/>
        </w:rPr>
      </w:pPr>
      <w:r>
        <w:rPr>
          <w:color w:val="000000"/>
        </w:rPr>
        <w:t xml:space="preserve">2.</w:t>
      </w:r>
      <w:r>
        <w:rPr>
          <w:color w:val="000000"/>
          <w:lang w:val="vi-VN"/>
        </w:rPr>
        <w:t xml:space="preserve"> Cơ quan, tổ chức, đơn vị được giao </w:t>
      </w:r>
      <w:r>
        <w:rPr>
          <w:color w:val="000000"/>
          <w:lang w:val="en-GB"/>
        </w:rPr>
        <w:t xml:space="preserve">chủ trì </w:t>
      </w:r>
      <w:r>
        <w:rPr>
          <w:color w:val="000000"/>
          <w:lang w:val="vi-VN"/>
        </w:rPr>
        <w:t xml:space="preserve">quản lý, xử lý tài sản được xác lập quyền sở hữu </w:t>
      </w:r>
      <w:r>
        <w:rPr>
          <w:color w:val="000000"/>
        </w:rPr>
        <w:t xml:space="preserve">toàn dân</w:t>
      </w:r>
      <w:r>
        <w:rPr>
          <w:color w:val="000000"/>
          <w:lang w:val="vi-VN"/>
        </w:rPr>
        <w:t xml:space="preserve"> </w:t>
      </w:r>
      <w:r>
        <w:rPr>
          <w:color w:val="000000"/>
          <w:lang w:val="en-GB"/>
        </w:rPr>
        <w:t xml:space="preserve">(sau đây gọi là đơn vị chủ trì quản lý tài sản).</w:t>
      </w:r>
      <w:r>
        <w:rPr>
          <w:lang w:val="en-GB"/>
        </w:rPr>
      </w:r>
      <w:r>
        <w:rPr>
          <w:lang w:val="en-GB"/>
        </w:rPr>
      </w:r>
    </w:p>
    <w:p>
      <w:pPr>
        <w:pBdr/>
        <w:shd w:val="clear" w:color="auto" w:fill="ffffff"/>
        <w:spacing w:after="120" w:line="264" w:lineRule="auto"/>
        <w:ind w:firstLine="576"/>
        <w:jc w:val="both"/>
        <w:rPr>
          <w:color w:val="000000"/>
          <w:lang w:val="en-GB"/>
        </w:rPr>
      </w:pPr>
      <w:r>
        <w:rPr>
          <w:color w:val="000000"/>
        </w:rPr>
        <w:t xml:space="preserve">3.</w:t>
      </w:r>
      <w:r>
        <w:rPr>
          <w:color w:val="000000"/>
          <w:lang w:val="vi-VN"/>
        </w:rPr>
        <w:t xml:space="preserve"> Cơ quan được giao thực hiện nhiệm vụ </w:t>
      </w:r>
      <w:r>
        <w:rPr>
          <w:color w:val="000000"/>
          <w:lang w:val="vi-VN"/>
        </w:rPr>
        <w:t xml:space="preserve">quản lý</w:t>
      </w:r>
      <w:r>
        <w:rPr>
          <w:color w:val="000000"/>
          <w:lang w:val="en-GB"/>
        </w:rPr>
        <w:t xml:space="preserve"> tài sản công quy định tại khoản 3 Điều 19 Luật </w:t>
      </w:r>
      <w:r>
        <w:rPr>
          <w:color w:val="000000"/>
          <w:lang w:val="en-GB"/>
        </w:rPr>
        <w:t xml:space="preserve">Q</w:t>
      </w:r>
      <w:r>
        <w:rPr>
          <w:color w:val="000000"/>
          <w:lang w:val="en-GB"/>
        </w:rPr>
        <w:t xml:space="preserve">uản lý sử dụng tài sản công.</w:t>
      </w:r>
      <w:r>
        <w:rPr>
          <w:color w:val="000000"/>
          <w:lang w:val="en-GB"/>
        </w:rPr>
      </w:r>
      <w:r>
        <w:rPr>
          <w:color w:val="000000"/>
          <w:lang w:val="en-GB"/>
        </w:rPr>
      </w:r>
    </w:p>
    <w:p>
      <w:pPr>
        <w:pBdr/>
        <w:shd w:val="clear" w:color="auto" w:fill="ffffff"/>
        <w:spacing w:after="120" w:line="264" w:lineRule="auto"/>
        <w:ind w:firstLine="576"/>
        <w:jc w:val="both"/>
        <w:rPr>
          <w:color w:val="000000"/>
          <w:lang w:val="en-GB"/>
        </w:rPr>
      </w:pPr>
      <w:r>
        <w:rPr>
          <w:color w:val="000000"/>
          <w:lang w:val="en-GB"/>
        </w:rPr>
        <w:t xml:space="preserve">4. Các tổ chức, cá nhân khác có liên quan.</w:t>
      </w:r>
      <w:r>
        <w:rPr>
          <w:color w:val="000000"/>
          <w:lang w:val="en-GB"/>
        </w:rPr>
      </w:r>
      <w:r>
        <w:rPr>
          <w:color w:val="000000"/>
          <w:lang w:val="en-GB"/>
        </w:rPr>
      </w:r>
    </w:p>
    <w:p>
      <w:pPr>
        <w:widowControl w:val="false"/>
        <w:pBdr/>
        <w:spacing w:after="120" w:line="264" w:lineRule="auto"/>
        <w:ind w:firstLine="576"/>
        <w:jc w:val="both"/>
        <w:rPr>
          <w:b/>
          <w:spacing w:val="2"/>
          <w:lang w:val="nb-NO"/>
        </w:rPr>
      </w:pPr>
      <w:r>
        <w:rPr>
          <w:b/>
          <w:bCs/>
          <w:iCs/>
          <w:lang w:val="es-PR"/>
        </w:rPr>
        <w:t xml:space="preserve">Điều 3. </w:t>
      </w:r>
      <w:r>
        <w:rPr>
          <w:b/>
          <w:spacing w:val="2"/>
          <w:lang w:val="nb-NO"/>
        </w:rPr>
        <w:t xml:space="preserve">Thẩm quyền quyết định </w:t>
      </w:r>
      <w:r>
        <w:rPr>
          <w:b/>
          <w:spacing w:val="2"/>
          <w:lang w:val="nb-NO"/>
        </w:rPr>
        <w:t xml:space="preserve">phê duyệt phương án xử lý tài sản đối với tài sản </w:t>
      </w:r>
      <w:r>
        <w:rPr>
          <w:b/>
          <w:spacing w:val="2"/>
          <w:lang w:val="nb-NO"/>
        </w:rPr>
        <w:t xml:space="preserve">do người có thẩm quyền thuộc phạm vi quản lý của </w:t>
      </w:r>
      <w:r>
        <w:rPr>
          <w:b/>
          <w:spacing w:val="2"/>
          <w:lang w:val="nb-NO"/>
        </w:rPr>
        <w:t xml:space="preserve">địa phương</w:t>
      </w:r>
      <w:r>
        <w:rPr>
          <w:b/>
          <w:spacing w:val="2"/>
          <w:lang w:val="nb-NO"/>
        </w:rPr>
        <w:t xml:space="preserve"> ra quyết định tịch thu</w:t>
      </w:r>
      <w:r>
        <w:rPr>
          <w:b/>
          <w:spacing w:val="2"/>
          <w:lang w:val="nb-NO"/>
        </w:rPr>
      </w:r>
      <w:r>
        <w:rPr>
          <w:b/>
          <w:spacing w:val="2"/>
          <w:lang w:val="nb-NO"/>
        </w:rPr>
      </w:r>
    </w:p>
    <w:p>
      <w:pPr>
        <w:widowControl w:val="false"/>
        <w:pBdr/>
        <w:spacing w:after="120" w:line="264" w:lineRule="auto"/>
        <w:ind w:firstLine="576"/>
        <w:jc w:val="both"/>
        <w:rPr>
          <w:spacing w:val="2"/>
          <w:lang w:val="nb-NO"/>
        </w:rPr>
      </w:pPr>
      <w:r>
        <w:rPr>
          <w:spacing w:val="2"/>
          <w:lang w:val="nb-NO"/>
        </w:rPr>
        <w:t xml:space="preserve">1.</w:t>
      </w:r>
      <w:r>
        <w:rPr>
          <w:b/>
          <w:spacing w:val="2"/>
          <w:lang w:val="nb-NO"/>
        </w:rPr>
        <w:t xml:space="preserve"> </w:t>
      </w:r>
      <w:r>
        <w:rPr>
          <w:spacing w:val="2"/>
          <w:lang w:val="nb-NO"/>
        </w:rPr>
        <w:t xml:space="preserve">Chủ tịch </w:t>
      </w:r>
      <w:r>
        <w:rPr>
          <w:spacing w:val="2"/>
          <w:lang w:val="nb-NO"/>
        </w:rPr>
        <w:t xml:space="preserve">Ủy ban nhân dân tỉnh quyết định </w:t>
      </w:r>
      <w:r>
        <w:rPr>
          <w:spacing w:val="2"/>
          <w:lang w:val="nb-NO"/>
        </w:rPr>
        <w:t xml:space="preserve">phê duyệt phương án xử lý đối với tài sản là bất động sản, xe ô tô các loại</w:t>
      </w:r>
      <w:r>
        <w:rPr>
          <w:spacing w:val="2"/>
          <w:lang w:val="nb-NO"/>
        </w:rPr>
        <w:t xml:space="preserve"> do người có thẩm quyền thuộc địa phương quyết định tịch thu</w:t>
      </w:r>
      <w:r>
        <w:rPr>
          <w:spacing w:val="2"/>
          <w:lang w:val="nb-NO"/>
        </w:rPr>
        <w:t xml:space="preserve">.</w:t>
      </w:r>
      <w:r>
        <w:rPr>
          <w:spacing w:val="2"/>
          <w:lang w:val="nb-NO"/>
        </w:rPr>
      </w:r>
      <w:r>
        <w:rPr>
          <w:spacing w:val="2"/>
          <w:lang w:val="nb-NO"/>
        </w:rPr>
      </w:r>
    </w:p>
    <w:p>
      <w:pPr>
        <w:widowControl w:val="false"/>
        <w:pBdr/>
        <w:spacing w:after="120" w:line="264" w:lineRule="auto"/>
        <w:ind w:firstLine="576"/>
        <w:jc w:val="both"/>
        <w:rPr>
          <w:spacing w:val="2"/>
          <w:lang w:val="nb-NO"/>
        </w:rPr>
      </w:pPr>
      <w:r>
        <w:rPr>
          <w:spacing w:val="2"/>
          <w:lang w:val="nb-NO"/>
        </w:rPr>
        <w:t xml:space="preserve">2. </w:t>
      </w:r>
      <w:r>
        <w:rPr>
          <w:spacing w:val="2"/>
          <w:lang w:val="nb-NO"/>
        </w:rPr>
        <w:t xml:space="preserve">Cơ quan</w:t>
      </w:r>
      <w:r>
        <w:rPr>
          <w:spacing w:val="2"/>
          <w:lang w:val="nb-NO"/>
        </w:rPr>
        <w:t xml:space="preserve">, tổ chức, đơn vị</w:t>
      </w:r>
      <w:r>
        <w:rPr>
          <w:spacing w:val="2"/>
          <w:lang w:val="nb-NO"/>
        </w:rPr>
        <w:t xml:space="preserve"> </w:t>
      </w:r>
      <w:r>
        <w:rPr>
          <w:spacing w:val="2"/>
          <w:lang w:val="nb-NO"/>
        </w:rPr>
        <w:t xml:space="preserve">trình</w:t>
      </w:r>
      <w:r>
        <w:rPr>
          <w:spacing w:val="2"/>
          <w:lang w:val="nb-NO"/>
        </w:rPr>
        <w:t xml:space="preserve"> Chủ tịch Ủy ban nhân dân tỉnh </w:t>
      </w:r>
      <w:r>
        <w:rPr>
          <w:spacing w:val="2"/>
          <w:lang w:val="nb-NO"/>
        </w:rPr>
        <w:t xml:space="preserve">ra</w:t>
      </w:r>
      <w:r>
        <w:rPr>
          <w:spacing w:val="2"/>
          <w:lang w:val="nb-NO"/>
        </w:rPr>
        <w:t xml:space="preserve"> quyết định tịch thu phê duyệt phương án xử lý đối với tài sản do Chủ tịch Ủy ban nhân dân tỉnh quyết định tịch thu (trừ </w:t>
      </w:r>
      <w:r>
        <w:rPr>
          <w:spacing w:val="2"/>
          <w:lang w:val="nb-NO"/>
        </w:rPr>
        <w:t xml:space="preserve">các trường hợp quy định tại khoản 1 Điều này</w:t>
      </w:r>
      <w:r>
        <w:rPr>
          <w:spacing w:val="2"/>
          <w:lang w:val="nb-NO"/>
        </w:rPr>
        <w:t xml:space="preserve">).</w:t>
      </w:r>
      <w:r>
        <w:rPr>
          <w:spacing w:val="2"/>
          <w:lang w:val="nb-NO"/>
        </w:rPr>
      </w:r>
      <w:r>
        <w:rPr>
          <w:spacing w:val="2"/>
          <w:lang w:val="nb-NO"/>
        </w:rPr>
      </w:r>
    </w:p>
    <w:p>
      <w:pPr>
        <w:widowControl w:val="false"/>
        <w:pBdr/>
        <w:spacing w:after="120" w:line="264" w:lineRule="auto"/>
        <w:ind w:firstLine="576"/>
        <w:jc w:val="both"/>
        <w:rPr>
          <w:spacing w:val="2"/>
          <w:lang w:val="nb-NO"/>
        </w:rPr>
      </w:pPr>
      <w:r>
        <w:rPr>
          <w:spacing w:val="2"/>
          <w:lang w:val="nb-NO"/>
        </w:rPr>
        <w:t xml:space="preserve">3. </w:t>
      </w:r>
      <w:r>
        <w:rPr>
          <w:spacing w:val="2"/>
          <w:lang w:val="nb-NO"/>
        </w:rPr>
        <w:t xml:space="preserve">Cơ quan chuyên môn thuộc </w:t>
      </w:r>
      <w:r>
        <w:rPr>
          <w:spacing w:val="2"/>
          <w:lang w:val="nb-NO"/>
        </w:rPr>
        <w:t xml:space="preserve">Ủy</w:t>
      </w:r>
      <w:r>
        <w:rPr>
          <w:spacing w:val="2"/>
          <w:lang w:val="nb-NO"/>
        </w:rPr>
        <w:t xml:space="preserve"> ban nhân dân tỉnh phê duyệt phương án xử lý đối với tài sản do </w:t>
      </w:r>
      <w:r>
        <w:rPr>
          <w:spacing w:val="2"/>
          <w:lang w:val="nb-NO"/>
        </w:rPr>
        <w:t xml:space="preserve">Thủ trưởng </w:t>
      </w:r>
      <w:r>
        <w:rPr>
          <w:spacing w:val="2"/>
          <w:lang w:val="nb-NO"/>
        </w:rPr>
        <w:t xml:space="preserve">cơ quan </w:t>
      </w:r>
      <w:r>
        <w:rPr>
          <w:spacing w:val="2"/>
          <w:lang w:val="nb-NO"/>
        </w:rPr>
        <w:t xml:space="preserve">chuyên môn</w:t>
      </w:r>
      <w:r>
        <w:rPr>
          <w:spacing w:val="2"/>
          <w:lang w:val="nb-NO"/>
        </w:rPr>
        <w:t xml:space="preserve">, Thủ trưởng</w:t>
      </w:r>
      <w:r>
        <w:rPr>
          <w:spacing w:val="2"/>
          <w:lang w:val="nb-NO"/>
        </w:rPr>
        <w:t xml:space="preserve"> cơ quan trực thuộc cơ quan chuyên môn quyết định tịch thu (trừ </w:t>
      </w:r>
      <w:r>
        <w:rPr>
          <w:spacing w:val="2"/>
          <w:lang w:val="nb-NO"/>
        </w:rPr>
        <w:t xml:space="preserve">các trường hợp quy định tại </w:t>
      </w:r>
      <w:r>
        <w:rPr>
          <w:spacing w:val="2"/>
          <w:lang w:val="nb-NO"/>
        </w:rPr>
        <w:t xml:space="preserve">khoản 1 Điều này). </w:t>
      </w:r>
      <w:r>
        <w:rPr>
          <w:spacing w:val="2"/>
          <w:lang w:val="nb-NO"/>
        </w:rPr>
      </w:r>
      <w:r>
        <w:rPr>
          <w:spacing w:val="2"/>
          <w:lang w:val="nb-NO"/>
        </w:rPr>
      </w:r>
    </w:p>
    <w:p>
      <w:pPr>
        <w:widowControl w:val="false"/>
        <w:pBdr/>
        <w:spacing w:after="120" w:line="264" w:lineRule="auto"/>
        <w:ind w:firstLine="576"/>
        <w:jc w:val="both"/>
        <w:rPr>
          <w:spacing w:val="2"/>
          <w:lang w:val="nb-NO"/>
        </w:rPr>
      </w:pPr>
      <w:r>
        <w:rPr>
          <w:spacing w:val="2"/>
          <w:lang w:val="nb-NO"/>
        </w:rPr>
        <w:t xml:space="preserve">4. </w:t>
      </w:r>
      <w:r>
        <w:rPr>
          <w:spacing w:val="2"/>
          <w:lang w:val="nb-NO"/>
        </w:rPr>
        <w:t xml:space="preserve">Chủ tịch </w:t>
      </w:r>
      <w:r>
        <w:rPr>
          <w:spacing w:val="2"/>
          <w:lang w:val="nb-NO"/>
        </w:rPr>
        <w:t xml:space="preserve">Ủy</w:t>
      </w:r>
      <w:r>
        <w:rPr>
          <w:spacing w:val="2"/>
          <w:lang w:val="nb-NO"/>
        </w:rPr>
        <w:t xml:space="preserve"> ban nhân dân cấp xã </w:t>
      </w:r>
      <w:r>
        <w:rPr>
          <w:spacing w:val="2"/>
          <w:lang w:val="nb-NO"/>
        </w:rPr>
        <w:t xml:space="preserve">quyết định phê duyệt phương án xử lý đối với tài sản</w:t>
      </w:r>
      <w:r>
        <w:rPr>
          <w:spacing w:val="2"/>
          <w:lang w:val="nb-NO"/>
        </w:rPr>
        <w:t xml:space="preserve"> do </w:t>
      </w:r>
      <w:r>
        <w:rPr>
          <w:spacing w:val="2"/>
          <w:lang w:val="nb-NO"/>
        </w:rPr>
        <w:t xml:space="preserve">người có thẩm quy</w:t>
      </w:r>
      <w:bookmarkStart w:id="0" w:name="_GoBack"/>
      <w:r/>
      <w:bookmarkEnd w:id="0"/>
      <w:r>
        <w:rPr>
          <w:spacing w:val="2"/>
          <w:lang w:val="nb-NO"/>
        </w:rPr>
        <w:t xml:space="preserve">ền thuộc cấp xã quyết định tịch thu (trừ </w:t>
      </w:r>
      <w:r>
        <w:rPr>
          <w:spacing w:val="2"/>
          <w:lang w:val="nb-NO"/>
        </w:rPr>
        <w:t xml:space="preserve">các trường hợp quy định tại </w:t>
      </w:r>
      <w:r>
        <w:rPr>
          <w:spacing w:val="2"/>
          <w:lang w:val="nb-NO"/>
        </w:rPr>
        <w:t xml:space="preserve">khoản 1 Điều này)</w:t>
      </w:r>
      <w:r>
        <w:rPr>
          <w:spacing w:val="2"/>
          <w:lang w:val="nb-NO"/>
        </w:rPr>
        <w:t xml:space="preserve">.</w:t>
      </w:r>
      <w:r>
        <w:rPr>
          <w:spacing w:val="2"/>
          <w:lang w:val="nb-NO"/>
        </w:rPr>
      </w:r>
      <w:r>
        <w:rPr>
          <w:spacing w:val="2"/>
          <w:lang w:val="nb-NO"/>
        </w:rPr>
      </w:r>
    </w:p>
    <w:p>
      <w:pPr>
        <w:widowControl w:val="false"/>
        <w:pBdr/>
        <w:spacing w:after="120" w:line="264" w:lineRule="auto"/>
        <w:ind w:firstLine="576"/>
        <w:jc w:val="both"/>
        <w:rPr>
          <w:b/>
          <w:spacing w:val="2"/>
          <w:lang w:val="nb-NO"/>
        </w:rPr>
      </w:pPr>
      <w:r>
        <w:rPr>
          <w:b/>
          <w:bCs/>
          <w:iCs/>
          <w:lang w:val="nl-NL"/>
        </w:rPr>
        <w:t xml:space="preserve">Điều 4. </w:t>
      </w:r>
      <w:r>
        <w:rPr>
          <w:b/>
          <w:spacing w:val="2"/>
          <w:lang w:val="nb-NO"/>
        </w:rPr>
        <w:t xml:space="preserve">Thẩm quyền quyết định phê duyệt phương án xử lý đối với tài sản là vật chứng vụ án, tài sản của người bị kết án bị tịch thu</w:t>
      </w:r>
      <w:r>
        <w:rPr>
          <w:b/>
          <w:spacing w:val="2"/>
          <w:lang w:val="nb-NO"/>
        </w:rPr>
        <w:t xml:space="preserve"> và đã có quyết định thi hành án của cơ quan có thẩm quyền</w:t>
      </w:r>
      <w:r>
        <w:rPr>
          <w:b/>
          <w:spacing w:val="2"/>
          <w:lang w:val="nb-NO"/>
        </w:rPr>
      </w:r>
      <w:r>
        <w:rPr>
          <w:b/>
          <w:spacing w:val="2"/>
          <w:lang w:val="nb-NO"/>
        </w:rPr>
      </w:r>
    </w:p>
    <w:p>
      <w:pPr>
        <w:widowControl w:val="false"/>
        <w:pBdr/>
        <w:spacing w:after="120" w:line="264" w:lineRule="auto"/>
        <w:ind w:firstLine="576"/>
        <w:jc w:val="both"/>
        <w:rPr>
          <w:spacing w:val="2"/>
          <w:lang w:val="nb-NO"/>
        </w:rPr>
      </w:pPr>
      <w:r>
        <w:rPr>
          <w:spacing w:val="2"/>
          <w:lang w:val="nb-NO"/>
        </w:rPr>
        <w:t xml:space="preserve">1.</w:t>
      </w:r>
      <w:r>
        <w:rPr>
          <w:b/>
          <w:spacing w:val="2"/>
          <w:lang w:val="nb-NO"/>
        </w:rPr>
        <w:t xml:space="preserve"> </w:t>
      </w:r>
      <w:r>
        <w:rPr>
          <w:spacing w:val="2"/>
          <w:lang w:val="nb-NO"/>
        </w:rPr>
        <w:t xml:space="preserve">Chủ tịch </w:t>
      </w:r>
      <w:r>
        <w:rPr>
          <w:spacing w:val="2"/>
          <w:lang w:val="nb-NO"/>
        </w:rPr>
        <w:t xml:space="preserve">Ủy ban nhân dân tỉnh quyết định phê duyệt phương án xử lý đối với tài sản là bất động sản, xe ô tô các loại do </w:t>
      </w:r>
      <w:r>
        <w:rPr>
          <w:spacing w:val="2"/>
          <w:lang w:val="nb-NO"/>
        </w:rPr>
        <w:t xml:space="preserve">cơ quan thi hành án </w:t>
      </w:r>
      <w:r>
        <w:rPr>
          <w:spacing w:val="2"/>
          <w:lang w:val="nb-NO"/>
        </w:rPr>
        <w:t xml:space="preserve">các cấp</w:t>
      </w:r>
      <w:r>
        <w:rPr>
          <w:spacing w:val="2"/>
          <w:lang w:val="nb-NO"/>
        </w:rPr>
        <w:t xml:space="preserve"> chuyển giao</w:t>
      </w:r>
      <w:r>
        <w:rPr>
          <w:spacing w:val="2"/>
          <w:lang w:val="nb-NO"/>
        </w:rPr>
        <w:t xml:space="preserve">.</w:t>
      </w:r>
      <w:r>
        <w:rPr>
          <w:spacing w:val="2"/>
          <w:lang w:val="nb-NO"/>
        </w:rPr>
      </w:r>
      <w:r>
        <w:rPr>
          <w:spacing w:val="2"/>
          <w:lang w:val="nb-NO"/>
        </w:rPr>
      </w:r>
    </w:p>
    <w:p>
      <w:pPr>
        <w:widowControl w:val="false"/>
        <w:pBdr/>
        <w:spacing w:after="120" w:line="264" w:lineRule="auto"/>
        <w:ind w:firstLine="576"/>
        <w:jc w:val="both"/>
        <w:rPr>
          <w:spacing w:val="2"/>
          <w:lang w:val="nb-NO"/>
        </w:rPr>
      </w:pPr>
      <w:r>
        <w:rPr>
          <w:spacing w:val="2"/>
          <w:lang w:val="nb-NO"/>
        </w:rPr>
        <w:t xml:space="preserve">2. </w:t>
      </w:r>
      <w:r>
        <w:rPr>
          <w:spacing w:val="2"/>
          <w:lang w:val="nb-NO"/>
        </w:rPr>
        <w:t xml:space="preserve">Sở Tài chính quyết định</w:t>
      </w:r>
      <w:r>
        <w:rPr>
          <w:spacing w:val="2"/>
          <w:lang w:val="nb-NO"/>
        </w:rPr>
        <w:t xml:space="preserve"> phê duyệt phương án xử lý đối với tài sản do </w:t>
      </w:r>
      <w:r>
        <w:rPr>
          <w:spacing w:val="2"/>
          <w:lang w:val="nb-NO"/>
        </w:rPr>
        <w:t xml:space="preserve">cơ quan thi hành án cấp tỉnh và cấp quân khu chuyển giao </w:t>
      </w:r>
      <w:r>
        <w:rPr>
          <w:spacing w:val="2"/>
          <w:lang w:val="nb-NO"/>
        </w:rPr>
        <w:t xml:space="preserve">(trừ </w:t>
      </w:r>
      <w:r>
        <w:rPr>
          <w:spacing w:val="2"/>
          <w:lang w:val="nb-NO"/>
        </w:rPr>
        <w:t xml:space="preserve">các trường hợp quy định tại </w:t>
      </w:r>
      <w:r>
        <w:rPr>
          <w:spacing w:val="2"/>
          <w:lang w:val="nb-NO"/>
        </w:rPr>
        <w:t xml:space="preserve">khoản 1 Điều này). </w:t>
      </w:r>
      <w:r>
        <w:rPr>
          <w:spacing w:val="2"/>
          <w:lang w:val="nb-NO"/>
        </w:rPr>
      </w:r>
      <w:r>
        <w:rPr>
          <w:spacing w:val="2"/>
          <w:lang w:val="nb-NO"/>
        </w:rPr>
      </w:r>
    </w:p>
    <w:p>
      <w:pPr>
        <w:widowControl w:val="false"/>
        <w:pBdr/>
        <w:spacing w:after="120" w:line="264" w:lineRule="auto"/>
        <w:ind w:firstLine="576"/>
        <w:jc w:val="both"/>
        <w:rPr>
          <w:spacing w:val="2"/>
          <w:lang w:val="nb-NO"/>
        </w:rPr>
      </w:pPr>
      <w:r>
        <w:rPr>
          <w:spacing w:val="2"/>
          <w:lang w:val="nb-NO"/>
        </w:rPr>
        <w:t xml:space="preserve">3. </w:t>
      </w:r>
      <w:r>
        <w:rPr>
          <w:spacing w:val="2"/>
          <w:lang w:val="nb-NO"/>
        </w:rPr>
        <w:t xml:space="preserve">Chủ tịch </w:t>
      </w:r>
      <w:r>
        <w:rPr>
          <w:spacing w:val="2"/>
          <w:lang w:val="nb-NO"/>
        </w:rPr>
        <w:t xml:space="preserve">Ủy</w:t>
      </w:r>
      <w:r>
        <w:rPr>
          <w:spacing w:val="2"/>
          <w:lang w:val="nb-NO"/>
        </w:rPr>
        <w:t xml:space="preserve"> ban nhân dân </w:t>
      </w:r>
      <w:r>
        <w:rPr>
          <w:spacing w:val="2"/>
          <w:lang w:val="nb-NO"/>
        </w:rPr>
        <w:t xml:space="preserve">cấp</w:t>
      </w:r>
      <w:r>
        <w:rPr>
          <w:spacing w:val="2"/>
          <w:lang w:val="nb-NO"/>
        </w:rPr>
        <w:t xml:space="preserve"> xã</w:t>
      </w:r>
      <w:r>
        <w:rPr>
          <w:spacing w:val="2"/>
          <w:lang w:val="nb-NO"/>
        </w:rPr>
        <w:t xml:space="preserve"> </w:t>
      </w:r>
      <w:r>
        <w:rPr>
          <w:spacing w:val="2"/>
          <w:lang w:val="nb-NO"/>
        </w:rPr>
        <w:t xml:space="preserve">quyết định phê duyệt phương án xử lý đối với tài sản do </w:t>
      </w:r>
      <w:r>
        <w:rPr>
          <w:spacing w:val="2"/>
          <w:lang w:val="nb-NO"/>
        </w:rPr>
        <w:t xml:space="preserve">cơ quan thi hành án khu vực chuyển giao</w:t>
      </w:r>
      <w:r>
        <w:rPr>
          <w:spacing w:val="2"/>
          <w:lang w:val="nb-NO"/>
        </w:rPr>
        <w:t xml:space="preserve"> (trừ </w:t>
      </w:r>
      <w:r>
        <w:rPr>
          <w:spacing w:val="2"/>
          <w:lang w:val="nb-NO"/>
        </w:rPr>
        <w:t xml:space="preserve">các trường hợp quy định tại </w:t>
      </w:r>
      <w:r>
        <w:rPr>
          <w:spacing w:val="2"/>
          <w:lang w:val="nb-NO"/>
        </w:rPr>
        <w:t xml:space="preserve">khoản 1 Điều này).</w:t>
      </w:r>
      <w:r>
        <w:rPr>
          <w:spacing w:val="2"/>
          <w:lang w:val="nb-NO"/>
        </w:rPr>
      </w:r>
      <w:r>
        <w:rPr>
          <w:spacing w:val="2"/>
          <w:lang w:val="nb-NO"/>
        </w:rPr>
      </w:r>
    </w:p>
    <w:p>
      <w:pPr>
        <w:widowControl w:val="false"/>
        <w:pBdr/>
        <w:spacing w:after="120" w:line="264" w:lineRule="auto"/>
        <w:ind w:firstLine="576"/>
        <w:jc w:val="both"/>
        <w:rPr>
          <w:b/>
          <w:spacing w:val="2"/>
          <w:lang w:val="nb-NO"/>
        </w:rPr>
      </w:pPr>
      <w:r>
        <w:rPr>
          <w:b/>
          <w:spacing w:val="2"/>
          <w:lang w:val="nb-NO"/>
        </w:rPr>
        <w:t xml:space="preserve">Điều 5. Thẩm quyền quyết định xác lập quyền sở hữu toàn dân</w:t>
      </w:r>
      <w:r>
        <w:rPr>
          <w:b/>
          <w:spacing w:val="2"/>
          <w:lang w:val="nb-NO"/>
        </w:rPr>
        <w:t xml:space="preserve"> và phê duyệt phương án xử lý tài sản đối với tài sản chuyển giao cho Nhà nước Việt Nam thông qua chính quyền địa phương</w:t>
      </w:r>
      <w:r>
        <w:rPr>
          <w:b/>
          <w:spacing w:val="2"/>
          <w:lang w:val="nb-NO"/>
        </w:rPr>
      </w:r>
      <w:r>
        <w:rPr>
          <w:b/>
          <w:spacing w:val="2"/>
          <w:lang w:val="nb-NO"/>
        </w:rPr>
      </w:r>
    </w:p>
    <w:p>
      <w:pPr>
        <w:pStyle w:val="943"/>
        <w:widowControl w:val="false"/>
        <w:numPr>
          <w:ilvl w:val="0"/>
          <w:numId w:val="7"/>
        </w:numPr>
        <w:pBdr/>
        <w:tabs>
          <w:tab w:val="left" w:leader="none" w:pos="851"/>
        </w:tabs>
        <w:spacing w:after="120" w:line="264" w:lineRule="auto"/>
        <w:ind w:firstLine="576" w:left="0"/>
        <w:contextualSpacing w:val="false"/>
        <w:jc w:val="both"/>
        <w:rPr>
          <w:spacing w:val="2"/>
          <w:lang w:val="nb-NO"/>
        </w:rPr>
      </w:pPr>
      <w:r>
        <w:rPr>
          <w:spacing w:val="2"/>
          <w:lang w:val="nb-NO"/>
        </w:rPr>
        <w:t xml:space="preserve">Chủ tịch </w:t>
      </w:r>
      <w:r>
        <w:rPr>
          <w:spacing w:val="2"/>
          <w:lang w:val="nb-NO"/>
        </w:rPr>
        <w:t xml:space="preserve">Ủy ban nhân dân tỉnh quyết định xác lập quyền sở hữu toàn dân </w:t>
      </w:r>
      <w:r>
        <w:rPr>
          <w:spacing w:val="2"/>
          <w:lang w:val="nb-NO"/>
        </w:rPr>
        <w:t xml:space="preserve">và phê duyệt phương án xử lý </w:t>
      </w:r>
      <w:r>
        <w:rPr>
          <w:spacing w:val="2"/>
          <w:lang w:val="nb-NO"/>
        </w:rPr>
        <w:t xml:space="preserve">đối với tài sản là bất động sản, xe ô tô các loại</w:t>
      </w:r>
      <w:r>
        <w:rPr>
          <w:spacing w:val="2"/>
          <w:lang w:val="nb-NO"/>
        </w:rPr>
        <w:t xml:space="preserve"> do tổ chức, cá nhân chuyển giao cho Nhà nước Việt Nam thông qua chính quyền địa phương</w:t>
      </w:r>
      <w:r>
        <w:rPr>
          <w:spacing w:val="2"/>
          <w:lang w:val="nb-NO"/>
        </w:rPr>
        <w:t xml:space="preserve">.</w:t>
      </w:r>
      <w:r>
        <w:rPr>
          <w:spacing w:val="2"/>
          <w:lang w:val="nb-NO"/>
        </w:rPr>
      </w:r>
      <w:r>
        <w:rPr>
          <w:spacing w:val="2"/>
          <w:lang w:val="nb-NO"/>
        </w:rPr>
      </w:r>
    </w:p>
    <w:p>
      <w:pPr>
        <w:pStyle w:val="943"/>
        <w:widowControl w:val="false"/>
        <w:numPr>
          <w:ilvl w:val="0"/>
          <w:numId w:val="7"/>
        </w:numPr>
        <w:pBdr/>
        <w:tabs>
          <w:tab w:val="left" w:leader="none" w:pos="851"/>
        </w:tabs>
        <w:spacing w:after="120" w:line="264" w:lineRule="auto"/>
        <w:ind w:firstLine="576" w:left="0"/>
        <w:contextualSpacing w:val="false"/>
        <w:jc w:val="both"/>
        <w:rPr>
          <w:spacing w:val="2"/>
          <w:lang w:val="nb-NO"/>
        </w:rPr>
      </w:pPr>
      <w:r>
        <w:rPr>
          <w:spacing w:val="2"/>
          <w:lang w:val="nb-NO"/>
        </w:rPr>
        <w:t xml:space="preserve">Sở Tài chính quyết định </w:t>
      </w:r>
      <w:r>
        <w:rPr>
          <w:spacing w:val="2"/>
          <w:lang w:val="nb-NO"/>
        </w:rPr>
        <w:t xml:space="preserve">xác lập quyền sở hữu toàn dân </w:t>
      </w:r>
      <w:r>
        <w:rPr>
          <w:spacing w:val="2"/>
          <w:lang w:val="nb-NO"/>
        </w:rPr>
        <w:t xml:space="preserve">và phê duyệt phương án xử lý </w:t>
      </w:r>
      <w:r>
        <w:rPr>
          <w:spacing w:val="2"/>
          <w:lang w:val="nb-NO"/>
        </w:rPr>
        <w:t xml:space="preserve">đối với tài sản</w:t>
      </w:r>
      <w:r>
        <w:rPr>
          <w:spacing w:val="2"/>
          <w:lang w:val="nb-NO"/>
        </w:rPr>
        <w:t xml:space="preserve"> do tổ chức, cá nhân chuyển giao cho Nhà nước Việt Nam thông qua chính quyền địa phương</w:t>
      </w:r>
      <w:r>
        <w:rPr>
          <w:spacing w:val="2"/>
          <w:lang w:val="nb-NO"/>
        </w:rPr>
        <w:t xml:space="preserve"> và </w:t>
      </w:r>
      <w:r>
        <w:rPr>
          <w:spacing w:val="2"/>
          <w:lang w:val="nb-NO"/>
        </w:rPr>
        <w:t xml:space="preserve">không</w:t>
      </w:r>
      <w:r>
        <w:rPr>
          <w:spacing w:val="2"/>
          <w:lang w:val="nb-NO"/>
        </w:rPr>
        <w:t xml:space="preserve"> xác định cụ thể cơ quan, tổ chức, đơn vị tiếp nhận tài sản</w:t>
      </w:r>
      <w:r>
        <w:rPr>
          <w:spacing w:val="2"/>
          <w:lang w:val="nb-NO"/>
        </w:rPr>
        <w:t xml:space="preserve"> </w:t>
      </w:r>
      <w:r>
        <w:rPr>
          <w:spacing w:val="2"/>
          <w:lang w:val="nb-NO"/>
        </w:rPr>
        <w:t xml:space="preserve">(trừ </w:t>
      </w:r>
      <w:r>
        <w:rPr>
          <w:spacing w:val="2"/>
          <w:lang w:val="nb-NO"/>
        </w:rPr>
        <w:t xml:space="preserve">các trường hợp quy định tại </w:t>
      </w:r>
      <w:r>
        <w:rPr>
          <w:spacing w:val="2"/>
          <w:lang w:val="nb-NO"/>
        </w:rPr>
        <w:t xml:space="preserve">khoản 1 Điều này). </w:t>
      </w:r>
      <w:r>
        <w:rPr>
          <w:spacing w:val="2"/>
          <w:lang w:val="nb-NO"/>
        </w:rPr>
      </w:r>
      <w:r>
        <w:rPr>
          <w:spacing w:val="2"/>
          <w:lang w:val="nb-NO"/>
        </w:rPr>
      </w:r>
    </w:p>
    <w:p>
      <w:pPr>
        <w:pStyle w:val="943"/>
        <w:widowControl w:val="false"/>
        <w:numPr>
          <w:ilvl w:val="0"/>
          <w:numId w:val="7"/>
        </w:numPr>
        <w:pBdr/>
        <w:tabs>
          <w:tab w:val="left" w:leader="none" w:pos="851"/>
        </w:tabs>
        <w:spacing w:after="120" w:line="264" w:lineRule="auto"/>
        <w:ind w:firstLine="576" w:left="0"/>
        <w:contextualSpacing w:val="false"/>
        <w:jc w:val="both"/>
        <w:rPr>
          <w:spacing w:val="2"/>
          <w:lang w:val="nb-NO"/>
        </w:rPr>
      </w:pPr>
      <w:r>
        <w:rPr>
          <w:spacing w:val="2"/>
          <w:lang w:val="nb-NO"/>
        </w:rPr>
        <w:t xml:space="preserve">Cơ quan chuyên môn</w:t>
      </w:r>
      <w:r>
        <w:rPr>
          <w:spacing w:val="2"/>
          <w:lang w:val="nb-NO"/>
        </w:rPr>
        <w:t xml:space="preserve"> thuộc </w:t>
      </w:r>
      <w:r>
        <w:rPr>
          <w:spacing w:val="2"/>
          <w:lang w:val="nb-NO"/>
        </w:rPr>
        <w:t xml:space="preserve">Ủy</w:t>
      </w:r>
      <w:r>
        <w:rPr>
          <w:spacing w:val="2"/>
          <w:lang w:val="nb-NO"/>
        </w:rPr>
        <w:t xml:space="preserve"> ban nhân dân tỉnh</w:t>
      </w:r>
      <w:r>
        <w:rPr>
          <w:spacing w:val="2"/>
          <w:lang w:val="nb-NO"/>
        </w:rPr>
        <w:t xml:space="preserve"> quyết định xác lập quyền sở hữu toàn dân </w:t>
      </w:r>
      <w:r>
        <w:rPr>
          <w:spacing w:val="2"/>
          <w:lang w:val="nb-NO"/>
        </w:rPr>
        <w:t xml:space="preserve">và phê duyệt phương án xử lý </w:t>
      </w:r>
      <w:r>
        <w:rPr>
          <w:spacing w:val="2"/>
          <w:lang w:val="nb-NO"/>
        </w:rPr>
        <w:t xml:space="preserve">đối với tài sản do tổ chức, cá nhân chuyển giao cho Nhà nước Việt Nam thông qua chính quyền địa phương và đã xác định cụ thể cơ quan, tổ chức, đơn vị cấp tỉnh tiếp nhận tài sản (trừ </w:t>
      </w:r>
      <w:r>
        <w:rPr>
          <w:spacing w:val="2"/>
          <w:lang w:val="nb-NO"/>
        </w:rPr>
        <w:t xml:space="preserve">các trường hợp quy định tại </w:t>
      </w:r>
      <w:r>
        <w:rPr>
          <w:spacing w:val="2"/>
          <w:lang w:val="nb-NO"/>
        </w:rPr>
        <w:t xml:space="preserve">khoản 1 Điều này).</w:t>
      </w:r>
      <w:r>
        <w:rPr>
          <w:spacing w:val="2"/>
          <w:lang w:val="nb-NO"/>
        </w:rPr>
      </w:r>
      <w:r>
        <w:rPr>
          <w:spacing w:val="2"/>
          <w:lang w:val="nb-NO"/>
        </w:rPr>
      </w:r>
    </w:p>
    <w:p>
      <w:pPr>
        <w:pStyle w:val="943"/>
        <w:widowControl w:val="false"/>
        <w:numPr>
          <w:ilvl w:val="0"/>
          <w:numId w:val="7"/>
        </w:numPr>
        <w:pBdr/>
        <w:tabs>
          <w:tab w:val="left" w:leader="none" w:pos="851"/>
        </w:tabs>
        <w:spacing w:after="120" w:line="264" w:lineRule="auto"/>
        <w:ind w:firstLine="576" w:left="0"/>
        <w:contextualSpacing w:val="false"/>
        <w:jc w:val="both"/>
        <w:rPr>
          <w:spacing w:val="2"/>
          <w:lang w:val="nb-NO"/>
        </w:rPr>
      </w:pPr>
      <w:r>
        <w:rPr>
          <w:spacing w:val="2"/>
          <w:lang w:val="nb-NO"/>
        </w:rPr>
        <w:t xml:space="preserve">Chủ tịch </w:t>
      </w:r>
      <w:r>
        <w:rPr>
          <w:spacing w:val="2"/>
          <w:lang w:val="nb-NO"/>
        </w:rPr>
        <w:t xml:space="preserve">Ủy</w:t>
      </w:r>
      <w:r>
        <w:rPr>
          <w:spacing w:val="2"/>
          <w:lang w:val="nb-NO"/>
        </w:rPr>
        <w:t xml:space="preserve"> ban nhân dân cấp xã quyết định </w:t>
      </w:r>
      <w:r>
        <w:rPr>
          <w:spacing w:val="2"/>
          <w:lang w:val="nb-NO"/>
        </w:rPr>
        <w:t xml:space="preserve">xác lập quyền sở hữu toàn dân </w:t>
      </w:r>
      <w:r>
        <w:rPr>
          <w:spacing w:val="2"/>
          <w:lang w:val="nb-NO"/>
        </w:rPr>
        <w:t xml:space="preserve">và phê duyệt phương án xử lý </w:t>
      </w:r>
      <w:r>
        <w:rPr>
          <w:spacing w:val="2"/>
          <w:lang w:val="nb-NO"/>
        </w:rPr>
        <w:t xml:space="preserve">đối với tài sản do tổ chức, cá nhân chuyển giao cho Nhà nước Việt Nam thông qua chính quyền địa phương </w:t>
      </w:r>
      <w:r>
        <w:rPr>
          <w:spacing w:val="2"/>
          <w:lang w:val="nb-NO"/>
        </w:rPr>
        <w:t xml:space="preserve">và đã xác định cụ thể cơ quan, tổ chức, đơn vị cấp </w:t>
      </w:r>
      <w:r>
        <w:rPr>
          <w:spacing w:val="2"/>
          <w:lang w:val="nb-NO"/>
        </w:rPr>
        <w:t xml:space="preserve">xã</w:t>
      </w:r>
      <w:r>
        <w:rPr>
          <w:spacing w:val="2"/>
          <w:lang w:val="nb-NO"/>
        </w:rPr>
        <w:t xml:space="preserve"> tiếp nhận tài sản </w:t>
      </w:r>
      <w:r>
        <w:rPr>
          <w:spacing w:val="2"/>
          <w:lang w:val="nb-NO"/>
        </w:rPr>
        <w:t xml:space="preserve">(trừ </w:t>
      </w:r>
      <w:r>
        <w:rPr>
          <w:spacing w:val="2"/>
          <w:lang w:val="nb-NO"/>
        </w:rPr>
        <w:t xml:space="preserve">các trường hợp quy định tại </w:t>
      </w:r>
      <w:r>
        <w:rPr>
          <w:spacing w:val="2"/>
          <w:lang w:val="nb-NO"/>
        </w:rPr>
        <w:t xml:space="preserve">khoản 1 Điều này)</w:t>
      </w:r>
      <w:r>
        <w:rPr>
          <w:spacing w:val="2"/>
          <w:lang w:val="nb-NO"/>
        </w:rPr>
        <w:t xml:space="preserve">.</w:t>
      </w:r>
      <w:r>
        <w:rPr>
          <w:spacing w:val="2"/>
          <w:lang w:val="nb-NO"/>
        </w:rPr>
      </w:r>
      <w:r>
        <w:rPr>
          <w:spacing w:val="2"/>
          <w:lang w:val="nb-NO"/>
        </w:rPr>
      </w:r>
    </w:p>
    <w:p>
      <w:pPr>
        <w:pBdr/>
        <w:spacing w:after="120" w:line="264" w:lineRule="auto"/>
        <w:ind w:firstLine="576"/>
        <w:jc w:val="both"/>
        <w:rPr>
          <w:b/>
          <w:bCs/>
          <w:color w:val="000000"/>
        </w:rPr>
      </w:pPr>
      <w:r>
        <w:rPr>
          <w:b/>
          <w:bCs/>
          <w:color w:val="000000"/>
        </w:rPr>
        <w:t xml:space="preserve">Điều 6</w:t>
      </w:r>
      <w:r>
        <w:rPr>
          <w:b/>
          <w:bCs/>
          <w:color w:val="000000"/>
        </w:rPr>
        <w:t xml:space="preserve">. Điều khoản chuyển tiếp</w:t>
      </w:r>
      <w:r>
        <w:rPr>
          <w:b/>
          <w:bCs/>
          <w:color w:val="000000"/>
        </w:rPr>
      </w:r>
      <w:r>
        <w:rPr>
          <w:b/>
          <w:bCs/>
          <w:color w:val="000000"/>
        </w:rPr>
      </w:r>
    </w:p>
    <w:p>
      <w:pPr>
        <w:pBdr/>
        <w:spacing w:after="120" w:line="264" w:lineRule="auto"/>
        <w:ind w:firstLine="576"/>
        <w:jc w:val="both"/>
        <w:rPr>
          <w:bCs/>
          <w:color w:val="000000"/>
        </w:rPr>
      </w:pPr>
      <w:r>
        <w:rPr>
          <w:bCs/>
          <w:color w:val="000000"/>
        </w:rPr>
        <w:t xml:space="preserve">1. Đối với trường hợp chưa được cơ quan, người có thẩm quyền quyết định phê duyệt phương án xử lý tài sản theo quy định trước ngày Quyết định này có hiệu lực thi hành thì thực hiện theo quy định tại Quyết định này.</w:t>
      </w:r>
      <w:r>
        <w:rPr>
          <w:bCs/>
          <w:color w:val="000000"/>
        </w:rPr>
      </w:r>
      <w:r>
        <w:rPr>
          <w:bCs/>
          <w:color w:val="000000"/>
        </w:rPr>
      </w:r>
    </w:p>
    <w:p>
      <w:pPr>
        <w:pBdr/>
        <w:spacing w:after="120" w:line="264" w:lineRule="auto"/>
        <w:ind w:firstLine="576"/>
        <w:jc w:val="both"/>
        <w:rPr>
          <w:bCs/>
          <w:color w:val="000000"/>
        </w:rPr>
      </w:pPr>
      <w:r>
        <w:rPr>
          <w:bCs/>
          <w:color w:val="000000"/>
        </w:rPr>
        <w:t xml:space="preserve">2. Đối với trường hợp đã được cơ quan, người có thẩm quyền quyết định phê duyệt phương án xử lý tài sản theo</w:t>
      </w:r>
      <w:r>
        <w:rPr>
          <w:bCs/>
          <w:color w:val="000000"/>
        </w:rPr>
        <w:t xml:space="preserve"> quy định trước ngày Quyết định này có hiệu lực thi hành nhưng chưa hoàn thành việc xử lý thì các công việc chưa thực hiện được thực hiện theo quy định tại Nghị định số 77/2025/NĐ-CP ngày 01/4/2025, đã được sửa đổi, bổ sung tại Nghị định số 286/2025/NĐ-CP </w:t>
      </w:r>
      <w:r>
        <w:rPr>
          <w:bCs/>
          <w:color w:val="000000"/>
        </w:rPr>
        <w:t xml:space="preserve">ngày 03/11/2025 của Chính phủ.</w:t>
      </w:r>
      <w:r>
        <w:rPr>
          <w:bCs/>
          <w:color w:val="000000"/>
        </w:rPr>
      </w:r>
      <w:r>
        <w:rPr>
          <w:bCs/>
          <w:color w:val="000000"/>
        </w:rPr>
      </w:r>
    </w:p>
    <w:p>
      <w:pPr>
        <w:pBdr/>
        <w:spacing w:after="120" w:line="264" w:lineRule="auto"/>
        <w:ind w:firstLine="576"/>
        <w:jc w:val="both"/>
        <w:rPr>
          <w:sz w:val="24"/>
          <w:szCs w:val="24"/>
        </w:rPr>
      </w:pPr>
      <w:r>
        <w:rPr>
          <w:b/>
          <w:bCs/>
          <w:color w:val="000000"/>
        </w:rPr>
        <w:t xml:space="preserve">Điều </w:t>
      </w:r>
      <w:r>
        <w:rPr>
          <w:b/>
          <w:bCs/>
          <w:color w:val="000000"/>
        </w:rPr>
        <w:t xml:space="preserve">7</w:t>
      </w:r>
      <w:r>
        <w:rPr>
          <w:b/>
          <w:bCs/>
          <w:color w:val="000000"/>
        </w:rPr>
        <w:t xml:space="preserve">. Điều khoản thi hành</w:t>
      </w:r>
      <w:r>
        <w:rPr>
          <w:sz w:val="24"/>
          <w:szCs w:val="24"/>
        </w:rPr>
      </w:r>
      <w:r>
        <w:rPr>
          <w:sz w:val="24"/>
          <w:szCs w:val="24"/>
        </w:rPr>
      </w:r>
    </w:p>
    <w:p>
      <w:pPr>
        <w:pBdr/>
        <w:spacing w:after="120" w:line="264" w:lineRule="auto"/>
        <w:ind w:firstLine="576"/>
        <w:jc w:val="both"/>
        <w:rPr>
          <w:sz w:val="24"/>
          <w:szCs w:val="24"/>
        </w:rPr>
      </w:pPr>
      <w:r>
        <w:rPr>
          <w:color w:val="000000"/>
        </w:rPr>
        <w:t xml:space="preserve">1. Quyết định này có hiệu lực thi hành kể từ ngày</w:t>
      </w:r>
      <w:r>
        <w:rPr>
          <w:color w:val="000000"/>
        </w:rPr>
        <w:t xml:space="preserve"> 23</w:t>
      </w:r>
      <w:r>
        <w:rPr>
          <w:color w:val="000000"/>
        </w:rPr>
        <w:t xml:space="preserve">/</w:t>
      </w:r>
      <w:r>
        <w:rPr>
          <w:color w:val="000000"/>
        </w:rPr>
        <w:t xml:space="preserve">3</w:t>
      </w:r>
      <w:r>
        <w:rPr>
          <w:color w:val="000000"/>
        </w:rPr>
        <w:t xml:space="preserve">/</w:t>
      </w:r>
      <w:r>
        <w:rPr>
          <w:color w:val="000000"/>
        </w:rPr>
        <w:t xml:space="preserve">2026</w:t>
      </w:r>
      <w:r>
        <w:rPr>
          <w:i/>
          <w:iCs/>
          <w:color w:val="000000"/>
        </w:rPr>
        <w:t xml:space="preserve">. </w:t>
      </w:r>
      <w:r>
        <w:rPr>
          <w:sz w:val="24"/>
          <w:szCs w:val="24"/>
        </w:rPr>
      </w:r>
      <w:r>
        <w:rPr>
          <w:sz w:val="24"/>
          <w:szCs w:val="24"/>
        </w:rPr>
      </w:r>
    </w:p>
    <w:p>
      <w:pPr>
        <w:pBdr/>
        <w:spacing w:after="120" w:line="264" w:lineRule="auto"/>
        <w:ind w:firstLine="576"/>
        <w:jc w:val="both"/>
        <w:rPr>
          <w:sz w:val="24"/>
          <w:szCs w:val="24"/>
        </w:rPr>
      </w:pPr>
      <w:r>
        <w:rPr>
          <w:color w:val="000000"/>
        </w:rPr>
        <w:t xml:space="preserve">2</w:t>
      </w:r>
      <w:r>
        <w:rPr>
          <w:color w:val="000000"/>
        </w:rPr>
        <w:t xml:space="preserve">. Chánh Văn phòng </w:t>
      </w:r>
      <w:r>
        <w:rPr>
          <w:color w:val="000000"/>
        </w:rPr>
        <w:t xml:space="preserve">Ủy</w:t>
      </w:r>
      <w:r>
        <w:rPr>
          <w:color w:val="000000"/>
        </w:rPr>
        <w:t xml:space="preserve"> ban nhân dân tỉnh, Giám đố</w:t>
      </w:r>
      <w:r>
        <w:rPr>
          <w:color w:val="000000"/>
        </w:rPr>
        <w:t xml:space="preserve">c Sở Tài chính, Thủ trưởng các s</w:t>
      </w:r>
      <w:r>
        <w:rPr>
          <w:color w:val="000000"/>
        </w:rPr>
        <w:t xml:space="preserve">ở, </w:t>
      </w:r>
      <w:r>
        <w:rPr>
          <w:color w:val="000000"/>
        </w:rPr>
        <w:t xml:space="preserve">b</w:t>
      </w:r>
      <w:r>
        <w:rPr>
          <w:color w:val="000000"/>
        </w:rPr>
        <w:t xml:space="preserve">an, ngành, đơn vị sự nghiệp cấp tỉnh; Giám đốc Kho bạc Nhà nước khu vực XVIII; Chủ tịch </w:t>
      </w:r>
      <w:r>
        <w:rPr>
          <w:color w:val="000000"/>
        </w:rPr>
        <w:t xml:space="preserve">Ủy</w:t>
      </w:r>
      <w:r>
        <w:rPr>
          <w:color w:val="000000"/>
        </w:rPr>
        <w:t xml:space="preserve"> ban nhân dân các xã, phường và Thủ trưởng các cơ quan, đơn vị có liên quan chịu trách nhiệm thi hành Quyết định này.</w:t>
      </w:r>
      <w:r>
        <w:rPr>
          <w:sz w:val="24"/>
          <w:szCs w:val="24"/>
        </w:rPr>
      </w:r>
      <w:r>
        <w:rPr>
          <w:sz w:val="24"/>
          <w:szCs w:val="24"/>
        </w:rPr>
      </w:r>
    </w:p>
    <w:p>
      <w:pPr>
        <w:pBdr/>
        <w:spacing w:after="120" w:line="264" w:lineRule="auto"/>
        <w:ind w:firstLine="576"/>
        <w:jc w:val="both"/>
        <w:rPr>
          <w:color w:val="000000"/>
        </w:rPr>
      </w:pPr>
      <w:r>
        <w:rPr>
          <w:color w:val="000000"/>
        </w:rPr>
        <w:t xml:space="preserve">3</w:t>
      </w:r>
      <w:r>
        <w:rPr>
          <w:color w:val="000000"/>
        </w:rPr>
        <w:t xml:space="preserve">. Trong quá trình thực hiện, nếu có khó khăn, </w:t>
      </w:r>
      <w:r>
        <w:rPr>
          <w:color w:val="000000"/>
        </w:rPr>
        <w:t xml:space="preserve">vướng mắc </w:t>
      </w:r>
      <w:r>
        <w:rPr>
          <w:color w:val="000000"/>
        </w:rPr>
        <w:t xml:space="preserve">các cơ quan, tổ chức, cá nhân phản ánh về Sở Tài chính để tổng hợp, báo cáo Ủy ban nhân dân tỉnh xem xét, xử lý theo thẩm quyền.</w:t>
      </w:r>
      <w:r>
        <w:rPr>
          <w:color w:val="000000"/>
        </w:rPr>
        <w:t xml:space="preserve">/.</w:t>
      </w:r>
      <w:r>
        <w:rPr>
          <w:color w:val="000000"/>
        </w:rPr>
      </w:r>
      <w:r>
        <w:rPr>
          <w:color w:val="000000"/>
        </w:rPr>
      </w:r>
    </w:p>
    <w:tbl>
      <w:tblPr>
        <w:tblW w:w="9360" w:type="dxa"/>
        <w:tblCellSpacing w:w="0" w:type="dxa"/>
        <w:tblBorders/>
        <w:tblLook w:val="04A0" w:firstRow="1" w:lastRow="0" w:firstColumn="1" w:lastColumn="0" w:noHBand="0" w:noVBand="1"/>
      </w:tblPr>
      <w:tblGrid>
        <w:gridCol w:w="4532"/>
        <w:gridCol w:w="4828"/>
      </w:tblGrid>
      <w:tr>
        <w:trPr>
          <w:tblCellSpacing w:w="0" w:type="dxa"/>
        </w:trPr>
        <w:tc>
          <w:tcPr>
            <w:tcBorders/>
            <w:tcW w:w="4532" w:type="dxa"/>
            <w:vAlign w:val="center"/>
            <w:textDirection w:val="lrTb"/>
            <w:noWrap w:val="false"/>
          </w:tcPr>
          <w:p>
            <w:pPr>
              <w:pBdr/>
              <w:spacing/>
              <w:ind/>
              <w:rPr>
                <w:sz w:val="24"/>
                <w:szCs w:val="24"/>
              </w:rPr>
            </w:pPr>
            <w:r>
              <w:rPr>
                <w:b/>
                <w:bCs/>
                <w:i/>
                <w:iCs/>
                <w:color w:val="000000"/>
                <w:sz w:val="24"/>
                <w:szCs w:val="24"/>
              </w:rPr>
              <w:t xml:space="preserve">Nơi nhận:</w:t>
            </w:r>
            <w:r>
              <w:rPr>
                <w:sz w:val="24"/>
                <w:szCs w:val="24"/>
              </w:rPr>
            </w:r>
            <w:r>
              <w:rPr>
                <w:sz w:val="24"/>
                <w:szCs w:val="24"/>
              </w:rPr>
            </w:r>
          </w:p>
          <w:p>
            <w:pPr>
              <w:pBdr/>
              <w:spacing/>
              <w:ind/>
              <w:rPr>
                <w:sz w:val="24"/>
                <w:szCs w:val="24"/>
              </w:rPr>
            </w:pPr>
            <w:r>
              <w:rPr>
                <w:color w:val="000000"/>
                <w:sz w:val="22"/>
                <w:szCs w:val="22"/>
              </w:rPr>
              <w:t xml:space="preserve">- Như Điều </w:t>
            </w:r>
            <w:r>
              <w:rPr>
                <w:color w:val="000000"/>
                <w:sz w:val="22"/>
                <w:szCs w:val="22"/>
              </w:rPr>
              <w:t xml:space="preserve">7</w:t>
            </w:r>
            <w:r>
              <w:rPr>
                <w:color w:val="000000"/>
                <w:sz w:val="22"/>
                <w:szCs w:val="22"/>
              </w:rPr>
              <w:t xml:space="preserve">;</w:t>
            </w:r>
            <w:r>
              <w:rPr>
                <w:sz w:val="24"/>
                <w:szCs w:val="24"/>
              </w:rPr>
            </w:r>
            <w:r>
              <w:rPr>
                <w:sz w:val="24"/>
                <w:szCs w:val="24"/>
              </w:rPr>
            </w:r>
          </w:p>
          <w:p>
            <w:pPr>
              <w:pBdr/>
              <w:spacing/>
              <w:ind/>
              <w:rPr>
                <w:sz w:val="24"/>
                <w:szCs w:val="24"/>
              </w:rPr>
            </w:pPr>
            <w:r>
              <w:rPr>
                <w:color w:val="000000"/>
                <w:sz w:val="22"/>
                <w:szCs w:val="22"/>
              </w:rPr>
              <w:t xml:space="preserve">- Bộ Tài chính;</w:t>
            </w:r>
            <w:r>
              <w:rPr>
                <w:sz w:val="24"/>
                <w:szCs w:val="24"/>
              </w:rPr>
            </w:r>
            <w:r>
              <w:rPr>
                <w:sz w:val="24"/>
                <w:szCs w:val="24"/>
              </w:rPr>
            </w:r>
          </w:p>
          <w:p>
            <w:pPr>
              <w:pBdr/>
              <w:spacing/>
              <w:ind/>
              <w:rPr>
                <w:color w:val="000000"/>
                <w:sz w:val="22"/>
                <w:szCs w:val="22"/>
              </w:rPr>
            </w:pPr>
            <w:r>
              <w:rPr>
                <w:color w:val="000000"/>
                <w:sz w:val="22"/>
                <w:szCs w:val="22"/>
              </w:rPr>
              <w:t xml:space="preserve">- Cục </w:t>
            </w:r>
            <w:r>
              <w:rPr>
                <w:color w:val="000000"/>
                <w:sz w:val="22"/>
                <w:szCs w:val="22"/>
              </w:rPr>
              <w:t xml:space="preserve">K</w:t>
            </w:r>
            <w:r>
              <w:rPr>
                <w:color w:val="000000"/>
                <w:sz w:val="22"/>
                <w:szCs w:val="22"/>
              </w:rPr>
              <w:t xml:space="preserve">iểm tra văn bản và Tổ chức</w:t>
            </w:r>
            <w:r>
              <w:rPr>
                <w:color w:val="000000"/>
                <w:sz w:val="22"/>
                <w:szCs w:val="22"/>
              </w:rPr>
            </w:r>
            <w:r>
              <w:rPr>
                <w:color w:val="000000"/>
                <w:sz w:val="22"/>
                <w:szCs w:val="22"/>
              </w:rPr>
            </w:r>
          </w:p>
          <w:p>
            <w:pPr>
              <w:pBdr/>
              <w:spacing/>
              <w:ind/>
              <w:rPr>
                <w:sz w:val="24"/>
                <w:szCs w:val="24"/>
              </w:rPr>
            </w:pPr>
            <w:r>
              <w:rPr>
                <w:color w:val="000000"/>
                <w:sz w:val="22"/>
                <w:szCs w:val="22"/>
              </w:rPr>
              <w:t xml:space="preserve"> thi hành pháp luật - </w:t>
            </w:r>
            <w:r>
              <w:rPr>
                <w:color w:val="000000"/>
                <w:sz w:val="22"/>
                <w:szCs w:val="22"/>
              </w:rPr>
              <w:t xml:space="preserve">Bộ Tư pháp;</w:t>
            </w:r>
            <w:r>
              <w:rPr>
                <w:sz w:val="24"/>
                <w:szCs w:val="24"/>
              </w:rPr>
            </w:r>
            <w:r>
              <w:rPr>
                <w:sz w:val="24"/>
                <w:szCs w:val="24"/>
              </w:rPr>
            </w:r>
          </w:p>
          <w:p>
            <w:pPr>
              <w:pBdr/>
              <w:spacing/>
              <w:ind/>
              <w:rPr>
                <w:sz w:val="24"/>
                <w:szCs w:val="24"/>
              </w:rPr>
            </w:pPr>
            <w:r>
              <w:rPr>
                <w:color w:val="000000"/>
                <w:sz w:val="22"/>
                <w:szCs w:val="22"/>
              </w:rPr>
              <w:t xml:space="preserve">- TTTU, TT.</w:t>
            </w:r>
            <w:r>
              <w:rPr>
                <w:color w:val="000000"/>
                <w:sz w:val="22"/>
                <w:szCs w:val="22"/>
              </w:rPr>
              <w:t xml:space="preserve">HĐND tỉnh;</w:t>
            </w:r>
            <w:r>
              <w:rPr>
                <w:sz w:val="24"/>
                <w:szCs w:val="24"/>
              </w:rPr>
            </w:r>
            <w:r>
              <w:rPr>
                <w:sz w:val="24"/>
                <w:szCs w:val="24"/>
              </w:rPr>
            </w:r>
          </w:p>
          <w:p>
            <w:pPr>
              <w:pBdr/>
              <w:spacing/>
              <w:ind/>
              <w:rPr>
                <w:sz w:val="24"/>
                <w:szCs w:val="24"/>
              </w:rPr>
            </w:pPr>
            <w:r>
              <w:rPr>
                <w:color w:val="000000"/>
                <w:sz w:val="22"/>
                <w:szCs w:val="22"/>
              </w:rPr>
              <w:t xml:space="preserve">- Đoàn Đại biểu Q</w:t>
            </w:r>
            <w:r>
              <w:rPr>
                <w:color w:val="000000"/>
                <w:sz w:val="22"/>
                <w:szCs w:val="22"/>
              </w:rPr>
              <w:t xml:space="preserve">uốc hội tỉnh;</w:t>
            </w:r>
            <w:r>
              <w:rPr>
                <w:sz w:val="24"/>
                <w:szCs w:val="24"/>
              </w:rPr>
            </w:r>
            <w:r>
              <w:rPr>
                <w:sz w:val="24"/>
                <w:szCs w:val="24"/>
              </w:rPr>
            </w:r>
          </w:p>
          <w:p>
            <w:pPr>
              <w:pBdr/>
              <w:spacing/>
              <w:ind/>
              <w:rPr>
                <w:sz w:val="24"/>
                <w:szCs w:val="24"/>
              </w:rPr>
            </w:pPr>
            <w:r>
              <w:rPr>
                <w:color w:val="000000"/>
                <w:sz w:val="22"/>
                <w:szCs w:val="22"/>
              </w:rPr>
              <w:t xml:space="preserve">- </w:t>
            </w:r>
            <w:r>
              <w:rPr>
                <w:color w:val="000000"/>
                <w:sz w:val="22"/>
                <w:szCs w:val="22"/>
              </w:rPr>
              <w:t xml:space="preserve">TT. Ủy ban MTTQ</w:t>
            </w:r>
            <w:r>
              <w:rPr>
                <w:color w:val="000000"/>
                <w:sz w:val="22"/>
                <w:szCs w:val="22"/>
              </w:rPr>
              <w:t xml:space="preserve">VN tỉnh;</w:t>
            </w:r>
            <w:r>
              <w:rPr>
                <w:sz w:val="24"/>
                <w:szCs w:val="24"/>
              </w:rPr>
            </w:r>
            <w:r>
              <w:rPr>
                <w:sz w:val="24"/>
                <w:szCs w:val="24"/>
              </w:rPr>
            </w:r>
          </w:p>
          <w:p>
            <w:pPr>
              <w:pBdr/>
              <w:spacing/>
              <w:ind/>
              <w:rPr>
                <w:sz w:val="24"/>
                <w:szCs w:val="24"/>
              </w:rPr>
            </w:pPr>
            <w:r>
              <w:rPr>
                <w:color w:val="000000"/>
                <w:sz w:val="22"/>
                <w:szCs w:val="22"/>
              </w:rPr>
              <w:t xml:space="preserve">- CT, </w:t>
            </w:r>
            <w:r>
              <w:rPr>
                <w:color w:val="000000"/>
                <w:sz w:val="22"/>
                <w:szCs w:val="22"/>
              </w:rPr>
              <w:t xml:space="preserve">PCT</w:t>
            </w:r>
            <w:r>
              <w:rPr>
                <w:color w:val="000000"/>
                <w:sz w:val="22"/>
                <w:szCs w:val="22"/>
              </w:rPr>
              <w:t xml:space="preserve">.</w:t>
            </w:r>
            <w:r>
              <w:rPr>
                <w:color w:val="000000"/>
                <w:sz w:val="22"/>
                <w:szCs w:val="22"/>
              </w:rPr>
              <w:t xml:space="preserve">UBND tỉnh;</w:t>
            </w:r>
            <w:r>
              <w:rPr>
                <w:sz w:val="24"/>
                <w:szCs w:val="24"/>
              </w:rPr>
            </w:r>
            <w:r>
              <w:rPr>
                <w:sz w:val="24"/>
                <w:szCs w:val="24"/>
              </w:rPr>
            </w:r>
          </w:p>
          <w:p>
            <w:pPr>
              <w:pBdr/>
              <w:spacing/>
              <w:ind/>
              <w:rPr>
                <w:sz w:val="24"/>
                <w:szCs w:val="24"/>
              </w:rPr>
            </w:pPr>
            <w:r>
              <w:rPr>
                <w:color w:val="000000"/>
                <w:sz w:val="22"/>
                <w:szCs w:val="22"/>
              </w:rPr>
              <w:t xml:space="preserve">-</w:t>
            </w:r>
            <w:r>
              <w:rPr>
                <w:color w:val="000000"/>
                <w:sz w:val="22"/>
                <w:szCs w:val="22"/>
              </w:rPr>
              <w:t xml:space="preserve"> CVP, PCVP.UBND tỉnh</w:t>
            </w:r>
            <w:r>
              <w:rPr>
                <w:color w:val="000000"/>
                <w:sz w:val="22"/>
                <w:szCs w:val="22"/>
              </w:rPr>
              <w:t xml:space="preserve">; </w:t>
            </w:r>
            <w:r>
              <w:rPr>
                <w:sz w:val="24"/>
                <w:szCs w:val="24"/>
              </w:rPr>
            </w:r>
            <w:r>
              <w:rPr>
                <w:sz w:val="24"/>
                <w:szCs w:val="24"/>
              </w:rPr>
            </w:r>
          </w:p>
          <w:p>
            <w:pPr>
              <w:pBdr/>
              <w:spacing/>
              <w:ind/>
              <w:rPr>
                <w:sz w:val="24"/>
                <w:szCs w:val="24"/>
              </w:rPr>
            </w:pPr>
            <w:r>
              <w:rPr>
                <w:color w:val="000000"/>
                <w:sz w:val="22"/>
                <w:szCs w:val="22"/>
              </w:rPr>
              <w:t xml:space="preserve">- </w:t>
            </w:r>
            <w:r>
              <w:rPr>
                <w:color w:val="000000"/>
                <w:sz w:val="22"/>
                <w:szCs w:val="22"/>
              </w:rPr>
              <w:t xml:space="preserve">Trung tâm Công báo - </w:t>
            </w:r>
            <w:r>
              <w:rPr>
                <w:color w:val="000000"/>
                <w:sz w:val="22"/>
                <w:szCs w:val="22"/>
              </w:rPr>
              <w:t xml:space="preserve">Tin học</w:t>
            </w:r>
            <w:r>
              <w:rPr>
                <w:color w:val="000000"/>
                <w:sz w:val="22"/>
                <w:szCs w:val="22"/>
              </w:rPr>
              <w:t xml:space="preserve">;</w:t>
            </w:r>
            <w:r>
              <w:rPr>
                <w:sz w:val="24"/>
                <w:szCs w:val="24"/>
              </w:rPr>
            </w:r>
            <w:r>
              <w:rPr>
                <w:sz w:val="24"/>
                <w:szCs w:val="24"/>
              </w:rPr>
            </w:r>
          </w:p>
          <w:p>
            <w:pPr>
              <w:pBdr/>
              <w:spacing/>
              <w:ind/>
              <w:rPr>
                <w:sz w:val="24"/>
                <w:szCs w:val="24"/>
              </w:rPr>
            </w:pPr>
            <w:r>
              <w:rPr>
                <w:color w:val="000000"/>
                <w:sz w:val="22"/>
                <w:szCs w:val="22"/>
              </w:rPr>
              <w:t xml:space="preserve">- Phòng</w:t>
            </w:r>
            <w:r>
              <w:rPr>
                <w:color w:val="000000"/>
                <w:sz w:val="22"/>
                <w:szCs w:val="22"/>
              </w:rPr>
              <w:t xml:space="preserve">: VHXH,</w:t>
            </w:r>
            <w:r>
              <w:rPr>
                <w:color w:val="000000"/>
                <w:sz w:val="22"/>
                <w:szCs w:val="22"/>
              </w:rPr>
              <w:t xml:space="preserve"> </w:t>
            </w:r>
            <w:r>
              <w:rPr>
                <w:color w:val="000000"/>
                <w:sz w:val="22"/>
                <w:szCs w:val="22"/>
              </w:rPr>
              <w:t xml:space="preserve">KTTC</w:t>
            </w:r>
            <w:r>
              <w:rPr>
                <w:color w:val="000000"/>
                <w:sz w:val="22"/>
                <w:szCs w:val="22"/>
              </w:rPr>
              <w:t xml:space="preserve">;</w:t>
            </w:r>
            <w:r>
              <w:rPr>
                <w:sz w:val="24"/>
                <w:szCs w:val="24"/>
              </w:rPr>
            </w:r>
            <w:r>
              <w:rPr>
                <w:sz w:val="24"/>
                <w:szCs w:val="24"/>
              </w:rPr>
            </w:r>
          </w:p>
          <w:p>
            <w:pPr>
              <w:pBdr/>
              <w:spacing/>
              <w:ind/>
              <w:rPr>
                <w:sz w:val="24"/>
                <w:szCs w:val="24"/>
              </w:rPr>
            </w:pPr>
            <w:r>
              <w:rPr>
                <w:color w:val="000000"/>
                <w:sz w:val="22"/>
                <w:szCs w:val="22"/>
              </w:rPr>
              <w:t xml:space="preserve">- Lưu: VT</w:t>
            </w:r>
            <w:r>
              <w:rPr>
                <w:color w:val="000000"/>
                <w:sz w:val="22"/>
                <w:szCs w:val="22"/>
              </w:rPr>
              <w:t xml:space="preserve">. Quoc.</w:t>
            </w:r>
            <w:r>
              <w:rPr>
                <w:sz w:val="24"/>
                <w:szCs w:val="24"/>
              </w:rPr>
            </w:r>
            <w:r>
              <w:rPr>
                <w:sz w:val="24"/>
                <w:szCs w:val="24"/>
              </w:rPr>
            </w:r>
          </w:p>
        </w:tc>
        <w:tc>
          <w:tcPr>
            <w:tcBorders/>
            <w:tcW w:w="4828" w:type="dxa"/>
            <w:textDirection w:val="lrTb"/>
            <w:noWrap w:val="false"/>
          </w:tcPr>
          <w:p>
            <w:pPr>
              <w:pBdr/>
              <w:spacing/>
              <w:ind/>
              <w:jc w:val="center"/>
              <w:rPr>
                <w:b/>
              </w:rPr>
            </w:pPr>
            <w:r>
              <w:rPr>
                <w:b/>
              </w:rPr>
              <w:t xml:space="preserve">CHỦ TỊCH</w:t>
            </w:r>
            <w:r>
              <w:rPr>
                <w:b/>
              </w:rPr>
              <w:t xml:space="preserve"> </w:t>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tc>
      </w:tr>
    </w:tbl>
    <w:p>
      <w:pPr>
        <w:widowControl w:val="false"/>
        <w:pBdr/>
        <w:tabs>
          <w:tab w:val="left" w:leader="none" w:pos="993"/>
        </w:tabs>
        <w:spacing w:after="120" w:before="120"/>
        <w:ind/>
        <w:jc w:val="both"/>
        <w:rPr>
          <w:color w:val="000000"/>
          <w:lang w:val="nb-NO"/>
        </w:rPr>
      </w:pPr>
      <w:r>
        <w:rPr>
          <w:color w:val="000000"/>
          <w:lang w:val="nb-NO"/>
        </w:rPr>
      </w:r>
      <w:r>
        <w:rPr>
          <w:color w:val="000000"/>
          <w:lang w:val="nb-NO"/>
        </w:rPr>
      </w:r>
      <w:r>
        <w:rPr>
          <w:color w:val="000000"/>
          <w:lang w:val="nb-NO"/>
        </w:rPr>
      </w:r>
    </w:p>
    <w:sectPr>
      <w:headerReference w:type="default" r:id="rId9"/>
      <w:footerReference w:type="default" r:id="rId10"/>
      <w:footnotePr/>
      <w:endnotePr/>
      <w:type w:val="nextPage"/>
      <w:pgSz w:h="16840" w:orient="portrait" w:w="11907"/>
      <w:pgMar w:top="1134" w:right="1134" w:bottom="1134" w:left="1701" w:header="720" w:footer="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Verdana">
    <w:panose1 w:val="020B0604030504040204"/>
  </w:font>
  <w:font w:name="Tahoma">
    <w:panose1 w:val="020B060403050404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8"/>
      <w:pBdr/>
      <w:spacing/>
      <w:ind/>
      <w:jc w:val="right"/>
      <w:rPr>
        <w:sz w:val="26"/>
        <w:szCs w:val="26"/>
      </w:rPr>
    </w:pPr>
    <w:r>
      <w:rPr>
        <w:sz w:val="26"/>
        <w:szCs w:val="26"/>
      </w:rPr>
    </w:r>
    <w:r>
      <w:rPr>
        <w:sz w:val="26"/>
        <w:szCs w:val="26"/>
      </w:rPr>
    </w:r>
    <w:r>
      <w:rPr>
        <w:sz w:val="26"/>
        <w:szCs w:val="26"/>
      </w:rPr>
    </w:r>
  </w:p>
  <w:p>
    <w:pPr>
      <w:pStyle w:val="93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23570126"/>
      <w:docPartObj>
        <w:docPartGallery w:val="Page Numbers (Top of Page)"/>
        <w:docPartUnique w:val="true"/>
      </w:docPartObj>
      <w:rPr/>
    </w:sdtPr>
    <w:sdtContent>
      <w:p>
        <w:pPr>
          <w:pStyle w:val="936"/>
          <w:pBdr/>
          <w:spacing/>
          <w:ind/>
          <w:jc w:val="center"/>
          <w:rPr/>
        </w:pPr>
        <w:r>
          <w:fldChar w:fldCharType="begin"/>
        </w:r>
        <w:r>
          <w:instrText xml:space="preserve"> PAGE   \* MERGEFORMAT </w:instrText>
        </w:r>
        <w:r>
          <w:fldChar w:fldCharType="separate"/>
        </w:r>
        <w:r>
          <w:t xml:space="preserve">3</w:t>
        </w:r>
        <w:r>
          <w:fldChar w:fldCharType="end"/>
        </w:r>
        <w:r/>
      </w:p>
      <w:p>
        <w:pPr>
          <w:pStyle w:val="936"/>
          <w:pBdr/>
          <w:spacing/>
          <w:ind/>
          <w:jc w:val="center"/>
          <w:rPr/>
        </w:pPr>
        <w: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lvl w:ilvl="0">
      <w:isLgl w:val="false"/>
      <w:lvlJc w:val="left"/>
      <w:lvlText w:val="%1."/>
      <w:numFmt w:val="decimal"/>
      <w:pPr>
        <w:pBdr/>
        <w:spacing/>
        <w:ind w:hanging="360" w:left="1037"/>
      </w:pPr>
      <w:rPr>
        <w:rFonts w:hint="default"/>
      </w:rPr>
      <w:start w:val="1"/>
      <w:suff w:val="tab"/>
    </w:lvl>
    <w:lvl w:ilvl="1">
      <w:isLgl w:val="false"/>
      <w:lvlJc w:val="left"/>
      <w:lvlText w:val="%2."/>
      <w:numFmt w:val="lowerLetter"/>
      <w:pPr>
        <w:pBdr/>
        <w:spacing/>
        <w:ind w:hanging="360" w:left="1757"/>
      </w:pPr>
      <w:rPr/>
      <w:start w:val="1"/>
      <w:suff w:val="tab"/>
    </w:lvl>
    <w:lvl w:ilvl="2">
      <w:isLgl w:val="false"/>
      <w:lvlJc w:val="right"/>
      <w:lvlText w:val="%3."/>
      <w:numFmt w:val="lowerRoman"/>
      <w:pPr>
        <w:pBdr/>
        <w:spacing/>
        <w:ind w:hanging="180" w:left="2477"/>
      </w:pPr>
      <w:rPr/>
      <w:start w:val="1"/>
      <w:suff w:val="tab"/>
    </w:lvl>
    <w:lvl w:ilvl="3">
      <w:isLgl w:val="false"/>
      <w:lvlJc w:val="left"/>
      <w:lvlText w:val="%4."/>
      <w:numFmt w:val="decimal"/>
      <w:pPr>
        <w:pBdr/>
        <w:spacing/>
        <w:ind w:hanging="360" w:left="3197"/>
      </w:pPr>
      <w:rPr/>
      <w:start w:val="1"/>
      <w:suff w:val="tab"/>
    </w:lvl>
    <w:lvl w:ilvl="4">
      <w:isLgl w:val="false"/>
      <w:lvlJc w:val="left"/>
      <w:lvlText w:val="%5."/>
      <w:numFmt w:val="lowerLetter"/>
      <w:pPr>
        <w:pBdr/>
        <w:spacing/>
        <w:ind w:hanging="360" w:left="3917"/>
      </w:pPr>
      <w:rPr/>
      <w:start w:val="1"/>
      <w:suff w:val="tab"/>
    </w:lvl>
    <w:lvl w:ilvl="5">
      <w:isLgl w:val="false"/>
      <w:lvlJc w:val="right"/>
      <w:lvlText w:val="%6."/>
      <w:numFmt w:val="lowerRoman"/>
      <w:pPr>
        <w:pBdr/>
        <w:spacing/>
        <w:ind w:hanging="180" w:left="4637"/>
      </w:pPr>
      <w:rPr/>
      <w:start w:val="1"/>
      <w:suff w:val="tab"/>
    </w:lvl>
    <w:lvl w:ilvl="6">
      <w:isLgl w:val="false"/>
      <w:lvlJc w:val="left"/>
      <w:lvlText w:val="%7."/>
      <w:numFmt w:val="decimal"/>
      <w:pPr>
        <w:pBdr/>
        <w:spacing/>
        <w:ind w:hanging="360" w:left="5357"/>
      </w:pPr>
      <w:rPr/>
      <w:start w:val="1"/>
      <w:suff w:val="tab"/>
    </w:lvl>
    <w:lvl w:ilvl="7">
      <w:isLgl w:val="false"/>
      <w:lvlJc w:val="left"/>
      <w:lvlText w:val="%8."/>
      <w:numFmt w:val="lowerLetter"/>
      <w:pPr>
        <w:pBdr/>
        <w:spacing/>
        <w:ind w:hanging="360" w:left="6077"/>
      </w:pPr>
      <w:rPr/>
      <w:start w:val="1"/>
      <w:suff w:val="tab"/>
    </w:lvl>
    <w:lvl w:ilvl="8">
      <w:isLgl w:val="false"/>
      <w:lvlJc w:val="right"/>
      <w:lvlText w:val="%9."/>
      <w:numFmt w:val="lowerRoman"/>
      <w:pPr>
        <w:pBdr/>
        <w:spacing/>
        <w:ind w:hanging="180" w:left="6797"/>
      </w:pPr>
      <w:rPr/>
      <w:start w:val="1"/>
      <w:suff w:val="tab"/>
    </w:lvl>
  </w:abstractNum>
  <w:abstractNum w:abstractNumId="2">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lvl w:ilvl="0">
      <w:isLgl w:val="false"/>
      <w:lvlJc w:val="left"/>
      <w:lvlText w:val="%1."/>
      <w:numFmt w:val="decimal"/>
      <w:pPr>
        <w:pBdr/>
        <w:spacing/>
        <w:ind w:hanging="360" w:left="1037"/>
      </w:pPr>
      <w:rPr>
        <w:rFonts w:hint="default"/>
      </w:rPr>
      <w:start w:val="1"/>
      <w:suff w:val="tab"/>
    </w:lvl>
    <w:lvl w:ilvl="1">
      <w:isLgl w:val="false"/>
      <w:lvlJc w:val="left"/>
      <w:lvlText w:val="%2."/>
      <w:numFmt w:val="lowerLetter"/>
      <w:pPr>
        <w:pBdr/>
        <w:spacing/>
        <w:ind w:hanging="360" w:left="1757"/>
      </w:pPr>
      <w:rPr/>
      <w:start w:val="1"/>
      <w:suff w:val="tab"/>
    </w:lvl>
    <w:lvl w:ilvl="2">
      <w:isLgl w:val="false"/>
      <w:lvlJc w:val="right"/>
      <w:lvlText w:val="%3."/>
      <w:numFmt w:val="lowerRoman"/>
      <w:pPr>
        <w:pBdr/>
        <w:spacing/>
        <w:ind w:hanging="180" w:left="2477"/>
      </w:pPr>
      <w:rPr/>
      <w:start w:val="1"/>
      <w:suff w:val="tab"/>
    </w:lvl>
    <w:lvl w:ilvl="3">
      <w:isLgl w:val="false"/>
      <w:lvlJc w:val="left"/>
      <w:lvlText w:val="%4."/>
      <w:numFmt w:val="decimal"/>
      <w:pPr>
        <w:pBdr/>
        <w:spacing/>
        <w:ind w:hanging="360" w:left="3197"/>
      </w:pPr>
      <w:rPr/>
      <w:start w:val="1"/>
      <w:suff w:val="tab"/>
    </w:lvl>
    <w:lvl w:ilvl="4">
      <w:isLgl w:val="false"/>
      <w:lvlJc w:val="left"/>
      <w:lvlText w:val="%5."/>
      <w:numFmt w:val="lowerLetter"/>
      <w:pPr>
        <w:pBdr/>
        <w:spacing/>
        <w:ind w:hanging="360" w:left="3917"/>
      </w:pPr>
      <w:rPr/>
      <w:start w:val="1"/>
      <w:suff w:val="tab"/>
    </w:lvl>
    <w:lvl w:ilvl="5">
      <w:isLgl w:val="false"/>
      <w:lvlJc w:val="right"/>
      <w:lvlText w:val="%6."/>
      <w:numFmt w:val="lowerRoman"/>
      <w:pPr>
        <w:pBdr/>
        <w:spacing/>
        <w:ind w:hanging="180" w:left="4637"/>
      </w:pPr>
      <w:rPr/>
      <w:start w:val="1"/>
      <w:suff w:val="tab"/>
    </w:lvl>
    <w:lvl w:ilvl="6">
      <w:isLgl w:val="false"/>
      <w:lvlJc w:val="left"/>
      <w:lvlText w:val="%7."/>
      <w:numFmt w:val="decimal"/>
      <w:pPr>
        <w:pBdr/>
        <w:spacing/>
        <w:ind w:hanging="360" w:left="5357"/>
      </w:pPr>
      <w:rPr/>
      <w:start w:val="1"/>
      <w:suff w:val="tab"/>
    </w:lvl>
    <w:lvl w:ilvl="7">
      <w:isLgl w:val="false"/>
      <w:lvlJc w:val="left"/>
      <w:lvlText w:val="%8."/>
      <w:numFmt w:val="lowerLetter"/>
      <w:pPr>
        <w:pBdr/>
        <w:spacing/>
        <w:ind w:hanging="360" w:left="6077"/>
      </w:pPr>
      <w:rPr/>
      <w:start w:val="1"/>
      <w:suff w:val="tab"/>
    </w:lvl>
    <w:lvl w:ilvl="8">
      <w:isLgl w:val="false"/>
      <w:lvlJc w:val="right"/>
      <w:lvlText w:val="%9."/>
      <w:numFmt w:val="lowerRoman"/>
      <w:pPr>
        <w:pBdr/>
        <w:spacing/>
        <w:ind w:hanging="180" w:left="6797"/>
      </w:pPr>
      <w:rPr/>
      <w:start w:val="1"/>
      <w:suff w:val="tab"/>
    </w:lvl>
  </w:abstractNum>
  <w:abstractNum w:abstractNumId="4">
    <w:lvl w:ilvl="0">
      <w:isLgl w:val="false"/>
      <w:lvlJc w:val="left"/>
      <w:lvlText w:val="%1."/>
      <w:numFmt w:val="decimal"/>
      <w:pPr>
        <w:pBdr/>
        <w:spacing/>
        <w:ind w:hanging="360" w:left="1037"/>
      </w:pPr>
      <w:rPr>
        <w:rFonts w:hint="default"/>
      </w:rPr>
      <w:start w:val="1"/>
      <w:suff w:val="tab"/>
    </w:lvl>
    <w:lvl w:ilvl="1">
      <w:isLgl w:val="false"/>
      <w:lvlJc w:val="left"/>
      <w:lvlText w:val="%2."/>
      <w:numFmt w:val="lowerLetter"/>
      <w:pPr>
        <w:pBdr/>
        <w:spacing/>
        <w:ind w:hanging="360" w:left="1757"/>
      </w:pPr>
      <w:rPr/>
      <w:start w:val="1"/>
      <w:suff w:val="tab"/>
    </w:lvl>
    <w:lvl w:ilvl="2">
      <w:isLgl w:val="false"/>
      <w:lvlJc w:val="right"/>
      <w:lvlText w:val="%3."/>
      <w:numFmt w:val="lowerRoman"/>
      <w:pPr>
        <w:pBdr/>
        <w:spacing/>
        <w:ind w:hanging="180" w:left="2477"/>
      </w:pPr>
      <w:rPr/>
      <w:start w:val="1"/>
      <w:suff w:val="tab"/>
    </w:lvl>
    <w:lvl w:ilvl="3">
      <w:isLgl w:val="false"/>
      <w:lvlJc w:val="left"/>
      <w:lvlText w:val="%4."/>
      <w:numFmt w:val="decimal"/>
      <w:pPr>
        <w:pBdr/>
        <w:spacing/>
        <w:ind w:hanging="360" w:left="3197"/>
      </w:pPr>
      <w:rPr/>
      <w:start w:val="1"/>
      <w:suff w:val="tab"/>
    </w:lvl>
    <w:lvl w:ilvl="4">
      <w:isLgl w:val="false"/>
      <w:lvlJc w:val="left"/>
      <w:lvlText w:val="%5."/>
      <w:numFmt w:val="lowerLetter"/>
      <w:pPr>
        <w:pBdr/>
        <w:spacing/>
        <w:ind w:hanging="360" w:left="3917"/>
      </w:pPr>
      <w:rPr/>
      <w:start w:val="1"/>
      <w:suff w:val="tab"/>
    </w:lvl>
    <w:lvl w:ilvl="5">
      <w:isLgl w:val="false"/>
      <w:lvlJc w:val="right"/>
      <w:lvlText w:val="%6."/>
      <w:numFmt w:val="lowerRoman"/>
      <w:pPr>
        <w:pBdr/>
        <w:spacing/>
        <w:ind w:hanging="180" w:left="4637"/>
      </w:pPr>
      <w:rPr/>
      <w:start w:val="1"/>
      <w:suff w:val="tab"/>
    </w:lvl>
    <w:lvl w:ilvl="6">
      <w:isLgl w:val="false"/>
      <w:lvlJc w:val="left"/>
      <w:lvlText w:val="%7."/>
      <w:numFmt w:val="decimal"/>
      <w:pPr>
        <w:pBdr/>
        <w:spacing/>
        <w:ind w:hanging="360" w:left="5357"/>
      </w:pPr>
      <w:rPr/>
      <w:start w:val="1"/>
      <w:suff w:val="tab"/>
    </w:lvl>
    <w:lvl w:ilvl="7">
      <w:isLgl w:val="false"/>
      <w:lvlJc w:val="left"/>
      <w:lvlText w:val="%8."/>
      <w:numFmt w:val="lowerLetter"/>
      <w:pPr>
        <w:pBdr/>
        <w:spacing/>
        <w:ind w:hanging="360" w:left="6077"/>
      </w:pPr>
      <w:rPr/>
      <w:start w:val="1"/>
      <w:suff w:val="tab"/>
    </w:lvl>
    <w:lvl w:ilvl="8">
      <w:isLgl w:val="false"/>
      <w:lvlJc w:val="right"/>
      <w:lvlText w:val="%9."/>
      <w:numFmt w:val="lowerRoman"/>
      <w:pPr>
        <w:pBdr/>
        <w:spacing/>
        <w:ind w:hanging="180" w:left="6797"/>
      </w:pPr>
      <w:rPr/>
      <w:start w:val="1"/>
      <w:suff w:val="tab"/>
    </w:lvl>
  </w:abstractNum>
  <w:abstractNum w:abstractNumId="5">
    <w:lvl w:ilvl="0">
      <w:isLgl w:val="false"/>
      <w:lvlJc w:val="left"/>
      <w:lvlText w:val="%1."/>
      <w:numFmt w:val="decimal"/>
      <w:pPr>
        <w:pBdr/>
        <w:spacing/>
        <w:ind w:hanging="360" w:left="1037"/>
      </w:pPr>
      <w:rPr>
        <w:rFonts w:hint="default"/>
      </w:rPr>
      <w:start w:val="1"/>
      <w:suff w:val="tab"/>
    </w:lvl>
    <w:lvl w:ilvl="1">
      <w:isLgl w:val="false"/>
      <w:lvlJc w:val="left"/>
      <w:lvlText w:val="%2."/>
      <w:numFmt w:val="lowerLetter"/>
      <w:pPr>
        <w:pBdr/>
        <w:spacing/>
        <w:ind w:hanging="360" w:left="1757"/>
      </w:pPr>
      <w:rPr/>
      <w:start w:val="1"/>
      <w:suff w:val="tab"/>
    </w:lvl>
    <w:lvl w:ilvl="2">
      <w:isLgl w:val="false"/>
      <w:lvlJc w:val="right"/>
      <w:lvlText w:val="%3."/>
      <w:numFmt w:val="lowerRoman"/>
      <w:pPr>
        <w:pBdr/>
        <w:spacing/>
        <w:ind w:hanging="180" w:left="2477"/>
      </w:pPr>
      <w:rPr/>
      <w:start w:val="1"/>
      <w:suff w:val="tab"/>
    </w:lvl>
    <w:lvl w:ilvl="3">
      <w:isLgl w:val="false"/>
      <w:lvlJc w:val="left"/>
      <w:lvlText w:val="%4."/>
      <w:numFmt w:val="decimal"/>
      <w:pPr>
        <w:pBdr/>
        <w:spacing/>
        <w:ind w:hanging="360" w:left="3197"/>
      </w:pPr>
      <w:rPr/>
      <w:start w:val="1"/>
      <w:suff w:val="tab"/>
    </w:lvl>
    <w:lvl w:ilvl="4">
      <w:isLgl w:val="false"/>
      <w:lvlJc w:val="left"/>
      <w:lvlText w:val="%5."/>
      <w:numFmt w:val="lowerLetter"/>
      <w:pPr>
        <w:pBdr/>
        <w:spacing/>
        <w:ind w:hanging="360" w:left="3917"/>
      </w:pPr>
      <w:rPr/>
      <w:start w:val="1"/>
      <w:suff w:val="tab"/>
    </w:lvl>
    <w:lvl w:ilvl="5">
      <w:isLgl w:val="false"/>
      <w:lvlJc w:val="right"/>
      <w:lvlText w:val="%6."/>
      <w:numFmt w:val="lowerRoman"/>
      <w:pPr>
        <w:pBdr/>
        <w:spacing/>
        <w:ind w:hanging="180" w:left="4637"/>
      </w:pPr>
      <w:rPr/>
      <w:start w:val="1"/>
      <w:suff w:val="tab"/>
    </w:lvl>
    <w:lvl w:ilvl="6">
      <w:isLgl w:val="false"/>
      <w:lvlJc w:val="left"/>
      <w:lvlText w:val="%7."/>
      <w:numFmt w:val="decimal"/>
      <w:pPr>
        <w:pBdr/>
        <w:spacing/>
        <w:ind w:hanging="360" w:left="5357"/>
      </w:pPr>
      <w:rPr/>
      <w:start w:val="1"/>
      <w:suff w:val="tab"/>
    </w:lvl>
    <w:lvl w:ilvl="7">
      <w:isLgl w:val="false"/>
      <w:lvlJc w:val="left"/>
      <w:lvlText w:val="%8."/>
      <w:numFmt w:val="lowerLetter"/>
      <w:pPr>
        <w:pBdr/>
        <w:spacing/>
        <w:ind w:hanging="360" w:left="6077"/>
      </w:pPr>
      <w:rPr/>
      <w:start w:val="1"/>
      <w:suff w:val="tab"/>
    </w:lvl>
    <w:lvl w:ilvl="8">
      <w:isLgl w:val="false"/>
      <w:lvlJc w:val="right"/>
      <w:lvlText w:val="%9."/>
      <w:numFmt w:val="lowerRoman"/>
      <w:pPr>
        <w:pBdr/>
        <w:spacing/>
        <w:ind w:hanging="180" w:left="6797"/>
      </w:pPr>
      <w:rPr/>
      <w:start w:val="1"/>
      <w:suff w:val="tab"/>
    </w:lvl>
  </w:abstractNum>
  <w:abstractNum w:abstractNumId="6">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6"/>
  </w:num>
  <w:num w:numId="2">
    <w:abstractNumId w:val="0"/>
  </w:num>
  <w:num w:numId="3">
    <w:abstractNumId w:val="2"/>
  </w:num>
  <w:num w:numId="4">
    <w:abstractNumId w:val="5"/>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1">
    <w:name w:val="Table Grid Light"/>
    <w:basedOn w:val="93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1"/>
    <w:basedOn w:val="93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2"/>
    <w:basedOn w:val="93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3"/>
    <w:basedOn w:val="9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4"/>
    <w:basedOn w:val="9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5"/>
    <w:basedOn w:val="9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w:basedOn w:val="93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1"/>
    <w:basedOn w:val="9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2"/>
    <w:basedOn w:val="9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3"/>
    <w:basedOn w:val="9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4"/>
    <w:basedOn w:val="9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5"/>
    <w:basedOn w:val="9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6"/>
    <w:basedOn w:val="9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w:basedOn w:val="9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1"/>
    <w:basedOn w:val="9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2"/>
    <w:basedOn w:val="9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3"/>
    <w:basedOn w:val="9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4"/>
    <w:basedOn w:val="9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5"/>
    <w:basedOn w:val="9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6"/>
    <w:basedOn w:val="9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w:basedOn w:val="9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1"/>
    <w:basedOn w:val="9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2"/>
    <w:basedOn w:val="9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3"/>
    <w:basedOn w:val="9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4"/>
    <w:basedOn w:val="9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5"/>
    <w:basedOn w:val="9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6"/>
    <w:basedOn w:val="9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w:basedOn w:val="93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1"/>
    <w:basedOn w:val="93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2"/>
    <w:basedOn w:val="93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3"/>
    <w:basedOn w:val="93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4"/>
    <w:basedOn w:val="93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5"/>
    <w:basedOn w:val="93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6"/>
    <w:basedOn w:val="93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1"/>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2"/>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3"/>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4"/>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5"/>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6"/>
    <w:basedOn w:val="9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w:basedOn w:val="93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3">
    <w:name w:val="Grid Table 6 Colorful - Accent 1"/>
    <w:basedOn w:val="93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4">
    <w:name w:val="Grid Table 6 Colorful - Accent 2"/>
    <w:basedOn w:val="9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5">
    <w:name w:val="Grid Table 6 Colorful - Accent 3"/>
    <w:basedOn w:val="93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6">
    <w:name w:val="Grid Table 6 Colorful - Accent 4"/>
    <w:basedOn w:val="9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7">
    <w:name w:val="Grid Table 6 Colorful - Accent 5"/>
    <w:basedOn w:val="93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6 Colorful - Accent 6"/>
    <w:basedOn w:val="93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7 Colorful"/>
    <w:basedOn w:val="93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1"/>
    <w:basedOn w:val="93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2"/>
    <w:basedOn w:val="93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3"/>
    <w:basedOn w:val="93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4"/>
    <w:basedOn w:val="93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5"/>
    <w:basedOn w:val="93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6"/>
    <w:basedOn w:val="93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1"/>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2"/>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3"/>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4"/>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5"/>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6"/>
    <w:basedOn w:val="9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w:basedOn w:val="93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1"/>
    <w:basedOn w:val="93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2"/>
    <w:basedOn w:val="93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3"/>
    <w:basedOn w:val="93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4"/>
    <w:basedOn w:val="93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5"/>
    <w:basedOn w:val="93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6"/>
    <w:basedOn w:val="93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w:basedOn w:val="9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1"/>
    <w:basedOn w:val="93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2"/>
    <w:basedOn w:val="9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3"/>
    <w:basedOn w:val="93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4"/>
    <w:basedOn w:val="9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5"/>
    <w:basedOn w:val="93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6"/>
    <w:basedOn w:val="93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w:basedOn w:val="9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1"/>
    <w:basedOn w:val="93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2"/>
    <w:basedOn w:val="93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3"/>
    <w:basedOn w:val="93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4"/>
    <w:basedOn w:val="93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5"/>
    <w:basedOn w:val="93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6"/>
    <w:basedOn w:val="93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5 Dark"/>
    <w:basedOn w:val="93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1"/>
    <w:basedOn w:val="93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2"/>
    <w:basedOn w:val="93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3"/>
    <w:basedOn w:val="93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4"/>
    <w:basedOn w:val="93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5"/>
    <w:basedOn w:val="93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6"/>
    <w:basedOn w:val="93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6 Colorful"/>
    <w:basedOn w:val="93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1"/>
    <w:basedOn w:val="93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2"/>
    <w:basedOn w:val="93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3"/>
    <w:basedOn w:val="93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4"/>
    <w:basedOn w:val="93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5"/>
    <w:basedOn w:val="93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6"/>
    <w:basedOn w:val="93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7 Colorful"/>
    <w:basedOn w:val="93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9">
    <w:name w:val="List Table 7 Colorful - Accent 1"/>
    <w:basedOn w:val="93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0">
    <w:name w:val="List Table 7 Colorful - Accent 2"/>
    <w:basedOn w:val="93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51">
    <w:name w:val="List Table 7 Colorful - Accent 3"/>
    <w:basedOn w:val="93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52">
    <w:name w:val="List Table 7 Colorful - Accent 4"/>
    <w:basedOn w:val="93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53">
    <w:name w:val="List Table 7 Colorful - Accent 5"/>
    <w:basedOn w:val="93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54">
    <w:name w:val="List Table 7 Colorful - Accent 6"/>
    <w:basedOn w:val="93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55">
    <w:name w:val="Lined - Accent"/>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1"/>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2"/>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3"/>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4"/>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5"/>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6"/>
    <w:basedOn w:val="9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w:basedOn w:val="93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1"/>
    <w:basedOn w:val="93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2"/>
    <w:basedOn w:val="93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3"/>
    <w:basedOn w:val="93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4"/>
    <w:basedOn w:val="93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5"/>
    <w:basedOn w:val="93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6"/>
    <w:basedOn w:val="93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w:basedOn w:val="93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1"/>
    <w:basedOn w:val="9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2"/>
    <w:basedOn w:val="9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3"/>
    <w:basedOn w:val="9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4"/>
    <w:basedOn w:val="9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5"/>
    <w:basedOn w:val="9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6"/>
    <w:basedOn w:val="9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6">
    <w:name w:val="Heading 3"/>
    <w:basedOn w:val="925"/>
    <w:next w:val="925"/>
    <w:link w:val="88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7">
    <w:name w:val="Heading 5"/>
    <w:basedOn w:val="925"/>
    <w:next w:val="925"/>
    <w:link w:val="88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8">
    <w:name w:val="Heading 6"/>
    <w:basedOn w:val="925"/>
    <w:next w:val="925"/>
    <w:link w:val="88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9">
    <w:name w:val="Heading 7"/>
    <w:basedOn w:val="925"/>
    <w:next w:val="925"/>
    <w:link w:val="88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0">
    <w:name w:val="Heading 8"/>
    <w:basedOn w:val="925"/>
    <w:next w:val="925"/>
    <w:link w:val="88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1">
    <w:name w:val="Heading 9"/>
    <w:basedOn w:val="925"/>
    <w:next w:val="925"/>
    <w:link w:val="89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2">
    <w:name w:val="Heading 1 Char"/>
    <w:basedOn w:val="929"/>
    <w:link w:val="926"/>
    <w:uiPriority w:val="9"/>
    <w:pPr>
      <w:pBdr/>
      <w:spacing/>
      <w:ind/>
    </w:pPr>
    <w:rPr>
      <w:rFonts w:ascii="Arial" w:hAnsi="Arial" w:eastAsia="Arial" w:cs="Arial"/>
      <w:color w:val="0f4761" w:themeColor="accent1" w:themeShade="BF"/>
      <w:sz w:val="40"/>
      <w:szCs w:val="40"/>
    </w:rPr>
  </w:style>
  <w:style w:type="character" w:styleId="883">
    <w:name w:val="Heading 2 Char"/>
    <w:basedOn w:val="929"/>
    <w:link w:val="927"/>
    <w:uiPriority w:val="9"/>
    <w:pPr>
      <w:pBdr/>
      <w:spacing/>
      <w:ind/>
    </w:pPr>
    <w:rPr>
      <w:rFonts w:ascii="Arial" w:hAnsi="Arial" w:eastAsia="Arial" w:cs="Arial"/>
      <w:color w:val="0f4761" w:themeColor="accent1" w:themeShade="BF"/>
      <w:sz w:val="32"/>
      <w:szCs w:val="32"/>
    </w:rPr>
  </w:style>
  <w:style w:type="character" w:styleId="884">
    <w:name w:val="Heading 3 Char"/>
    <w:basedOn w:val="929"/>
    <w:link w:val="876"/>
    <w:uiPriority w:val="9"/>
    <w:pPr>
      <w:pBdr/>
      <w:spacing/>
      <w:ind/>
    </w:pPr>
    <w:rPr>
      <w:rFonts w:ascii="Arial" w:hAnsi="Arial" w:eastAsia="Arial" w:cs="Arial"/>
      <w:color w:val="0f4761" w:themeColor="accent1" w:themeShade="BF"/>
      <w:sz w:val="28"/>
      <w:szCs w:val="28"/>
    </w:rPr>
  </w:style>
  <w:style w:type="character" w:styleId="885">
    <w:name w:val="Heading 4 Char"/>
    <w:basedOn w:val="929"/>
    <w:link w:val="928"/>
    <w:uiPriority w:val="9"/>
    <w:pPr>
      <w:pBdr/>
      <w:spacing/>
      <w:ind/>
    </w:pPr>
    <w:rPr>
      <w:rFonts w:ascii="Arial" w:hAnsi="Arial" w:eastAsia="Arial" w:cs="Arial"/>
      <w:i/>
      <w:iCs/>
      <w:color w:val="0f4761" w:themeColor="accent1" w:themeShade="BF"/>
    </w:rPr>
  </w:style>
  <w:style w:type="character" w:styleId="886">
    <w:name w:val="Heading 5 Char"/>
    <w:basedOn w:val="929"/>
    <w:link w:val="877"/>
    <w:uiPriority w:val="9"/>
    <w:pPr>
      <w:pBdr/>
      <w:spacing/>
      <w:ind/>
    </w:pPr>
    <w:rPr>
      <w:rFonts w:ascii="Arial" w:hAnsi="Arial" w:eastAsia="Arial" w:cs="Arial"/>
      <w:color w:val="0f4761" w:themeColor="accent1" w:themeShade="BF"/>
    </w:rPr>
  </w:style>
  <w:style w:type="character" w:styleId="887">
    <w:name w:val="Heading 6 Char"/>
    <w:basedOn w:val="929"/>
    <w:link w:val="878"/>
    <w:uiPriority w:val="9"/>
    <w:pPr>
      <w:pBdr/>
      <w:spacing/>
      <w:ind/>
    </w:pPr>
    <w:rPr>
      <w:rFonts w:ascii="Arial" w:hAnsi="Arial" w:eastAsia="Arial" w:cs="Arial"/>
      <w:i/>
      <w:iCs/>
      <w:color w:val="595959" w:themeColor="text1" w:themeTint="A6"/>
    </w:rPr>
  </w:style>
  <w:style w:type="character" w:styleId="888">
    <w:name w:val="Heading 7 Char"/>
    <w:basedOn w:val="929"/>
    <w:link w:val="879"/>
    <w:uiPriority w:val="9"/>
    <w:pPr>
      <w:pBdr/>
      <w:spacing/>
      <w:ind/>
    </w:pPr>
    <w:rPr>
      <w:rFonts w:ascii="Arial" w:hAnsi="Arial" w:eastAsia="Arial" w:cs="Arial"/>
      <w:color w:val="595959" w:themeColor="text1" w:themeTint="A6"/>
    </w:rPr>
  </w:style>
  <w:style w:type="character" w:styleId="889">
    <w:name w:val="Heading 8 Char"/>
    <w:basedOn w:val="929"/>
    <w:link w:val="880"/>
    <w:uiPriority w:val="9"/>
    <w:pPr>
      <w:pBdr/>
      <w:spacing/>
      <w:ind/>
    </w:pPr>
    <w:rPr>
      <w:rFonts w:ascii="Arial" w:hAnsi="Arial" w:eastAsia="Arial" w:cs="Arial"/>
      <w:i/>
      <w:iCs/>
      <w:color w:val="272727" w:themeColor="text1" w:themeTint="D8"/>
    </w:rPr>
  </w:style>
  <w:style w:type="character" w:styleId="890">
    <w:name w:val="Heading 9 Char"/>
    <w:basedOn w:val="929"/>
    <w:link w:val="881"/>
    <w:uiPriority w:val="9"/>
    <w:pPr>
      <w:pBdr/>
      <w:spacing/>
      <w:ind/>
    </w:pPr>
    <w:rPr>
      <w:rFonts w:ascii="Arial" w:hAnsi="Arial" w:eastAsia="Arial" w:cs="Arial"/>
      <w:i/>
      <w:iCs/>
      <w:color w:val="272727" w:themeColor="text1" w:themeTint="D8"/>
    </w:rPr>
  </w:style>
  <w:style w:type="paragraph" w:styleId="891">
    <w:name w:val="Title"/>
    <w:basedOn w:val="925"/>
    <w:next w:val="925"/>
    <w:link w:val="892"/>
    <w:uiPriority w:val="10"/>
    <w:qFormat/>
    <w:pPr>
      <w:pBdr/>
      <w:spacing w:after="80" w:line="240" w:lineRule="auto"/>
      <w:ind/>
      <w:contextualSpacing w:val="true"/>
    </w:pPr>
    <w:rPr>
      <w:rFonts w:ascii="Arial" w:hAnsi="Arial" w:eastAsia="Arial" w:cs="Arial"/>
      <w:spacing w:val="-10"/>
      <w:sz w:val="56"/>
      <w:szCs w:val="56"/>
    </w:rPr>
  </w:style>
  <w:style w:type="character" w:styleId="892">
    <w:name w:val="Title Char"/>
    <w:basedOn w:val="929"/>
    <w:link w:val="891"/>
    <w:uiPriority w:val="10"/>
    <w:pPr>
      <w:pBdr/>
      <w:spacing/>
      <w:ind/>
    </w:pPr>
    <w:rPr>
      <w:rFonts w:ascii="Arial" w:hAnsi="Arial" w:eastAsia="Arial" w:cs="Arial"/>
      <w:spacing w:val="-10"/>
      <w:sz w:val="56"/>
      <w:szCs w:val="56"/>
    </w:rPr>
  </w:style>
  <w:style w:type="paragraph" w:styleId="893">
    <w:name w:val="Subtitle"/>
    <w:basedOn w:val="925"/>
    <w:next w:val="925"/>
    <w:link w:val="894"/>
    <w:uiPriority w:val="11"/>
    <w:qFormat/>
    <w:pPr>
      <w:numPr>
        <w:ilvl w:val="1"/>
      </w:numPr>
      <w:pBdr/>
      <w:spacing/>
      <w:ind/>
    </w:pPr>
    <w:rPr>
      <w:color w:val="595959" w:themeColor="text1" w:themeTint="A6"/>
      <w:spacing w:val="15"/>
      <w:sz w:val="28"/>
      <w:szCs w:val="28"/>
    </w:rPr>
  </w:style>
  <w:style w:type="character" w:styleId="894">
    <w:name w:val="Subtitle Char"/>
    <w:basedOn w:val="929"/>
    <w:link w:val="893"/>
    <w:uiPriority w:val="11"/>
    <w:pPr>
      <w:pBdr/>
      <w:spacing/>
      <w:ind/>
    </w:pPr>
    <w:rPr>
      <w:color w:val="595959" w:themeColor="text1" w:themeTint="A6"/>
      <w:spacing w:val="15"/>
      <w:sz w:val="28"/>
      <w:szCs w:val="28"/>
    </w:rPr>
  </w:style>
  <w:style w:type="paragraph" w:styleId="895">
    <w:name w:val="Quote"/>
    <w:basedOn w:val="925"/>
    <w:next w:val="925"/>
    <w:link w:val="896"/>
    <w:uiPriority w:val="29"/>
    <w:qFormat/>
    <w:pPr>
      <w:pBdr/>
      <w:spacing w:before="160"/>
      <w:ind/>
      <w:jc w:val="center"/>
    </w:pPr>
    <w:rPr>
      <w:i/>
      <w:iCs/>
      <w:color w:val="404040" w:themeColor="text1" w:themeTint="BF"/>
    </w:rPr>
  </w:style>
  <w:style w:type="character" w:styleId="896">
    <w:name w:val="Quote Char"/>
    <w:basedOn w:val="929"/>
    <w:link w:val="895"/>
    <w:uiPriority w:val="29"/>
    <w:pPr>
      <w:pBdr/>
      <w:spacing/>
      <w:ind/>
    </w:pPr>
    <w:rPr>
      <w:i/>
      <w:iCs/>
      <w:color w:val="404040" w:themeColor="text1" w:themeTint="BF"/>
    </w:rPr>
  </w:style>
  <w:style w:type="character" w:styleId="897">
    <w:name w:val="Intense Emphasis"/>
    <w:basedOn w:val="929"/>
    <w:uiPriority w:val="21"/>
    <w:qFormat/>
    <w:pPr>
      <w:pBdr/>
      <w:spacing/>
      <w:ind/>
    </w:pPr>
    <w:rPr>
      <w:i/>
      <w:iCs/>
      <w:color w:val="0f4761" w:themeColor="accent1" w:themeShade="BF"/>
    </w:rPr>
  </w:style>
  <w:style w:type="paragraph" w:styleId="898">
    <w:name w:val="Intense Quote"/>
    <w:basedOn w:val="925"/>
    <w:next w:val="925"/>
    <w:link w:val="89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9">
    <w:name w:val="Intense Quote Char"/>
    <w:basedOn w:val="929"/>
    <w:link w:val="898"/>
    <w:uiPriority w:val="30"/>
    <w:pPr>
      <w:pBdr/>
      <w:spacing/>
      <w:ind/>
    </w:pPr>
    <w:rPr>
      <w:i/>
      <w:iCs/>
      <w:color w:val="0f4761" w:themeColor="accent1" w:themeShade="BF"/>
    </w:rPr>
  </w:style>
  <w:style w:type="character" w:styleId="900">
    <w:name w:val="Intense Reference"/>
    <w:basedOn w:val="929"/>
    <w:uiPriority w:val="32"/>
    <w:qFormat/>
    <w:pPr>
      <w:pBdr/>
      <w:spacing/>
      <w:ind/>
    </w:pPr>
    <w:rPr>
      <w:b/>
      <w:bCs/>
      <w:smallCaps/>
      <w:color w:val="0f4761" w:themeColor="accent1" w:themeShade="BF"/>
      <w:spacing w:val="5"/>
    </w:rPr>
  </w:style>
  <w:style w:type="paragraph" w:styleId="901">
    <w:name w:val="No Spacing"/>
    <w:basedOn w:val="925"/>
    <w:uiPriority w:val="1"/>
    <w:qFormat/>
    <w:pPr>
      <w:pBdr/>
      <w:spacing w:after="0" w:line="240" w:lineRule="auto"/>
      <w:ind/>
    </w:pPr>
  </w:style>
  <w:style w:type="character" w:styleId="902">
    <w:name w:val="Subtle Emphasis"/>
    <w:basedOn w:val="929"/>
    <w:uiPriority w:val="19"/>
    <w:qFormat/>
    <w:pPr>
      <w:pBdr/>
      <w:spacing/>
      <w:ind/>
    </w:pPr>
    <w:rPr>
      <w:i/>
      <w:iCs/>
      <w:color w:val="404040" w:themeColor="text1" w:themeTint="BF"/>
    </w:rPr>
  </w:style>
  <w:style w:type="character" w:styleId="903">
    <w:name w:val="Strong"/>
    <w:basedOn w:val="929"/>
    <w:uiPriority w:val="22"/>
    <w:qFormat/>
    <w:pPr>
      <w:pBdr/>
      <w:spacing/>
      <w:ind/>
    </w:pPr>
    <w:rPr>
      <w:b/>
      <w:bCs/>
    </w:rPr>
  </w:style>
  <w:style w:type="character" w:styleId="904">
    <w:name w:val="Subtle Reference"/>
    <w:basedOn w:val="929"/>
    <w:uiPriority w:val="31"/>
    <w:qFormat/>
    <w:pPr>
      <w:pBdr/>
      <w:spacing/>
      <w:ind/>
    </w:pPr>
    <w:rPr>
      <w:smallCaps/>
      <w:color w:val="5a5a5a" w:themeColor="text1" w:themeTint="A5"/>
    </w:rPr>
  </w:style>
  <w:style w:type="character" w:styleId="905">
    <w:name w:val="Book Title"/>
    <w:basedOn w:val="929"/>
    <w:uiPriority w:val="33"/>
    <w:qFormat/>
    <w:pPr>
      <w:pBdr/>
      <w:spacing/>
      <w:ind/>
    </w:pPr>
    <w:rPr>
      <w:b/>
      <w:bCs/>
      <w:i/>
      <w:iCs/>
      <w:spacing w:val="5"/>
    </w:rPr>
  </w:style>
  <w:style w:type="paragraph" w:styleId="906">
    <w:name w:val="Caption"/>
    <w:basedOn w:val="925"/>
    <w:next w:val="925"/>
    <w:uiPriority w:val="35"/>
    <w:unhideWhenUsed/>
    <w:qFormat/>
    <w:pPr>
      <w:pBdr/>
      <w:spacing w:after="200" w:line="240" w:lineRule="auto"/>
      <w:ind/>
    </w:pPr>
    <w:rPr>
      <w:i/>
      <w:iCs/>
      <w:color w:val="0e2841" w:themeColor="text2"/>
      <w:sz w:val="18"/>
      <w:szCs w:val="18"/>
    </w:rPr>
  </w:style>
  <w:style w:type="paragraph" w:styleId="907">
    <w:name w:val="footnote text"/>
    <w:basedOn w:val="925"/>
    <w:link w:val="908"/>
    <w:uiPriority w:val="99"/>
    <w:semiHidden/>
    <w:unhideWhenUsed/>
    <w:pPr>
      <w:pBdr/>
      <w:spacing w:after="0" w:line="240" w:lineRule="auto"/>
      <w:ind/>
    </w:pPr>
    <w:rPr>
      <w:sz w:val="20"/>
      <w:szCs w:val="20"/>
    </w:rPr>
  </w:style>
  <w:style w:type="character" w:styleId="908">
    <w:name w:val="Footnote Text Char"/>
    <w:basedOn w:val="929"/>
    <w:link w:val="907"/>
    <w:uiPriority w:val="99"/>
    <w:semiHidden/>
    <w:pPr>
      <w:pBdr/>
      <w:spacing/>
      <w:ind/>
    </w:pPr>
    <w:rPr>
      <w:sz w:val="20"/>
      <w:szCs w:val="20"/>
    </w:rPr>
  </w:style>
  <w:style w:type="character" w:styleId="909">
    <w:name w:val="footnote reference"/>
    <w:basedOn w:val="929"/>
    <w:uiPriority w:val="99"/>
    <w:semiHidden/>
    <w:unhideWhenUsed/>
    <w:pPr>
      <w:pBdr/>
      <w:spacing/>
      <w:ind/>
    </w:pPr>
    <w:rPr>
      <w:vertAlign w:val="superscript"/>
    </w:rPr>
  </w:style>
  <w:style w:type="paragraph" w:styleId="910">
    <w:name w:val="endnote text"/>
    <w:basedOn w:val="925"/>
    <w:link w:val="911"/>
    <w:uiPriority w:val="99"/>
    <w:semiHidden/>
    <w:unhideWhenUsed/>
    <w:pPr>
      <w:pBdr/>
      <w:spacing w:after="0" w:line="240" w:lineRule="auto"/>
      <w:ind/>
    </w:pPr>
    <w:rPr>
      <w:sz w:val="20"/>
      <w:szCs w:val="20"/>
    </w:rPr>
  </w:style>
  <w:style w:type="character" w:styleId="911">
    <w:name w:val="Endnote Text Char"/>
    <w:basedOn w:val="929"/>
    <w:link w:val="910"/>
    <w:uiPriority w:val="99"/>
    <w:semiHidden/>
    <w:pPr>
      <w:pBdr/>
      <w:spacing/>
      <w:ind/>
    </w:pPr>
    <w:rPr>
      <w:sz w:val="20"/>
      <w:szCs w:val="20"/>
    </w:rPr>
  </w:style>
  <w:style w:type="character" w:styleId="912">
    <w:name w:val="endnote reference"/>
    <w:basedOn w:val="929"/>
    <w:uiPriority w:val="99"/>
    <w:semiHidden/>
    <w:unhideWhenUsed/>
    <w:pPr>
      <w:pBdr/>
      <w:spacing/>
      <w:ind/>
    </w:pPr>
    <w:rPr>
      <w:vertAlign w:val="superscript"/>
    </w:rPr>
  </w:style>
  <w:style w:type="character" w:styleId="913">
    <w:name w:val="FollowedHyperlink"/>
    <w:basedOn w:val="929"/>
    <w:uiPriority w:val="99"/>
    <w:semiHidden/>
    <w:unhideWhenUsed/>
    <w:pPr>
      <w:pBdr/>
      <w:spacing/>
      <w:ind/>
    </w:pPr>
    <w:rPr>
      <w:color w:val="954f72" w:themeColor="followedHyperlink"/>
      <w:u w:val="single"/>
    </w:rPr>
  </w:style>
  <w:style w:type="paragraph" w:styleId="914">
    <w:name w:val="toc 1"/>
    <w:basedOn w:val="925"/>
    <w:next w:val="925"/>
    <w:uiPriority w:val="39"/>
    <w:unhideWhenUsed/>
    <w:pPr>
      <w:pBdr/>
      <w:spacing w:after="100"/>
      <w:ind/>
    </w:pPr>
  </w:style>
  <w:style w:type="paragraph" w:styleId="915">
    <w:name w:val="toc 2"/>
    <w:basedOn w:val="925"/>
    <w:next w:val="925"/>
    <w:uiPriority w:val="39"/>
    <w:unhideWhenUsed/>
    <w:pPr>
      <w:pBdr/>
      <w:spacing w:after="100"/>
      <w:ind w:left="220"/>
    </w:pPr>
  </w:style>
  <w:style w:type="paragraph" w:styleId="916">
    <w:name w:val="toc 3"/>
    <w:basedOn w:val="925"/>
    <w:next w:val="925"/>
    <w:uiPriority w:val="39"/>
    <w:unhideWhenUsed/>
    <w:pPr>
      <w:pBdr/>
      <w:spacing w:after="100"/>
      <w:ind w:left="440"/>
    </w:pPr>
  </w:style>
  <w:style w:type="paragraph" w:styleId="917">
    <w:name w:val="toc 4"/>
    <w:basedOn w:val="925"/>
    <w:next w:val="925"/>
    <w:uiPriority w:val="39"/>
    <w:unhideWhenUsed/>
    <w:pPr>
      <w:pBdr/>
      <w:spacing w:after="100"/>
      <w:ind w:left="660"/>
    </w:pPr>
  </w:style>
  <w:style w:type="paragraph" w:styleId="918">
    <w:name w:val="toc 5"/>
    <w:basedOn w:val="925"/>
    <w:next w:val="925"/>
    <w:uiPriority w:val="39"/>
    <w:unhideWhenUsed/>
    <w:pPr>
      <w:pBdr/>
      <w:spacing w:after="100"/>
      <w:ind w:left="880"/>
    </w:pPr>
  </w:style>
  <w:style w:type="paragraph" w:styleId="919">
    <w:name w:val="toc 6"/>
    <w:basedOn w:val="925"/>
    <w:next w:val="925"/>
    <w:uiPriority w:val="39"/>
    <w:unhideWhenUsed/>
    <w:pPr>
      <w:pBdr/>
      <w:spacing w:after="100"/>
      <w:ind w:left="1100"/>
    </w:pPr>
  </w:style>
  <w:style w:type="paragraph" w:styleId="920">
    <w:name w:val="toc 7"/>
    <w:basedOn w:val="925"/>
    <w:next w:val="925"/>
    <w:uiPriority w:val="39"/>
    <w:unhideWhenUsed/>
    <w:pPr>
      <w:pBdr/>
      <w:spacing w:after="100"/>
      <w:ind w:left="1320"/>
    </w:pPr>
  </w:style>
  <w:style w:type="paragraph" w:styleId="921">
    <w:name w:val="toc 8"/>
    <w:basedOn w:val="925"/>
    <w:next w:val="925"/>
    <w:uiPriority w:val="39"/>
    <w:unhideWhenUsed/>
    <w:pPr>
      <w:pBdr/>
      <w:spacing w:after="100"/>
      <w:ind w:left="1540"/>
    </w:pPr>
  </w:style>
  <w:style w:type="paragraph" w:styleId="922">
    <w:name w:val="toc 9"/>
    <w:basedOn w:val="925"/>
    <w:next w:val="925"/>
    <w:uiPriority w:val="39"/>
    <w:unhideWhenUsed/>
    <w:pPr>
      <w:pBdr/>
      <w:spacing w:after="100"/>
      <w:ind w:left="1760"/>
    </w:pPr>
  </w:style>
  <w:style w:type="paragraph" w:styleId="923">
    <w:name w:val="TOC Heading"/>
    <w:uiPriority w:val="39"/>
    <w:unhideWhenUsed/>
    <w:pPr>
      <w:pBdr/>
      <w:spacing/>
      <w:ind/>
    </w:pPr>
  </w:style>
  <w:style w:type="paragraph" w:styleId="924">
    <w:name w:val="table of figures"/>
    <w:basedOn w:val="925"/>
    <w:next w:val="925"/>
    <w:uiPriority w:val="99"/>
    <w:unhideWhenUsed/>
    <w:pPr>
      <w:pBdr/>
      <w:spacing w:after="0" w:afterAutospacing="0"/>
      <w:ind/>
    </w:pPr>
  </w:style>
  <w:style w:type="paragraph" w:styleId="925" w:default="1">
    <w:name w:val="Normal"/>
    <w:qFormat/>
    <w:pPr>
      <w:pBdr/>
      <w:spacing/>
      <w:ind/>
    </w:pPr>
    <w:rPr>
      <w:sz w:val="28"/>
      <w:szCs w:val="28"/>
    </w:rPr>
  </w:style>
  <w:style w:type="paragraph" w:styleId="926">
    <w:name w:val="Heading 1"/>
    <w:basedOn w:val="925"/>
    <w:next w:val="925"/>
    <w:qFormat/>
    <w:pPr>
      <w:keepNext w:val="true"/>
      <w:pBdr/>
      <w:spacing/>
      <w:ind/>
      <w:jc w:val="center"/>
      <w:outlineLvl w:val="0"/>
    </w:pPr>
    <w:rPr>
      <w:b/>
      <w:szCs w:val="20"/>
    </w:rPr>
  </w:style>
  <w:style w:type="paragraph" w:styleId="927">
    <w:name w:val="Heading 2"/>
    <w:basedOn w:val="925"/>
    <w:next w:val="925"/>
    <w:qFormat/>
    <w:pPr>
      <w:keepNext w:val="true"/>
      <w:pBdr/>
      <w:spacing/>
      <w:ind/>
      <w:jc w:val="both"/>
      <w:outlineLvl w:val="1"/>
    </w:pPr>
    <w:rPr>
      <w:b/>
      <w:sz w:val="26"/>
      <w:szCs w:val="20"/>
    </w:rPr>
  </w:style>
  <w:style w:type="paragraph" w:styleId="928">
    <w:name w:val="Heading 4"/>
    <w:basedOn w:val="925"/>
    <w:next w:val="925"/>
    <w:qFormat/>
    <w:pPr>
      <w:keepNext w:val="true"/>
      <w:pBdr/>
      <w:spacing/>
      <w:ind w:left="2160"/>
      <w:jc w:val="both"/>
      <w:outlineLvl w:val="3"/>
    </w:pPr>
    <w:rPr>
      <w:b/>
      <w:sz w:val="26"/>
      <w:szCs w:val="20"/>
    </w:rPr>
  </w:style>
  <w:style w:type="character" w:styleId="929" w:default="1">
    <w:name w:val="Default Paragraph Font"/>
    <w:uiPriority w:val="1"/>
    <w:semiHidden/>
    <w:unhideWhenUsed/>
    <w:pPr>
      <w:pBdr/>
      <w:spacing/>
      <w:ind/>
    </w:pPr>
  </w:style>
  <w:style w:type="table" w:styleId="93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1" w:default="1">
    <w:name w:val="No List"/>
    <w:uiPriority w:val="99"/>
    <w:semiHidden/>
    <w:unhideWhenUsed/>
    <w:pPr>
      <w:pBdr/>
      <w:spacing/>
      <w:ind/>
    </w:pPr>
  </w:style>
  <w:style w:type="paragraph" w:styleId="932">
    <w:name w:val="Body Text Indent"/>
    <w:basedOn w:val="925"/>
    <w:link w:val="934"/>
    <w:pPr>
      <w:pBdr/>
      <w:spacing/>
      <w:ind w:firstLine="720"/>
      <w:jc w:val="both"/>
    </w:pPr>
    <w:rPr>
      <w:sz w:val="26"/>
      <w:szCs w:val="20"/>
    </w:rPr>
  </w:style>
  <w:style w:type="paragraph" w:styleId="933">
    <w:name w:val="Body Text Indent 2"/>
    <w:basedOn w:val="925"/>
    <w:pPr>
      <w:pBdr/>
      <w:spacing/>
      <w:ind w:firstLine="720"/>
      <w:jc w:val="both"/>
    </w:pPr>
    <w:rPr>
      <w:szCs w:val="20"/>
    </w:rPr>
  </w:style>
  <w:style w:type="character" w:styleId="934" w:customStyle="1">
    <w:name w:val="Body Text Indent Char"/>
    <w:link w:val="932"/>
    <w:pPr>
      <w:pBdr/>
      <w:spacing/>
      <w:ind/>
    </w:pPr>
    <w:rPr>
      <w:sz w:val="26"/>
      <w:lang w:val="en-US" w:eastAsia="en-US" w:bidi="ar-SA"/>
    </w:rPr>
  </w:style>
  <w:style w:type="paragraph" w:styleId="935">
    <w:name w:val="Balloon Text"/>
    <w:basedOn w:val="925"/>
    <w:semiHidden/>
    <w:pPr>
      <w:pBdr/>
      <w:spacing/>
      <w:ind/>
    </w:pPr>
    <w:rPr>
      <w:rFonts w:ascii="Tahoma" w:hAnsi="Tahoma" w:cs="Tahoma"/>
      <w:sz w:val="16"/>
      <w:szCs w:val="16"/>
    </w:rPr>
  </w:style>
  <w:style w:type="paragraph" w:styleId="936">
    <w:name w:val="Header"/>
    <w:basedOn w:val="925"/>
    <w:link w:val="937"/>
    <w:uiPriority w:val="99"/>
    <w:pPr>
      <w:pBdr/>
      <w:tabs>
        <w:tab w:val="center" w:leader="none" w:pos="4680"/>
        <w:tab w:val="right" w:leader="none" w:pos="9360"/>
      </w:tabs>
      <w:spacing/>
      <w:ind/>
    </w:pPr>
  </w:style>
  <w:style w:type="character" w:styleId="937" w:customStyle="1">
    <w:name w:val="Header Char"/>
    <w:link w:val="936"/>
    <w:uiPriority w:val="99"/>
    <w:pPr>
      <w:pBdr/>
      <w:spacing/>
      <w:ind/>
    </w:pPr>
    <w:rPr>
      <w:sz w:val="28"/>
      <w:szCs w:val="28"/>
    </w:rPr>
  </w:style>
  <w:style w:type="paragraph" w:styleId="938">
    <w:name w:val="Footer"/>
    <w:basedOn w:val="925"/>
    <w:link w:val="939"/>
    <w:uiPriority w:val="99"/>
    <w:pPr>
      <w:pBdr/>
      <w:tabs>
        <w:tab w:val="center" w:leader="none" w:pos="4680"/>
        <w:tab w:val="right" w:leader="none" w:pos="9360"/>
      </w:tabs>
      <w:spacing/>
      <w:ind/>
    </w:pPr>
  </w:style>
  <w:style w:type="character" w:styleId="939" w:customStyle="1">
    <w:name w:val="Footer Char"/>
    <w:link w:val="938"/>
    <w:uiPriority w:val="99"/>
    <w:pPr>
      <w:pBdr/>
      <w:spacing/>
      <w:ind/>
    </w:pPr>
    <w:rPr>
      <w:sz w:val="28"/>
      <w:szCs w:val="28"/>
    </w:rPr>
  </w:style>
  <w:style w:type="character" w:styleId="940">
    <w:name w:val="Emphasis"/>
    <w:basedOn w:val="929"/>
    <w:uiPriority w:val="20"/>
    <w:qFormat/>
    <w:pPr>
      <w:pBdr/>
      <w:spacing/>
      <w:ind/>
    </w:pPr>
    <w:rPr>
      <w:i/>
      <w:iCs/>
    </w:rPr>
  </w:style>
  <w:style w:type="paragraph" w:styleId="941">
    <w:name w:val="Body Text"/>
    <w:basedOn w:val="925"/>
    <w:link w:val="942"/>
    <w:unhideWhenUsed/>
    <w:pPr>
      <w:pBdr/>
      <w:spacing w:after="120"/>
      <w:ind/>
    </w:pPr>
  </w:style>
  <w:style w:type="character" w:styleId="942" w:customStyle="1">
    <w:name w:val="Body Text Char"/>
    <w:basedOn w:val="929"/>
    <w:link w:val="941"/>
    <w:pPr>
      <w:pBdr/>
      <w:spacing/>
      <w:ind/>
    </w:pPr>
    <w:rPr>
      <w:sz w:val="28"/>
      <w:szCs w:val="28"/>
    </w:rPr>
  </w:style>
  <w:style w:type="paragraph" w:styleId="943">
    <w:name w:val="List Paragraph"/>
    <w:basedOn w:val="925"/>
    <w:uiPriority w:val="34"/>
    <w:qFormat/>
    <w:pPr>
      <w:pBdr/>
      <w:spacing/>
      <w:ind w:left="720"/>
      <w:contextualSpacing w:val="true"/>
    </w:pPr>
  </w:style>
  <w:style w:type="paragraph" w:styleId="944" w:customStyle="1">
    <w:name w:val="Char"/>
    <w:basedOn w:val="925"/>
    <w:pPr>
      <w:pBdr/>
      <w:spacing w:after="160" w:line="240" w:lineRule="exact"/>
      <w:ind/>
    </w:pPr>
    <w:rPr>
      <w:rFonts w:ascii="Verdana" w:hAnsi="Verdana"/>
      <w:sz w:val="20"/>
      <w:szCs w:val="20"/>
    </w:rPr>
  </w:style>
  <w:style w:type="character" w:styleId="945" w:customStyle="1">
    <w:name w:val="fontstyle01"/>
    <w:pPr>
      <w:pBdr/>
      <w:spacing/>
      <w:ind/>
    </w:pPr>
    <w:rPr>
      <w:rFonts w:hint="default" w:ascii="Times New Roman" w:hAnsi="Times New Roman" w:cs="Times New Roman"/>
      <w:b w:val="0"/>
      <w:bCs w:val="0"/>
      <w:i w:val="0"/>
      <w:iCs w:val="0"/>
      <w:color w:val="000000"/>
      <w:sz w:val="28"/>
      <w:szCs w:val="28"/>
    </w:rPr>
  </w:style>
  <w:style w:type="table" w:styleId="946">
    <w:name w:val="Table Grid"/>
    <w:basedOn w:val="930"/>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7">
    <w:name w:val="Hyperlink"/>
    <w:uiPriority w:val="99"/>
    <w:unhideWhenUsed/>
    <w:pPr>
      <w:pBdr/>
      <w:spacing/>
      <w:ind/>
    </w:pPr>
    <w:rPr>
      <w:color w:val="0000ff"/>
      <w:u w:val="single"/>
    </w:rPr>
  </w:style>
  <w:style w:type="paragraph" w:styleId="948">
    <w:name w:val="Normal (Web)"/>
    <w:basedOn w:val="925"/>
    <w:uiPriority w:val="99"/>
    <w:semiHidden/>
    <w:unhideWhenUsed/>
    <w:pPr>
      <w:pBdr/>
      <w:spacing w:after="100" w:afterAutospacing="1" w:before="100" w:beforeAutospacing="1"/>
      <w:ind/>
    </w:pPr>
    <w:rPr>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4.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34B8F0-4C1D-4ADB-BAB6-2AD786F1237C}">
  <ds:schemaRefs>
    <ds:schemaRef ds:uri="http://schemas.openxmlformats.org/officeDocument/2006/bibliography"/>
  </ds:schemaRefs>
</ds:datastoreItem>
</file>

<file path=customXml/itemProps2.xml><?xml version="1.0" encoding="utf-8"?>
<ds:datastoreItem xmlns:ds="http://schemas.openxmlformats.org/officeDocument/2006/customXml" ds:itemID="{2407B6B1-A2E5-4E25-B893-1B4194F21E85}"/>
</file>

<file path=customXml/itemProps3.xml><?xml version="1.0" encoding="utf-8"?>
<ds:datastoreItem xmlns:ds="http://schemas.openxmlformats.org/officeDocument/2006/customXml" ds:itemID="{4ACC3085-CD42-4094-BE78-1C71857311F9}"/>
</file>

<file path=customXml/itemProps4.xml><?xml version="1.0" encoding="utf-8"?>
<ds:datastoreItem xmlns:ds="http://schemas.openxmlformats.org/officeDocument/2006/customXml" ds:itemID="{DD09C553-9E4A-484D-83A5-596896F4469E}"/>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VPUB</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TTTH</dc:creator>
  <cp:lastModifiedBy>Lưu Hương Xuân</cp:lastModifiedBy>
  <cp:revision>17</cp:revision>
  <dcterms:created xsi:type="dcterms:W3CDTF">2026-03-10T11:26:00Z</dcterms:created>
  <dcterms:modified xsi:type="dcterms:W3CDTF">2026-03-12T09:28:59Z</dcterms:modified>
</cp:coreProperties>
</file>