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291"/>
        <w:gridCol w:w="5781"/>
      </w:tblGrid>
      <w:tr w:rsidR="00A41C6A">
        <w:trPr>
          <w:jc w:val="center"/>
        </w:trPr>
        <w:tc>
          <w:tcPr>
            <w:tcW w:w="1814" w:type="pct"/>
            <w:tcBorders>
              <w:top w:val="none" w:sz="4" w:space="0" w:color="000000"/>
              <w:left w:val="none" w:sz="4" w:space="0" w:color="000000"/>
              <w:bottom w:val="none" w:sz="4" w:space="0" w:color="000000"/>
              <w:right w:val="none" w:sz="4" w:space="0" w:color="000000"/>
            </w:tcBorders>
          </w:tcPr>
          <w:p w:rsidR="00A41C6A" w:rsidRDefault="00CF671C">
            <w:pPr>
              <w:ind w:left="-16"/>
              <w:jc w:val="center"/>
              <w:rPr>
                <w:b/>
                <w:sz w:val="26"/>
                <w:szCs w:val="26"/>
              </w:rPr>
            </w:pPr>
            <w:r>
              <w:rPr>
                <w:b/>
                <w:sz w:val="26"/>
                <w:szCs w:val="26"/>
              </w:rPr>
              <w:t>UỶ BAN NHÂN DÂN</w:t>
            </w:r>
          </w:p>
          <w:p w:rsidR="00A41C6A" w:rsidRDefault="00CF671C">
            <w:pPr>
              <w:ind w:left="-16"/>
              <w:jc w:val="center"/>
              <w:rPr>
                <w:b/>
                <w:bCs/>
              </w:rPr>
            </w:pPr>
            <w:r>
              <w:rPr>
                <w:b/>
                <w:iCs/>
              </w:rPr>
              <w:t>TỈNH TÂY NINH</w:t>
            </w:r>
          </w:p>
          <w:p w:rsidR="00A41C6A" w:rsidRDefault="00CF671C">
            <w:pPr>
              <w:tabs>
                <w:tab w:val="center" w:pos="1507"/>
                <w:tab w:val="right" w:pos="3015"/>
              </w:tabs>
              <w:jc w:val="center"/>
              <w:rPr>
                <w:b/>
                <w:bCs/>
                <w:vertAlign w:val="superscript"/>
              </w:rPr>
            </w:pPr>
            <w:r>
              <w:rPr>
                <w:b/>
                <w:bCs/>
                <w:vertAlign w:val="superscript"/>
              </w:rPr>
              <w:t>____________</w:t>
            </w:r>
          </w:p>
          <w:p w:rsidR="00A41C6A" w:rsidRDefault="00CF671C">
            <w:pPr>
              <w:ind w:left="-170"/>
              <w:jc w:val="center"/>
            </w:pPr>
            <w:r>
              <w:t xml:space="preserve">Số:   </w:t>
            </w:r>
            <w:r w:rsidR="00837912">
              <w:t xml:space="preserve">56  </w:t>
            </w:r>
            <w:r>
              <w:t>/2026/QĐ-UBND</w:t>
            </w:r>
          </w:p>
          <w:p w:rsidR="00A41C6A" w:rsidRDefault="00A41C6A">
            <w:pPr>
              <w:ind w:left="-170"/>
              <w:jc w:val="center"/>
              <w:rPr>
                <w:b/>
                <w:bCs/>
                <w:sz w:val="26"/>
                <w:szCs w:val="26"/>
              </w:rPr>
            </w:pPr>
          </w:p>
        </w:tc>
        <w:tc>
          <w:tcPr>
            <w:tcW w:w="3186" w:type="pct"/>
            <w:tcBorders>
              <w:top w:val="none" w:sz="4" w:space="0" w:color="000000"/>
              <w:left w:val="none" w:sz="4" w:space="0" w:color="000000"/>
              <w:bottom w:val="none" w:sz="4" w:space="0" w:color="000000"/>
              <w:right w:val="none" w:sz="4" w:space="0" w:color="000000"/>
            </w:tcBorders>
          </w:tcPr>
          <w:p w:rsidR="00A41C6A" w:rsidRDefault="00CF671C">
            <w:pPr>
              <w:pStyle w:val="Heading1"/>
              <w:rPr>
                <w:sz w:val="26"/>
                <w:szCs w:val="26"/>
              </w:rPr>
            </w:pPr>
            <w:r>
              <w:rPr>
                <w:sz w:val="26"/>
                <w:szCs w:val="26"/>
              </w:rPr>
              <w:t xml:space="preserve"> CỘNG HOÀ XÃ HỘI CHỦ NGHĨA VIỆT NAM</w:t>
            </w:r>
          </w:p>
          <w:p w:rsidR="00A41C6A" w:rsidRDefault="00CF671C">
            <w:pPr>
              <w:pStyle w:val="Heading2"/>
              <w:spacing w:before="0" w:after="0"/>
              <w:jc w:val="center"/>
              <w:rPr>
                <w:rFonts w:ascii="Times New Roman" w:hAnsi="Times New Roman"/>
                <w:i w:val="0"/>
                <w:sz w:val="28"/>
                <w:szCs w:val="28"/>
              </w:rPr>
            </w:pPr>
            <w:r>
              <w:rPr>
                <w:rFonts w:ascii="Times New Roman" w:hAnsi="Times New Roman"/>
                <w:i w:val="0"/>
                <w:sz w:val="28"/>
                <w:szCs w:val="28"/>
              </w:rPr>
              <w:t>Độc lập - Tự do - Hạnh phúc</w:t>
            </w:r>
          </w:p>
          <w:p w:rsidR="00A41C6A" w:rsidRDefault="00CF671C">
            <w:pPr>
              <w:jc w:val="center"/>
              <w:rPr>
                <w:vertAlign w:val="superscript"/>
              </w:rPr>
            </w:pPr>
            <w:r>
              <w:rPr>
                <w:vertAlign w:val="superscript"/>
              </w:rPr>
              <w:t>_____________________________________</w:t>
            </w:r>
          </w:p>
          <w:p w:rsidR="00A41C6A" w:rsidRDefault="00837912">
            <w:pPr>
              <w:jc w:val="center"/>
              <w:rPr>
                <w:i/>
                <w:iCs/>
              </w:rPr>
            </w:pPr>
            <w:r>
              <w:rPr>
                <w:i/>
                <w:iCs/>
              </w:rPr>
              <w:t>Tây Ninh, ngày 16</w:t>
            </w:r>
            <w:r w:rsidR="00CF671C">
              <w:rPr>
                <w:i/>
                <w:iCs/>
              </w:rPr>
              <w:t xml:space="preserve"> </w:t>
            </w:r>
            <w:r w:rsidR="00CF671C">
              <w:rPr>
                <w:i/>
                <w:iCs/>
                <w:color w:val="000000"/>
              </w:rPr>
              <w:t>tháng   4   năm</w:t>
            </w:r>
            <w:r w:rsidR="00CF671C">
              <w:rPr>
                <w:i/>
                <w:iCs/>
              </w:rPr>
              <w:t xml:space="preserve"> 2026</w:t>
            </w:r>
          </w:p>
        </w:tc>
      </w:tr>
    </w:tbl>
    <w:p w:rsidR="00A41C6A" w:rsidRDefault="00A41C6A">
      <w:pPr>
        <w:rPr>
          <w:vanish/>
        </w:rPr>
      </w:pPr>
    </w:p>
    <w:p w:rsidR="00A41C6A" w:rsidRDefault="00CF671C">
      <w:pPr>
        <w:pStyle w:val="Caption"/>
        <w:tabs>
          <w:tab w:val="left" w:pos="5115"/>
        </w:tabs>
        <w:spacing w:line="360" w:lineRule="exact"/>
        <w:jc w:val="center"/>
        <w:rPr>
          <w:rFonts w:ascii="Times New Roman" w:hAnsi="Times New Roman"/>
          <w:b/>
          <w:bCs/>
          <w:i w:val="0"/>
          <w:iCs/>
        </w:rPr>
      </w:pPr>
      <w:r>
        <w:rPr>
          <w:rFonts w:ascii="Times New Roman" w:hAnsi="Times New Roman"/>
          <w:b/>
          <w:bCs/>
          <w:i w:val="0"/>
          <w:iCs/>
          <w:sz w:val="28"/>
        </w:rPr>
        <w:t>QUYẾT ĐỊNH</w:t>
      </w:r>
    </w:p>
    <w:p w:rsidR="00A41C6A" w:rsidRDefault="00CF671C">
      <w:pPr>
        <w:spacing w:line="360" w:lineRule="exact"/>
        <w:jc w:val="center"/>
        <w:rPr>
          <w:rFonts w:ascii="Times New Roman Bold" w:hAnsi="Times New Roman Bold"/>
          <w:b/>
        </w:rPr>
      </w:pPr>
      <w:r>
        <w:rPr>
          <w:rFonts w:ascii="Times New Roman Bold" w:hAnsi="Times New Roman Bold"/>
          <w:b/>
        </w:rPr>
        <w:t xml:space="preserve">Ban hành Quy </w:t>
      </w:r>
      <w:r>
        <w:rPr>
          <w:rFonts w:ascii="Times New Roman Bold" w:hAnsi="Times New Roman Bold"/>
          <w:b/>
        </w:rPr>
        <w:t xml:space="preserve">định về trình tự, thời gian lập, xét duyệt và gửi báo cáo </w:t>
      </w:r>
    </w:p>
    <w:p w:rsidR="00A41C6A" w:rsidRDefault="00CF671C">
      <w:pPr>
        <w:spacing w:line="360" w:lineRule="exact"/>
        <w:jc w:val="center"/>
        <w:rPr>
          <w:rFonts w:ascii="Times New Roman Bold" w:hAnsi="Times New Roman Bold"/>
          <w:b/>
        </w:rPr>
      </w:pPr>
      <w:r>
        <w:rPr>
          <w:rFonts w:ascii="Times New Roman Bold" w:hAnsi="Times New Roman Bold"/>
          <w:b/>
        </w:rPr>
        <w:t xml:space="preserve">quyết toán vốn đầu tư công theo niên độ nguồn ngân sách nhà nước </w:t>
      </w:r>
    </w:p>
    <w:p w:rsidR="00A41C6A" w:rsidRDefault="00CF671C">
      <w:pPr>
        <w:spacing w:line="360" w:lineRule="exact"/>
        <w:jc w:val="center"/>
        <w:rPr>
          <w:rFonts w:ascii="Times New Roman Bold" w:hAnsi="Times New Roman Bold"/>
          <w:b/>
        </w:rPr>
      </w:pPr>
      <w:r>
        <w:rPr>
          <w:rFonts w:ascii="Times New Roman Bold" w:hAnsi="Times New Roman Bold"/>
          <w:b/>
        </w:rPr>
        <w:t>do địa phương quản lý trên địa bàn tỉnh Tây Ninh</w:t>
      </w:r>
    </w:p>
    <w:p w:rsidR="00A41C6A" w:rsidRDefault="00A41C6A">
      <w:pPr>
        <w:spacing w:line="360" w:lineRule="exact"/>
        <w:jc w:val="center"/>
        <w:rPr>
          <w:rFonts w:ascii="Times New Roman Bold" w:hAnsi="Times New Roman Bold"/>
          <w:b/>
        </w:rPr>
      </w:pPr>
    </w:p>
    <w:p w:rsidR="00A41C6A" w:rsidRDefault="00CF671C">
      <w:pPr>
        <w:spacing w:before="120" w:after="120" w:line="440" w:lineRule="atLeast"/>
        <w:ind w:firstLine="567"/>
        <w:jc w:val="both"/>
        <w:rPr>
          <w:i/>
          <w:iCs/>
          <w:spacing w:val="-6"/>
        </w:rPr>
      </w:pPr>
      <w:bookmarkStart w:id="0" w:name="_Hlk213319993"/>
      <w:r>
        <w:rPr>
          <w:i/>
          <w:iCs/>
          <w:spacing w:val="-6"/>
        </w:rPr>
        <w:t>Căn cứ Luật Tổ chức chính quyền địa phương số 72/2025/QH15;</w:t>
      </w:r>
    </w:p>
    <w:p w:rsidR="00A41C6A" w:rsidRDefault="00CF671C">
      <w:pPr>
        <w:spacing w:before="120" w:after="120" w:line="440" w:lineRule="atLeast"/>
        <w:ind w:firstLine="567"/>
        <w:jc w:val="both"/>
        <w:rPr>
          <w:i/>
          <w:iCs/>
          <w:spacing w:val="-8"/>
        </w:rPr>
      </w:pPr>
      <w:r>
        <w:rPr>
          <w:i/>
          <w:iCs/>
          <w:spacing w:val="-8"/>
        </w:rPr>
        <w:t>Căn cứ </w:t>
      </w:r>
      <w:bookmarkStart w:id="1" w:name="tvpllink_vvgjhunbih"/>
      <w:r>
        <w:rPr>
          <w:i/>
          <w:iCs/>
          <w:spacing w:val="-8"/>
        </w:rPr>
        <w:fldChar w:fldCharType="begin"/>
      </w:r>
      <w:r>
        <w:rPr>
          <w:i/>
          <w:iCs/>
          <w:spacing w:val="-8"/>
        </w:rPr>
        <w:instrText>HYPERLINK "</w:instrText>
      </w:r>
      <w:r>
        <w:rPr>
          <w:i/>
          <w:iCs/>
          <w:spacing w:val="-8"/>
        </w:rPr>
        <w:instrText>https://thuvienphapluat.vn/van-ban/Tai-chinh-nha-nuoc/Luat-ngan-sach-nha-nuoc-2025-so-89-2025-QH15-650061.aspx" \t "_blank"</w:instrText>
      </w:r>
      <w:r>
        <w:rPr>
          <w:i/>
          <w:iCs/>
          <w:spacing w:val="-8"/>
        </w:rPr>
        <w:fldChar w:fldCharType="separate"/>
      </w:r>
      <w:r>
        <w:rPr>
          <w:i/>
          <w:iCs/>
          <w:spacing w:val="-8"/>
        </w:rPr>
        <w:t>Luật Ngân sách nhà nước số 89/2025/QH15</w:t>
      </w:r>
      <w:r>
        <w:rPr>
          <w:i/>
          <w:iCs/>
          <w:spacing w:val="-8"/>
        </w:rPr>
        <w:fldChar w:fldCharType="end"/>
      </w:r>
      <w:bookmarkEnd w:id="1"/>
      <w:r>
        <w:rPr>
          <w:i/>
          <w:iCs/>
          <w:spacing w:val="-8"/>
        </w:rPr>
        <w:t>;</w:t>
      </w:r>
      <w:bookmarkEnd w:id="0"/>
    </w:p>
    <w:p w:rsidR="00A41C6A" w:rsidRDefault="00CF671C">
      <w:pPr>
        <w:spacing w:before="120" w:after="120" w:line="440" w:lineRule="atLeast"/>
        <w:ind w:firstLine="567"/>
        <w:jc w:val="both"/>
        <w:rPr>
          <w:i/>
          <w:iCs/>
          <w:spacing w:val="-2"/>
        </w:rPr>
      </w:pPr>
      <w:r>
        <w:rPr>
          <w:i/>
          <w:iCs/>
          <w:spacing w:val="-2"/>
        </w:rPr>
        <w:t>Căn cứ </w:t>
      </w:r>
      <w:bookmarkStart w:id="2" w:name="tvpllink_egevmdwtbo"/>
      <w:r>
        <w:rPr>
          <w:i/>
          <w:iCs/>
          <w:spacing w:val="-2"/>
        </w:rPr>
        <w:fldChar w:fldCharType="begin"/>
      </w:r>
      <w:r>
        <w:rPr>
          <w:i/>
          <w:iCs/>
          <w:spacing w:val="-2"/>
        </w:rPr>
        <w:instrText>HYPERLINK "https://thuvienphapluat.vn/van-ban/Dau-tu/Luat-Dau-tu-cong-2024-so-58-2</w:instrText>
      </w:r>
      <w:r>
        <w:rPr>
          <w:i/>
          <w:iCs/>
          <w:spacing w:val="-2"/>
        </w:rPr>
        <w:instrText>024-QH15-621645.aspx" \t "_blank"</w:instrText>
      </w:r>
      <w:r>
        <w:rPr>
          <w:i/>
          <w:iCs/>
          <w:spacing w:val="-2"/>
        </w:rPr>
        <w:fldChar w:fldCharType="separate"/>
      </w:r>
      <w:r>
        <w:rPr>
          <w:i/>
          <w:iCs/>
          <w:spacing w:val="-2"/>
        </w:rPr>
        <w:t>Luật Đầu tư công số 58/2024/QH15</w:t>
      </w:r>
      <w:r>
        <w:rPr>
          <w:i/>
          <w:iCs/>
          <w:spacing w:val="-2"/>
        </w:rPr>
        <w:fldChar w:fldCharType="end"/>
      </w:r>
      <w:bookmarkEnd w:id="2"/>
      <w:r>
        <w:rPr>
          <w:i/>
          <w:iCs/>
          <w:spacing w:val="-2"/>
        </w:rPr>
        <w:t>;</w:t>
      </w:r>
    </w:p>
    <w:p w:rsidR="00A41C6A" w:rsidRDefault="00CF671C">
      <w:pPr>
        <w:spacing w:before="120" w:after="120" w:line="440" w:lineRule="atLeast"/>
        <w:ind w:firstLine="567"/>
        <w:jc w:val="both"/>
        <w:rPr>
          <w:i/>
          <w:iCs/>
          <w:spacing w:val="-2"/>
        </w:rPr>
      </w:pPr>
      <w:r>
        <w:rPr>
          <w:i/>
          <w:iCs/>
          <w:spacing w:val="-2"/>
        </w:rPr>
        <w:t xml:space="preserve">Căn cứ </w:t>
      </w:r>
      <w:r>
        <w:rPr>
          <w:i/>
          <w:iCs/>
          <w:spacing w:val="4"/>
        </w:rPr>
        <w:t>Luật sửa đổi, bổ</w:t>
      </w:r>
      <w:r>
        <w:rPr>
          <w:i/>
          <w:iCs/>
          <w:spacing w:val="-2"/>
        </w:rPr>
        <w:t xml:space="preserve"> sung một số điều của </w:t>
      </w:r>
      <w:bookmarkStart w:id="3" w:name="tvpllink_gqfnckcasa"/>
      <w:r>
        <w:rPr>
          <w:i/>
          <w:iCs/>
          <w:spacing w:val="-2"/>
        </w:rPr>
        <w:fldChar w:fldCharType="begin"/>
      </w:r>
      <w:r>
        <w:rPr>
          <w:i/>
          <w:iCs/>
          <w:spacing w:val="-2"/>
        </w:rPr>
        <w:instrText>HYPERLINK "https://thuvienphapluat.vn/van-ban/Dau-tu/Luat-Dau-thau-2023-22-2023-QH15-518805.aspx" \t "_blank"</w:instrText>
      </w:r>
      <w:r>
        <w:rPr>
          <w:i/>
          <w:iCs/>
          <w:spacing w:val="-2"/>
        </w:rPr>
        <w:fldChar w:fldCharType="separate"/>
      </w:r>
      <w:r>
        <w:rPr>
          <w:i/>
          <w:iCs/>
          <w:spacing w:val="-2"/>
        </w:rPr>
        <w:t>Luật Đấu thầu</w:t>
      </w:r>
      <w:r>
        <w:rPr>
          <w:i/>
          <w:iCs/>
          <w:spacing w:val="-2"/>
        </w:rPr>
        <w:fldChar w:fldCharType="end"/>
      </w:r>
      <w:bookmarkEnd w:id="3"/>
      <w:r>
        <w:rPr>
          <w:i/>
          <w:iCs/>
          <w:spacing w:val="-2"/>
        </w:rPr>
        <w:t>, </w:t>
      </w:r>
      <w:bookmarkStart w:id="4" w:name="tvpllink_vyzhhycgyv"/>
      <w:r>
        <w:rPr>
          <w:i/>
          <w:iCs/>
          <w:spacing w:val="-2"/>
        </w:rPr>
        <w:fldChar w:fldCharType="begin"/>
      </w:r>
      <w:r>
        <w:rPr>
          <w:i/>
          <w:iCs/>
          <w:spacing w:val="-2"/>
        </w:rPr>
        <w:instrText>HYPERLINK "htt</w:instrText>
      </w:r>
      <w:r>
        <w:rPr>
          <w:i/>
          <w:iCs/>
          <w:spacing w:val="-2"/>
        </w:rPr>
        <w:instrText>ps://thuvienphapluat.vn/van-ban/Dau-tu/Luat-Dau-tu-theo-hinh-thuc-doi-tac-cong-tu-so-64-2020-QH14-374160.aspx" \t "_blank"</w:instrText>
      </w:r>
      <w:r>
        <w:rPr>
          <w:i/>
          <w:iCs/>
          <w:spacing w:val="-2"/>
        </w:rPr>
        <w:fldChar w:fldCharType="separate"/>
      </w:r>
      <w:r>
        <w:rPr>
          <w:i/>
          <w:iCs/>
          <w:spacing w:val="-2"/>
        </w:rPr>
        <w:t>Luật Đầu tư theo phương thức đối tác công tư</w:t>
      </w:r>
      <w:r>
        <w:rPr>
          <w:i/>
          <w:iCs/>
          <w:spacing w:val="-2"/>
        </w:rPr>
        <w:fldChar w:fldCharType="end"/>
      </w:r>
      <w:bookmarkEnd w:id="4"/>
      <w:r>
        <w:rPr>
          <w:i/>
          <w:iCs/>
          <w:spacing w:val="-2"/>
        </w:rPr>
        <w:t>, </w:t>
      </w:r>
      <w:bookmarkStart w:id="5" w:name="tvpllink_jtbreqnlmk"/>
      <w:r>
        <w:rPr>
          <w:i/>
          <w:iCs/>
          <w:spacing w:val="-2"/>
        </w:rPr>
        <w:fldChar w:fldCharType="begin"/>
      </w:r>
      <w:r>
        <w:rPr>
          <w:i/>
          <w:iCs/>
          <w:spacing w:val="-2"/>
        </w:rPr>
        <w:instrText>HYPERLINK "https://thuvienphapluat.vn/van-ban/Thuong-mai/Luat-Hai-quan-2014-238637.as</w:instrText>
      </w:r>
      <w:r>
        <w:rPr>
          <w:i/>
          <w:iCs/>
          <w:spacing w:val="-2"/>
        </w:rPr>
        <w:instrText>px" \t "_blank"</w:instrText>
      </w:r>
      <w:r>
        <w:rPr>
          <w:i/>
          <w:iCs/>
          <w:spacing w:val="-2"/>
        </w:rPr>
        <w:fldChar w:fldCharType="separate"/>
      </w:r>
      <w:r>
        <w:rPr>
          <w:i/>
          <w:iCs/>
          <w:spacing w:val="-2"/>
        </w:rPr>
        <w:t>Luật Hải quan</w:t>
      </w:r>
      <w:r>
        <w:rPr>
          <w:i/>
          <w:iCs/>
          <w:spacing w:val="-2"/>
        </w:rPr>
        <w:fldChar w:fldCharType="end"/>
      </w:r>
      <w:bookmarkEnd w:id="5"/>
      <w:r>
        <w:rPr>
          <w:i/>
          <w:iCs/>
          <w:spacing w:val="-2"/>
        </w:rPr>
        <w:t>, </w:t>
      </w:r>
      <w:bookmarkStart w:id="6" w:name="tvpllink_cfonnkiqjn"/>
      <w:r>
        <w:rPr>
          <w:i/>
          <w:iCs/>
          <w:spacing w:val="-2"/>
        </w:rPr>
        <w:fldChar w:fldCharType="begin"/>
      </w:r>
      <w:r>
        <w:rPr>
          <w:i/>
          <w:iCs/>
          <w:spacing w:val="-2"/>
        </w:rPr>
        <w:instrText>HYPERLINK "https://thuvienphapluat.vn/van-ban/Thue-Phi-Le-Phi/Luat-Thue-gia-tri-gia-tang-2024-so-48-2024-QH15-556390.aspx" \t "_blank"</w:instrText>
      </w:r>
      <w:r>
        <w:rPr>
          <w:i/>
          <w:iCs/>
          <w:spacing w:val="-2"/>
        </w:rPr>
        <w:fldChar w:fldCharType="separate"/>
      </w:r>
      <w:r>
        <w:rPr>
          <w:i/>
          <w:iCs/>
          <w:spacing w:val="-2"/>
        </w:rPr>
        <w:t>Luật Thuế giá trị gia tăng</w:t>
      </w:r>
      <w:r>
        <w:rPr>
          <w:i/>
          <w:iCs/>
          <w:spacing w:val="-2"/>
        </w:rPr>
        <w:fldChar w:fldCharType="end"/>
      </w:r>
      <w:bookmarkEnd w:id="6"/>
      <w:r>
        <w:rPr>
          <w:i/>
          <w:iCs/>
          <w:spacing w:val="-2"/>
        </w:rPr>
        <w:t>, </w:t>
      </w:r>
      <w:bookmarkStart w:id="7" w:name="tvpllink_hadubejmqv"/>
      <w:r>
        <w:rPr>
          <w:i/>
          <w:iCs/>
          <w:spacing w:val="-2"/>
        </w:rPr>
        <w:fldChar w:fldCharType="begin"/>
      </w:r>
      <w:r>
        <w:rPr>
          <w:i/>
          <w:iCs/>
          <w:spacing w:val="-2"/>
        </w:rPr>
        <w:instrText>HYPERLINK "https://thuvienphapluat.vn/van-ban/Xuat-nhap-kh</w:instrText>
      </w:r>
      <w:r>
        <w:rPr>
          <w:i/>
          <w:iCs/>
          <w:spacing w:val="-2"/>
        </w:rPr>
        <w:instrText>au/Luat-thue-xuat-khau-thue-nhap-khau-2016-280693.aspx" \t "_blank"</w:instrText>
      </w:r>
      <w:r>
        <w:rPr>
          <w:i/>
          <w:iCs/>
          <w:spacing w:val="-2"/>
        </w:rPr>
        <w:fldChar w:fldCharType="separate"/>
      </w:r>
      <w:r>
        <w:rPr>
          <w:i/>
          <w:iCs/>
          <w:spacing w:val="-2"/>
        </w:rPr>
        <w:t>Luật Thuế xuất khẩu, thuế nhập khẩu</w:t>
      </w:r>
      <w:r>
        <w:rPr>
          <w:i/>
          <w:iCs/>
          <w:spacing w:val="-2"/>
        </w:rPr>
        <w:fldChar w:fldCharType="end"/>
      </w:r>
      <w:bookmarkEnd w:id="7"/>
      <w:r>
        <w:rPr>
          <w:i/>
          <w:iCs/>
          <w:spacing w:val="-2"/>
        </w:rPr>
        <w:t>, </w:t>
      </w:r>
      <w:bookmarkStart w:id="8" w:name="tvpllink_gwozgqnrqo"/>
      <w:r>
        <w:rPr>
          <w:i/>
          <w:iCs/>
          <w:spacing w:val="-2"/>
        </w:rPr>
        <w:fldChar w:fldCharType="begin"/>
      </w:r>
      <w:r>
        <w:rPr>
          <w:i/>
          <w:iCs/>
          <w:spacing w:val="-2"/>
        </w:rPr>
        <w:instrText>HYPERLINK "https://thuvienphapluat.vn/van-ban/Doanh-nghiep/Luat-Dau-tu-so-61-2020-QH14-321051.aspx" \t "_blank"</w:instrText>
      </w:r>
      <w:r>
        <w:rPr>
          <w:i/>
          <w:iCs/>
          <w:spacing w:val="-2"/>
        </w:rPr>
        <w:fldChar w:fldCharType="separate"/>
      </w:r>
      <w:r>
        <w:rPr>
          <w:i/>
          <w:iCs/>
          <w:spacing w:val="-2"/>
        </w:rPr>
        <w:t>Luật Đầu tư</w:t>
      </w:r>
      <w:r>
        <w:rPr>
          <w:i/>
          <w:iCs/>
          <w:spacing w:val="-2"/>
        </w:rPr>
        <w:fldChar w:fldCharType="end"/>
      </w:r>
      <w:bookmarkEnd w:id="8"/>
      <w:r>
        <w:rPr>
          <w:i/>
          <w:iCs/>
          <w:spacing w:val="-2"/>
        </w:rPr>
        <w:t>, </w:t>
      </w:r>
      <w:bookmarkStart w:id="9" w:name="tvpllink_egevmdwtbo_1"/>
      <w:r>
        <w:rPr>
          <w:i/>
          <w:iCs/>
          <w:spacing w:val="-2"/>
        </w:rPr>
        <w:fldChar w:fldCharType="begin"/>
      </w:r>
      <w:r>
        <w:rPr>
          <w:i/>
          <w:iCs/>
          <w:spacing w:val="-2"/>
        </w:rPr>
        <w:instrText>HYPERLINK "https://thu</w:instrText>
      </w:r>
      <w:r>
        <w:rPr>
          <w:i/>
          <w:iCs/>
          <w:spacing w:val="-2"/>
        </w:rPr>
        <w:instrText>vienphapluat.vn/van-ban/Dau-tu/Luat-Dau-tu-cong-2024-so-58-2024-QH15-621645.aspx" \t "_blank"</w:instrText>
      </w:r>
      <w:r>
        <w:rPr>
          <w:i/>
          <w:iCs/>
          <w:spacing w:val="-2"/>
        </w:rPr>
        <w:fldChar w:fldCharType="separate"/>
      </w:r>
      <w:r>
        <w:rPr>
          <w:i/>
          <w:iCs/>
          <w:spacing w:val="-2"/>
        </w:rPr>
        <w:t>Luật Đầu tư công</w:t>
      </w:r>
      <w:r>
        <w:rPr>
          <w:i/>
          <w:iCs/>
          <w:spacing w:val="-2"/>
        </w:rPr>
        <w:fldChar w:fldCharType="end"/>
      </w:r>
      <w:bookmarkEnd w:id="9"/>
      <w:r>
        <w:rPr>
          <w:i/>
          <w:iCs/>
          <w:spacing w:val="-2"/>
        </w:rPr>
        <w:t>, </w:t>
      </w:r>
      <w:bookmarkStart w:id="10" w:name="tvpllink_tmztcowzkm"/>
      <w:r>
        <w:rPr>
          <w:i/>
          <w:iCs/>
          <w:spacing w:val="-2"/>
        </w:rPr>
        <w:fldChar w:fldCharType="begin"/>
      </w:r>
      <w:r>
        <w:rPr>
          <w:i/>
          <w:iCs/>
          <w:spacing w:val="-2"/>
        </w:rPr>
        <w:instrText>HYPERLINK "https://thuvienphapluat.vn/van-ban/Tai-chinh-nha-nuoc/Luat-Quan-ly-su-dung-tai-san-cong-2017-322220.aspx" \t "_blank"</w:instrText>
      </w:r>
      <w:r>
        <w:rPr>
          <w:i/>
          <w:iCs/>
          <w:spacing w:val="-2"/>
        </w:rPr>
        <w:fldChar w:fldCharType="separate"/>
      </w:r>
      <w:r>
        <w:rPr>
          <w:i/>
          <w:iCs/>
          <w:spacing w:val="-2"/>
        </w:rPr>
        <w:t xml:space="preserve">Luật Quản lý, </w:t>
      </w:r>
      <w:r>
        <w:rPr>
          <w:i/>
          <w:iCs/>
          <w:spacing w:val="-2"/>
        </w:rPr>
        <w:t>sử dụng tài sản công</w:t>
      </w:r>
      <w:r>
        <w:rPr>
          <w:i/>
          <w:iCs/>
          <w:spacing w:val="-2"/>
        </w:rPr>
        <w:fldChar w:fldCharType="end"/>
      </w:r>
      <w:bookmarkEnd w:id="10"/>
      <w:r>
        <w:rPr>
          <w:i/>
          <w:iCs/>
          <w:spacing w:val="4"/>
        </w:rPr>
        <w:t xml:space="preserve"> số </w:t>
      </w:r>
      <w:bookmarkStart w:id="11" w:name="tvpllink_hbwjisyjfg"/>
      <w:r>
        <w:rPr>
          <w:i/>
          <w:iCs/>
          <w:spacing w:val="4"/>
        </w:rPr>
        <w:fldChar w:fldCharType="begin"/>
      </w:r>
      <w:r>
        <w:rPr>
          <w:i/>
          <w:iCs/>
          <w:spacing w:val="4"/>
        </w:rPr>
        <w:instrText>HYPERLINK "https://thuvienphapluat.vn/van-ban/Dau-tu/Luat-sua-doi-Luat-Dau-thau-Luat-Dau-tu-theo-phuong-thuc-doi-tac-cong-tu-2025-so-90-2025-QH15-662379.aspx" \t "_blank"</w:instrText>
      </w:r>
      <w:r>
        <w:rPr>
          <w:i/>
          <w:iCs/>
          <w:spacing w:val="4"/>
        </w:rPr>
        <w:fldChar w:fldCharType="separate"/>
      </w:r>
      <w:r>
        <w:rPr>
          <w:i/>
          <w:iCs/>
          <w:spacing w:val="4"/>
        </w:rPr>
        <w:t>90/2025/QH15</w:t>
      </w:r>
      <w:r>
        <w:rPr>
          <w:i/>
          <w:iCs/>
          <w:spacing w:val="4"/>
        </w:rPr>
        <w:fldChar w:fldCharType="end"/>
      </w:r>
      <w:bookmarkEnd w:id="11"/>
      <w:r>
        <w:rPr>
          <w:i/>
          <w:iCs/>
          <w:spacing w:val="-2"/>
        </w:rPr>
        <w:t>;</w:t>
      </w:r>
    </w:p>
    <w:p w:rsidR="00A41C6A" w:rsidRDefault="00CF671C">
      <w:pPr>
        <w:spacing w:before="120" w:after="120" w:line="440" w:lineRule="atLeast"/>
        <w:ind w:firstLine="567"/>
        <w:jc w:val="both"/>
        <w:rPr>
          <w:i/>
          <w:iCs/>
          <w:spacing w:val="-8"/>
        </w:rPr>
      </w:pPr>
      <w:bookmarkStart w:id="12" w:name="_Hlk213320002"/>
      <w:r>
        <w:rPr>
          <w:i/>
          <w:iCs/>
        </w:rPr>
        <w:t>Căn cứ Nghị định số </w:t>
      </w:r>
      <w:bookmarkStart w:id="13" w:name="tvpllink_rzbrzzrnhh"/>
      <w:r>
        <w:rPr>
          <w:i/>
          <w:iCs/>
        </w:rPr>
        <w:fldChar w:fldCharType="begin"/>
      </w:r>
      <w:r>
        <w:rPr>
          <w:i/>
          <w:iCs/>
        </w:rPr>
        <w:instrText>HYPERLINK "https://thu</w:instrText>
      </w:r>
      <w:r>
        <w:rPr>
          <w:i/>
          <w:iCs/>
        </w:rPr>
        <w:instrText>vienphapluat.vn/van-ban/Dau-tu/Nghi-dinh-254-2025-ND-CP-quan-ly-thanh-toan-quyet-toan-du-an-su-dung-von-dau-tu-cong-674480.aspx" \t "_blank"</w:instrText>
      </w:r>
      <w:r>
        <w:rPr>
          <w:i/>
          <w:iCs/>
        </w:rPr>
        <w:fldChar w:fldCharType="separate"/>
      </w:r>
      <w:r>
        <w:rPr>
          <w:i/>
          <w:iCs/>
        </w:rPr>
        <w:t>254/2025/NĐ-CP</w:t>
      </w:r>
      <w:r>
        <w:rPr>
          <w:i/>
          <w:iCs/>
        </w:rPr>
        <w:fldChar w:fldCharType="end"/>
      </w:r>
      <w:bookmarkEnd w:id="13"/>
      <w:r>
        <w:rPr>
          <w:i/>
          <w:iCs/>
        </w:rPr>
        <w:t xml:space="preserve"> ngày 26 tháng 9 năm 2025 của </w:t>
      </w:r>
      <w:r>
        <w:rPr>
          <w:i/>
          <w:iCs/>
          <w:spacing w:val="-8"/>
        </w:rPr>
        <w:t>Chính phủ Quy định về quản lý, thanh toán, quyết toán dự án sử dụng v</w:t>
      </w:r>
      <w:r>
        <w:rPr>
          <w:i/>
          <w:iCs/>
          <w:spacing w:val="-8"/>
        </w:rPr>
        <w:t>ốn đầu tư công;</w:t>
      </w:r>
    </w:p>
    <w:p w:rsidR="00A41C6A" w:rsidRDefault="00CF671C">
      <w:pPr>
        <w:spacing w:before="120" w:after="120" w:line="440" w:lineRule="atLeast"/>
        <w:ind w:firstLine="567"/>
        <w:jc w:val="both"/>
        <w:rPr>
          <w:i/>
          <w:iCs/>
        </w:rPr>
      </w:pPr>
      <w:r>
        <w:rPr>
          <w:rStyle w:val="fontstyle01"/>
          <w:rFonts w:ascii="Times New Roman" w:hAnsi="Times New Roman"/>
          <w:i/>
        </w:rPr>
        <w:t>Căn cứ Nghị định 73/2026/NĐ-CP ngày 10/3/2026 của Chính phủ quy định chi tiết và hướng dẫn thi hành một số điều của Luật Ngân sách nhà nước;</w:t>
      </w:r>
    </w:p>
    <w:p w:rsidR="00A41C6A" w:rsidRDefault="00CF671C">
      <w:pPr>
        <w:spacing w:before="120" w:after="120" w:line="440" w:lineRule="atLeast"/>
        <w:ind w:firstLine="567"/>
        <w:jc w:val="both"/>
        <w:rPr>
          <w:i/>
          <w:iCs/>
          <w:spacing w:val="-2"/>
        </w:rPr>
      </w:pPr>
      <w:r>
        <w:rPr>
          <w:i/>
          <w:iCs/>
          <w:spacing w:val="-8"/>
        </w:rPr>
        <w:t>Căn cứ Thông tư số 91/2025/TT-BTC ngày 26 tháng 9 năm 2025 của Bộ</w:t>
      </w:r>
      <w:r>
        <w:rPr>
          <w:i/>
          <w:iCs/>
          <w:spacing w:val="-2"/>
        </w:rPr>
        <w:t xml:space="preserve"> trưởng </w:t>
      </w:r>
      <w:r>
        <w:rPr>
          <w:i/>
          <w:iCs/>
        </w:rPr>
        <w:t>Bộ Tài chính Quy định về h</w:t>
      </w:r>
      <w:r>
        <w:rPr>
          <w:i/>
          <w:iCs/>
        </w:rPr>
        <w:t>ệ thống mẫu biểu sử dụng trong công tác quyết toán;</w:t>
      </w:r>
      <w:bookmarkEnd w:id="12"/>
    </w:p>
    <w:p w:rsidR="00A41C6A" w:rsidRDefault="00CF671C">
      <w:pPr>
        <w:spacing w:before="120" w:after="120" w:line="440" w:lineRule="atLeast"/>
        <w:ind w:firstLine="567"/>
        <w:jc w:val="both"/>
        <w:rPr>
          <w:i/>
          <w:iCs/>
        </w:rPr>
      </w:pPr>
      <w:r>
        <w:rPr>
          <w:i/>
          <w:iCs/>
        </w:rPr>
        <w:t>Theo đề nghị của Giám đốc Sở Tài chính;</w:t>
      </w:r>
    </w:p>
    <w:p w:rsidR="00A41C6A" w:rsidRDefault="00CF671C">
      <w:pPr>
        <w:spacing w:before="120" w:after="120" w:line="440" w:lineRule="atLeast"/>
        <w:ind w:firstLine="567"/>
        <w:jc w:val="both"/>
        <w:rPr>
          <w:i/>
          <w:iCs/>
        </w:rPr>
      </w:pPr>
      <w:r>
        <w:rPr>
          <w:i/>
          <w:iCs/>
          <w:color w:val="000000"/>
        </w:rPr>
        <w:t xml:space="preserve">Ủy ban nhân dân ban hành Quyết định ban hành </w:t>
      </w:r>
      <w:r>
        <w:rPr>
          <w:i/>
        </w:rPr>
        <w:t>Quy định về trình tự, thời gian lập, xét duyệt và gửi báo cáo quyết toán vốn đầu tư công theo niên độ nguồn ngân sách n</w:t>
      </w:r>
      <w:r>
        <w:rPr>
          <w:i/>
        </w:rPr>
        <w:t>hà nước do địa phương quản lý trên địa bàn tỉnh Tây Ninh.</w:t>
      </w:r>
    </w:p>
    <w:p w:rsidR="00A41C6A" w:rsidRDefault="00CF671C">
      <w:pPr>
        <w:spacing w:before="120" w:after="120" w:line="440" w:lineRule="atLeast"/>
        <w:ind w:firstLine="567"/>
        <w:jc w:val="both"/>
        <w:rPr>
          <w:b/>
        </w:rPr>
      </w:pPr>
      <w:r>
        <w:rPr>
          <w:b/>
        </w:rPr>
        <w:t xml:space="preserve">Điều 1. </w:t>
      </w:r>
      <w:r>
        <w:t>Ban hành kèm theo Quyết định này Quy định về trình tự, thời gian lập, xét duyệt và gửi báo cáo quyết toán vốn đầu tư công theo niên độ nguồn ngân sách nhà nước do địa phương quản lý trên địa</w:t>
      </w:r>
      <w:r>
        <w:t xml:space="preserve"> bàn tỉnh Tây Ninh.</w:t>
      </w:r>
    </w:p>
    <w:p w:rsidR="00A41C6A" w:rsidRDefault="00CF671C">
      <w:pPr>
        <w:pStyle w:val="NormalWeb"/>
        <w:shd w:val="clear" w:color="auto" w:fill="FFFFFF"/>
        <w:spacing w:before="120" w:beforeAutospacing="0" w:after="120" w:afterAutospacing="0" w:line="440" w:lineRule="atLeast"/>
        <w:ind w:firstLine="567"/>
        <w:jc w:val="both"/>
        <w:rPr>
          <w:b/>
          <w:sz w:val="28"/>
          <w:szCs w:val="28"/>
        </w:rPr>
      </w:pPr>
      <w:r>
        <w:rPr>
          <w:b/>
          <w:sz w:val="28"/>
          <w:szCs w:val="28"/>
        </w:rPr>
        <w:t xml:space="preserve">Điều 2. </w:t>
      </w:r>
      <w:r>
        <w:rPr>
          <w:spacing w:val="-4"/>
          <w:sz w:val="28"/>
          <w:szCs w:val="28"/>
        </w:rPr>
        <w:t>Quyết định này có h</w:t>
      </w:r>
      <w:r w:rsidR="00837912">
        <w:rPr>
          <w:spacing w:val="-4"/>
          <w:sz w:val="28"/>
          <w:szCs w:val="28"/>
        </w:rPr>
        <w:t>iệu lực thi hành kể từ ngày 27</w:t>
      </w:r>
      <w:r>
        <w:rPr>
          <w:spacing w:val="-4"/>
          <w:sz w:val="28"/>
          <w:szCs w:val="28"/>
        </w:rPr>
        <w:t xml:space="preserve"> tháng 4 năm 2026</w:t>
      </w:r>
      <w:r>
        <w:rPr>
          <w:sz w:val="28"/>
          <w:szCs w:val="28"/>
        </w:rPr>
        <w:t>.</w:t>
      </w:r>
    </w:p>
    <w:p w:rsidR="00A41C6A" w:rsidRDefault="00CF671C">
      <w:pPr>
        <w:spacing w:before="120" w:after="120" w:line="440" w:lineRule="atLeast"/>
        <w:ind w:firstLine="567"/>
        <w:jc w:val="both"/>
      </w:pPr>
      <w:r>
        <w:rPr>
          <w:b/>
          <w:spacing w:val="2"/>
        </w:rPr>
        <w:lastRenderedPageBreak/>
        <w:t>Điều 3.</w:t>
      </w:r>
      <w:r>
        <w:rPr>
          <w:spacing w:val="2"/>
        </w:rPr>
        <w:t xml:space="preserve"> Chánh Văn phòng UBND</w:t>
      </w:r>
      <w:r>
        <w:rPr>
          <w:spacing w:val="2"/>
          <w:lang w:val="sv-SE"/>
        </w:rPr>
        <w:t xml:space="preserve"> tỉnh</w:t>
      </w:r>
      <w:r>
        <w:rPr>
          <w:spacing w:val="2"/>
        </w:rPr>
        <w:t xml:space="preserve">; Thủ trưởng các sở, ban, ngành; </w:t>
      </w:r>
      <w:r>
        <w:rPr>
          <w:spacing w:val="-8"/>
        </w:rPr>
        <w:t xml:space="preserve">Chủ tịch </w:t>
      </w:r>
      <w:r>
        <w:t>UBND các xã, phường</w:t>
      </w:r>
      <w:r>
        <w:rPr>
          <w:spacing w:val="-8"/>
        </w:rPr>
        <w:t xml:space="preserve">; Giám đốc Kho bạc Nhà nước Khu vực XVIII </w:t>
      </w:r>
      <w:r>
        <w:t>và Thủ trưởng các cơ quan, đơn vị, cá nhân có liên quan chịu trách nhiệm thi hành Quyết định này./.</w:t>
      </w:r>
    </w:p>
    <w:tbl>
      <w:tblPr>
        <w:tblW w:w="9464" w:type="dxa"/>
        <w:tblLayout w:type="fixed"/>
        <w:tblLook w:val="0000" w:firstRow="0" w:lastRow="0" w:firstColumn="0" w:lastColumn="0" w:noHBand="0" w:noVBand="0"/>
      </w:tblPr>
      <w:tblGrid>
        <w:gridCol w:w="4789"/>
        <w:gridCol w:w="4675"/>
      </w:tblGrid>
      <w:tr w:rsidR="00A41C6A">
        <w:tc>
          <w:tcPr>
            <w:tcW w:w="4789" w:type="dxa"/>
            <w:shd w:val="clear" w:color="auto" w:fill="FFFFFF"/>
          </w:tcPr>
          <w:p w:rsidR="00A41C6A" w:rsidRDefault="00CF671C">
            <w:pPr>
              <w:rPr>
                <w:bCs/>
                <w:iCs/>
                <w:sz w:val="22"/>
                <w:szCs w:val="22"/>
                <w:lang w:val="it-IT"/>
              </w:rPr>
            </w:pPr>
            <w:r>
              <w:rPr>
                <w:b/>
                <w:bCs/>
                <w:i/>
                <w:iCs/>
                <w:sz w:val="24"/>
                <w:szCs w:val="24"/>
                <w:lang w:val="it-IT"/>
              </w:rPr>
              <w:t>Nơi nhận:</w:t>
            </w:r>
            <w:r>
              <w:rPr>
                <w:b/>
                <w:bCs/>
                <w:i/>
                <w:iCs/>
                <w:sz w:val="24"/>
                <w:szCs w:val="24"/>
                <w:lang w:val="it-IT"/>
              </w:rPr>
              <w:br/>
            </w:r>
            <w:r>
              <w:rPr>
                <w:bCs/>
                <w:iCs/>
                <w:sz w:val="22"/>
                <w:szCs w:val="22"/>
                <w:lang w:val="it-IT"/>
              </w:rPr>
              <w:t>- Văn phòng Chính phủ;</w:t>
            </w:r>
          </w:p>
          <w:p w:rsidR="00A41C6A" w:rsidRDefault="00CF671C">
            <w:pPr>
              <w:rPr>
                <w:bCs/>
                <w:iCs/>
                <w:sz w:val="22"/>
                <w:szCs w:val="22"/>
                <w:lang w:val="it-IT"/>
              </w:rPr>
            </w:pPr>
            <w:r>
              <w:rPr>
                <w:bCs/>
                <w:iCs/>
                <w:sz w:val="22"/>
                <w:szCs w:val="22"/>
                <w:lang w:val="it-IT"/>
              </w:rPr>
              <w:t>- Bộ Tài chính;</w:t>
            </w:r>
          </w:p>
          <w:p w:rsidR="00A41C6A" w:rsidRDefault="00CF671C">
            <w:pPr>
              <w:rPr>
                <w:bCs/>
                <w:iCs/>
                <w:sz w:val="22"/>
                <w:szCs w:val="22"/>
                <w:lang w:val="it-IT"/>
              </w:rPr>
            </w:pPr>
            <w:r>
              <w:rPr>
                <w:bCs/>
                <w:iCs/>
                <w:sz w:val="22"/>
                <w:szCs w:val="22"/>
                <w:lang w:val="it-IT"/>
              </w:rPr>
              <w:t>- Vụ Pháp chế - Bộ Tài chính;</w:t>
            </w:r>
            <w:r>
              <w:rPr>
                <w:bCs/>
                <w:iCs/>
                <w:sz w:val="22"/>
                <w:szCs w:val="22"/>
                <w:lang w:val="it-IT"/>
              </w:rPr>
              <w:br/>
              <w:t>- Cục KTVB&amp;TCTHPL - Bộ Tư pháp;</w:t>
            </w:r>
            <w:r>
              <w:rPr>
                <w:bCs/>
                <w:iCs/>
                <w:sz w:val="22"/>
                <w:szCs w:val="22"/>
                <w:lang w:val="it-IT"/>
              </w:rPr>
              <w:br/>
              <w:t>- TT.TU, TT. HĐND tỉnh;</w:t>
            </w:r>
          </w:p>
          <w:p w:rsidR="00A41C6A" w:rsidRDefault="00CF671C">
            <w:pPr>
              <w:rPr>
                <w:bCs/>
                <w:iCs/>
                <w:sz w:val="22"/>
                <w:szCs w:val="22"/>
                <w:lang w:val="it-IT"/>
              </w:rPr>
            </w:pPr>
            <w:r>
              <w:rPr>
                <w:bCs/>
                <w:iCs/>
                <w:sz w:val="22"/>
                <w:szCs w:val="22"/>
                <w:lang w:val="it-IT"/>
              </w:rPr>
              <w:t xml:space="preserve">- Đoàn Đại biểu Quốc </w:t>
            </w:r>
            <w:r>
              <w:rPr>
                <w:bCs/>
                <w:iCs/>
                <w:sz w:val="22"/>
                <w:szCs w:val="22"/>
                <w:lang w:val="it-IT"/>
              </w:rPr>
              <w:t>hội tỉnh;</w:t>
            </w:r>
            <w:r>
              <w:rPr>
                <w:bCs/>
                <w:iCs/>
                <w:sz w:val="22"/>
                <w:szCs w:val="22"/>
                <w:lang w:val="it-IT"/>
              </w:rPr>
              <w:br/>
              <w:t>- UBMTTQVN tỉnh;</w:t>
            </w:r>
            <w:r>
              <w:rPr>
                <w:bCs/>
                <w:iCs/>
                <w:sz w:val="22"/>
                <w:szCs w:val="22"/>
                <w:lang w:val="it-IT"/>
              </w:rPr>
              <w:br/>
              <w:t>- CT, PCT.UBND tỉnh;</w:t>
            </w:r>
          </w:p>
          <w:p w:rsidR="00A41C6A" w:rsidRDefault="00CF671C">
            <w:pPr>
              <w:rPr>
                <w:bCs/>
                <w:iCs/>
                <w:sz w:val="22"/>
                <w:szCs w:val="22"/>
                <w:lang w:val="it-IT"/>
              </w:rPr>
            </w:pPr>
            <w:r>
              <w:rPr>
                <w:bCs/>
                <w:iCs/>
                <w:sz w:val="22"/>
                <w:szCs w:val="22"/>
                <w:lang w:val="it-IT"/>
              </w:rPr>
              <w:t>- CVP, PCVP. UBND tỉnh;</w:t>
            </w:r>
          </w:p>
          <w:p w:rsidR="00A41C6A" w:rsidRDefault="00CF671C">
            <w:pPr>
              <w:rPr>
                <w:bCs/>
                <w:iCs/>
                <w:sz w:val="22"/>
                <w:szCs w:val="22"/>
                <w:lang w:val="it-IT"/>
              </w:rPr>
            </w:pPr>
            <w:r>
              <w:rPr>
                <w:bCs/>
                <w:iCs/>
                <w:sz w:val="22"/>
                <w:szCs w:val="22"/>
                <w:lang w:val="it-IT"/>
              </w:rPr>
              <w:t>- CVP, PCVP.UBND tỉnh;</w:t>
            </w:r>
          </w:p>
          <w:p w:rsidR="00A41C6A" w:rsidRDefault="00CF671C">
            <w:pPr>
              <w:rPr>
                <w:bCs/>
                <w:iCs/>
                <w:sz w:val="22"/>
                <w:szCs w:val="22"/>
                <w:lang w:val="it-IT"/>
              </w:rPr>
            </w:pPr>
            <w:r>
              <w:rPr>
                <w:bCs/>
                <w:iCs/>
                <w:sz w:val="22"/>
                <w:szCs w:val="22"/>
                <w:lang w:val="it-IT"/>
              </w:rPr>
              <w:t>- Như Điều 3;</w:t>
            </w:r>
          </w:p>
          <w:p w:rsidR="00A41C6A" w:rsidRDefault="00CF671C">
            <w:pPr>
              <w:rPr>
                <w:bCs/>
                <w:iCs/>
                <w:sz w:val="22"/>
                <w:szCs w:val="22"/>
                <w:lang w:val="it-IT"/>
              </w:rPr>
            </w:pPr>
            <w:r>
              <w:rPr>
                <w:bCs/>
                <w:iCs/>
                <w:sz w:val="22"/>
                <w:szCs w:val="22"/>
                <w:lang w:val="it-IT"/>
              </w:rPr>
              <w:t>- Sở Tư pháp;</w:t>
            </w:r>
          </w:p>
          <w:p w:rsidR="00A41C6A" w:rsidRDefault="00CF671C">
            <w:pPr>
              <w:rPr>
                <w:bCs/>
                <w:iCs/>
                <w:sz w:val="22"/>
                <w:szCs w:val="22"/>
                <w:lang w:val="it-IT"/>
              </w:rPr>
            </w:pPr>
            <w:r>
              <w:rPr>
                <w:bCs/>
                <w:iCs/>
                <w:sz w:val="22"/>
                <w:szCs w:val="22"/>
                <w:lang w:val="it-IT"/>
              </w:rPr>
              <w:t xml:space="preserve">- Cổng TTĐT tỉnh; </w:t>
            </w:r>
          </w:p>
          <w:p w:rsidR="00A41C6A" w:rsidRDefault="00CF671C">
            <w:pPr>
              <w:rPr>
                <w:b/>
                <w:bCs/>
                <w:i/>
                <w:iCs/>
                <w:sz w:val="24"/>
                <w:szCs w:val="24"/>
                <w:lang w:val="it-IT"/>
              </w:rPr>
            </w:pPr>
            <w:r>
              <w:rPr>
                <w:bCs/>
                <w:iCs/>
                <w:sz w:val="22"/>
                <w:szCs w:val="22"/>
                <w:lang w:val="it-IT"/>
              </w:rPr>
              <w:t>- Các phòng ban thuộc Văn phòng;</w:t>
            </w:r>
            <w:r>
              <w:rPr>
                <w:bCs/>
                <w:iCs/>
                <w:sz w:val="22"/>
                <w:szCs w:val="22"/>
                <w:lang w:val="it-IT"/>
              </w:rPr>
              <w:br/>
              <w:t>- Lưu: VT, Yen.</w:t>
            </w:r>
          </w:p>
        </w:tc>
        <w:tc>
          <w:tcPr>
            <w:tcW w:w="4675" w:type="dxa"/>
            <w:shd w:val="clear" w:color="auto" w:fill="FFFFFF"/>
          </w:tcPr>
          <w:p w:rsidR="00A41C6A" w:rsidRDefault="00CF671C">
            <w:pPr>
              <w:jc w:val="center"/>
              <w:rPr>
                <w:b/>
                <w:bCs/>
                <w:lang w:val="it-IT"/>
              </w:rPr>
            </w:pPr>
            <w:r>
              <w:rPr>
                <w:b/>
                <w:bCs/>
                <w:lang w:val="it-IT"/>
              </w:rPr>
              <w:t>TM. ỦY BAN NHÂN DÂN</w:t>
            </w:r>
            <w:r>
              <w:rPr>
                <w:b/>
                <w:bCs/>
                <w:lang w:val="it-IT"/>
              </w:rPr>
              <w:br/>
              <w:t> CHỦ TỊCH</w:t>
            </w:r>
            <w:r>
              <w:rPr>
                <w:b/>
                <w:bCs/>
                <w:lang w:val="it-IT"/>
              </w:rPr>
              <w:br/>
              <w:t>  </w:t>
            </w:r>
            <w:r>
              <w:rPr>
                <w:b/>
                <w:bCs/>
                <w:lang w:val="it-IT"/>
              </w:rPr>
              <w:br/>
              <w:t> </w:t>
            </w:r>
            <w:r>
              <w:rPr>
                <w:b/>
                <w:bCs/>
                <w:lang w:val="it-IT"/>
              </w:rPr>
              <w:br/>
              <w:t> </w:t>
            </w:r>
            <w:r>
              <w:rPr>
                <w:b/>
                <w:bCs/>
                <w:lang w:val="it-IT"/>
              </w:rPr>
              <w:br/>
              <w:t> </w:t>
            </w:r>
          </w:p>
          <w:p w:rsidR="00A41C6A" w:rsidRDefault="00CF671C">
            <w:pPr>
              <w:jc w:val="center"/>
              <w:rPr>
                <w:b/>
                <w:bCs/>
                <w:lang w:val="it-IT"/>
              </w:rPr>
            </w:pPr>
            <w:r>
              <w:rPr>
                <w:b/>
                <w:bCs/>
                <w:lang w:val="it-IT"/>
              </w:rPr>
              <w:t> </w:t>
            </w:r>
          </w:p>
          <w:p w:rsidR="00A41C6A" w:rsidRDefault="00CF671C">
            <w:pPr>
              <w:jc w:val="center"/>
              <w:rPr>
                <w:b/>
                <w:bCs/>
                <w:lang w:val="it-IT"/>
              </w:rPr>
            </w:pPr>
            <w:r>
              <w:rPr>
                <w:b/>
                <w:bCs/>
                <w:lang w:val="it-IT"/>
              </w:rPr>
              <w:t> </w:t>
            </w:r>
          </w:p>
          <w:p w:rsidR="00A41C6A" w:rsidRDefault="00CF671C">
            <w:pPr>
              <w:jc w:val="center"/>
              <w:rPr>
                <w:b/>
                <w:bCs/>
                <w:lang w:val="it-IT"/>
              </w:rPr>
            </w:pPr>
            <w:r>
              <w:rPr>
                <w:b/>
                <w:bCs/>
                <w:lang w:val="it-IT"/>
              </w:rPr>
              <w:t> </w:t>
            </w:r>
          </w:p>
          <w:p w:rsidR="00A41C6A" w:rsidRDefault="00CF671C">
            <w:pPr>
              <w:jc w:val="center"/>
              <w:rPr>
                <w:b/>
                <w:bCs/>
                <w:lang w:val="it-IT"/>
              </w:rPr>
            </w:pPr>
            <w:r>
              <w:rPr>
                <w:b/>
                <w:bCs/>
                <w:lang w:val="it-IT"/>
              </w:rPr>
              <w:t> </w:t>
            </w:r>
          </w:p>
          <w:p w:rsidR="00A41C6A" w:rsidRDefault="00A41C6A">
            <w:pPr>
              <w:jc w:val="center"/>
              <w:rPr>
                <w:b/>
                <w:bCs/>
                <w:lang w:val="it-IT"/>
              </w:rPr>
            </w:pPr>
          </w:p>
        </w:tc>
      </w:tr>
      <w:tr w:rsidR="00A41C6A">
        <w:tc>
          <w:tcPr>
            <w:tcW w:w="4789" w:type="dxa"/>
          </w:tcPr>
          <w:p w:rsidR="00A41C6A" w:rsidRDefault="00A41C6A">
            <w:pPr>
              <w:spacing w:before="100"/>
              <w:jc w:val="both"/>
              <w:rPr>
                <w:sz w:val="22"/>
                <w:szCs w:val="22"/>
                <w:lang w:val="it-IT"/>
              </w:rPr>
            </w:pPr>
          </w:p>
        </w:tc>
        <w:tc>
          <w:tcPr>
            <w:tcW w:w="4675" w:type="dxa"/>
          </w:tcPr>
          <w:p w:rsidR="00A41C6A" w:rsidRDefault="00A41C6A">
            <w:pPr>
              <w:tabs>
                <w:tab w:val="left" w:pos="1320"/>
              </w:tabs>
              <w:spacing w:before="100"/>
              <w:rPr>
                <w:b/>
                <w:bCs/>
                <w:lang w:val="it-IT"/>
              </w:rPr>
            </w:pPr>
          </w:p>
        </w:tc>
      </w:tr>
    </w:tbl>
    <w:p w:rsidR="00A41C6A" w:rsidRDefault="00A41C6A">
      <w:pPr>
        <w:spacing w:before="100"/>
        <w:jc w:val="both"/>
        <w:rPr>
          <w:b/>
          <w:bCs/>
          <w:i/>
          <w:iCs/>
          <w:sz w:val="24"/>
          <w:szCs w:val="24"/>
          <w:lang w:val="it-IT"/>
        </w:rPr>
        <w:sectPr w:rsidR="00A41C6A">
          <w:headerReference w:type="even" r:id="rId8"/>
          <w:headerReference w:type="default" r:id="rId9"/>
          <w:footerReference w:type="even" r:id="rId10"/>
          <w:pgSz w:w="11907" w:h="16840"/>
          <w:pgMar w:top="1134" w:right="1134" w:bottom="1134" w:left="1701" w:header="567" w:footer="567" w:gutter="0"/>
          <w:cols w:space="720"/>
          <w:titlePg/>
        </w:sectPr>
      </w:pPr>
    </w:p>
    <w:tbl>
      <w:tblPr>
        <w:tblW w:w="9397" w:type="dxa"/>
        <w:jc w:val="center"/>
        <w:tblLayout w:type="fixed"/>
        <w:tblLook w:val="0000" w:firstRow="0" w:lastRow="0" w:firstColumn="0" w:lastColumn="0" w:noHBand="0" w:noVBand="0"/>
      </w:tblPr>
      <w:tblGrid>
        <w:gridCol w:w="3431"/>
        <w:gridCol w:w="5966"/>
      </w:tblGrid>
      <w:tr w:rsidR="00A41C6A">
        <w:trPr>
          <w:trHeight w:val="899"/>
          <w:jc w:val="center"/>
        </w:trPr>
        <w:tc>
          <w:tcPr>
            <w:tcW w:w="3431" w:type="dxa"/>
          </w:tcPr>
          <w:p w:rsidR="00A41C6A" w:rsidRDefault="00CF671C">
            <w:pPr>
              <w:ind w:left="-16"/>
              <w:jc w:val="center"/>
              <w:rPr>
                <w:b/>
                <w:bCs/>
                <w:sz w:val="26"/>
                <w:szCs w:val="26"/>
                <w:lang w:val="it-IT"/>
              </w:rPr>
            </w:pPr>
            <w:r>
              <w:rPr>
                <w:b/>
                <w:sz w:val="26"/>
                <w:szCs w:val="26"/>
                <w:lang w:val="it-IT"/>
              </w:rPr>
              <w:lastRenderedPageBreak/>
              <w:t xml:space="preserve">UỶ BAN NHÂN DÂN </w:t>
            </w:r>
            <w:r>
              <w:rPr>
                <w:b/>
                <w:iCs/>
                <w:sz w:val="26"/>
                <w:szCs w:val="26"/>
                <w:lang w:val="it-IT"/>
              </w:rPr>
              <w:t xml:space="preserve"> TỈNH TÂY NINH</w:t>
            </w:r>
          </w:p>
          <w:p w:rsidR="00A41C6A" w:rsidRDefault="00CF671C">
            <w:pPr>
              <w:tabs>
                <w:tab w:val="center" w:pos="1507"/>
                <w:tab w:val="right" w:pos="3015"/>
              </w:tabs>
              <w:jc w:val="center"/>
              <w:rPr>
                <w:b/>
                <w:bCs/>
                <w:sz w:val="26"/>
                <w:szCs w:val="26"/>
                <w:vertAlign w:val="superscript"/>
                <w:lang w:val="it-IT"/>
              </w:rPr>
            </w:pPr>
            <w:r>
              <w:rPr>
                <w:vertAlign w:val="superscript"/>
                <w:lang w:val="it-IT"/>
              </w:rPr>
              <w:t>___________</w:t>
            </w:r>
          </w:p>
        </w:tc>
        <w:tc>
          <w:tcPr>
            <w:tcW w:w="5966" w:type="dxa"/>
          </w:tcPr>
          <w:p w:rsidR="00A41C6A" w:rsidRDefault="00CF671C">
            <w:pPr>
              <w:pStyle w:val="Heading1"/>
              <w:ind w:left="-134" w:hanging="180"/>
              <w:rPr>
                <w:sz w:val="26"/>
                <w:szCs w:val="26"/>
              </w:rPr>
            </w:pPr>
            <w:r>
              <w:rPr>
                <w:sz w:val="26"/>
                <w:szCs w:val="26"/>
              </w:rPr>
              <w:t xml:space="preserve">    CỘNG HOÀ XÃ HỘI CHỦ NGHĨA VIỆT NAM</w:t>
            </w:r>
          </w:p>
          <w:p w:rsidR="00A41C6A" w:rsidRDefault="00CF671C">
            <w:pPr>
              <w:pStyle w:val="Heading2"/>
              <w:spacing w:before="0" w:after="0"/>
              <w:jc w:val="center"/>
              <w:rPr>
                <w:rFonts w:ascii="Times New Roman" w:hAnsi="Times New Roman"/>
                <w:i w:val="0"/>
                <w:sz w:val="28"/>
                <w:szCs w:val="28"/>
              </w:rPr>
            </w:pPr>
            <w:r>
              <w:rPr>
                <w:rFonts w:ascii="Times New Roman" w:hAnsi="Times New Roman"/>
                <w:i w:val="0"/>
                <w:sz w:val="28"/>
                <w:szCs w:val="28"/>
              </w:rPr>
              <w:t>Độc lập - Tự do - Hạnh phúc</w:t>
            </w:r>
          </w:p>
          <w:p w:rsidR="00A41C6A" w:rsidRDefault="00CF671C">
            <w:pPr>
              <w:jc w:val="center"/>
              <w:rPr>
                <w:vertAlign w:val="superscript"/>
              </w:rPr>
            </w:pPr>
            <w:r>
              <w:rPr>
                <w:vertAlign w:val="superscript"/>
              </w:rPr>
              <w:t>______________________________________</w:t>
            </w:r>
          </w:p>
        </w:tc>
      </w:tr>
    </w:tbl>
    <w:p w:rsidR="00A41C6A" w:rsidRDefault="00CF671C">
      <w:pPr>
        <w:spacing w:before="120" w:after="120"/>
        <w:jc w:val="center"/>
        <w:rPr>
          <w:b/>
        </w:rPr>
      </w:pPr>
      <w:r>
        <w:rPr>
          <w:b/>
        </w:rPr>
        <w:t>QUY ĐỊNH</w:t>
      </w:r>
    </w:p>
    <w:p w:rsidR="00A41C6A" w:rsidRDefault="00CF671C">
      <w:pPr>
        <w:spacing w:after="120" w:line="360" w:lineRule="atLeast"/>
        <w:jc w:val="center"/>
        <w:rPr>
          <w:b/>
          <w:spacing w:val="4"/>
        </w:rPr>
      </w:pPr>
      <w:r>
        <w:rPr>
          <w:rFonts w:ascii="Times New Roman Bold" w:hAnsi="Times New Roman Bold"/>
          <w:b/>
          <w:spacing w:val="-4"/>
        </w:rPr>
        <w:t>Về trình tự, thời gian lập, xét duyệt và gửi báo cáo quyết toán vốn đầu tư công</w:t>
      </w:r>
      <w:r>
        <w:rPr>
          <w:b/>
          <w:spacing w:val="4"/>
        </w:rPr>
        <w:t xml:space="preserve"> </w:t>
      </w:r>
      <w:r>
        <w:rPr>
          <w:rFonts w:ascii="Times New Roman Bold" w:hAnsi="Times New Roman Bold"/>
          <w:b/>
        </w:rPr>
        <w:t>theo niên độ nguồn ngân sách nhà nước do địa phương quản lý trên địa bàn tỉnh Tây Ninh</w:t>
      </w:r>
    </w:p>
    <w:p w:rsidR="00A41C6A" w:rsidRDefault="00CF671C">
      <w:pPr>
        <w:spacing w:line="360" w:lineRule="atLeast"/>
        <w:jc w:val="center"/>
        <w:rPr>
          <w:i/>
        </w:rPr>
      </w:pPr>
      <w:r>
        <w:rPr>
          <w:i/>
        </w:rPr>
        <w:t xml:space="preserve"> (Ban hành k</w:t>
      </w:r>
      <w:r>
        <w:rPr>
          <w:i/>
        </w:rPr>
        <w:t xml:space="preserve">èm theo Quyết định số   56/2026/QĐ-UBND ngày    16 tháng     4 năm 2026 của Ủy ban nhân dân tỉnh Tây </w:t>
      </w:r>
      <w:bookmarkStart w:id="14" w:name="_GoBack"/>
      <w:bookmarkEnd w:id="14"/>
      <w:r>
        <w:rPr>
          <w:i/>
        </w:rPr>
        <w:t>Ninh)</w:t>
      </w:r>
    </w:p>
    <w:p w:rsidR="00A41C6A" w:rsidRDefault="00A41C6A">
      <w:pPr>
        <w:spacing w:after="120" w:line="360" w:lineRule="atLeast"/>
        <w:jc w:val="center"/>
        <w:rPr>
          <w:b/>
          <w:bCs/>
        </w:rPr>
      </w:pPr>
      <w:bookmarkStart w:id="15" w:name="chuong_1"/>
    </w:p>
    <w:p w:rsidR="00A41C6A" w:rsidRDefault="00CF671C">
      <w:pPr>
        <w:spacing w:before="120" w:after="120" w:line="360" w:lineRule="atLeast"/>
        <w:jc w:val="center"/>
      </w:pPr>
      <w:r>
        <w:rPr>
          <w:b/>
          <w:bCs/>
        </w:rPr>
        <w:t>Chương I</w:t>
      </w:r>
      <w:bookmarkEnd w:id="15"/>
    </w:p>
    <w:p w:rsidR="00A41C6A" w:rsidRDefault="00CF671C">
      <w:pPr>
        <w:spacing w:before="120" w:after="240" w:line="340" w:lineRule="atLeast"/>
        <w:jc w:val="center"/>
      </w:pPr>
      <w:bookmarkStart w:id="16" w:name="chuong_1_name"/>
      <w:r>
        <w:rPr>
          <w:b/>
          <w:bCs/>
        </w:rPr>
        <w:t>NHỮNG QUY ĐỊNH CHUNG</w:t>
      </w:r>
      <w:bookmarkEnd w:id="16"/>
    </w:p>
    <w:p w:rsidR="00A41C6A" w:rsidRDefault="00CF671C">
      <w:pPr>
        <w:spacing w:before="120" w:after="120" w:line="360" w:lineRule="atLeast"/>
        <w:ind w:firstLine="720"/>
        <w:jc w:val="both"/>
        <w:rPr>
          <w:b/>
        </w:rPr>
      </w:pPr>
      <w:bookmarkStart w:id="17" w:name="dieu_1_1"/>
      <w:r>
        <w:rPr>
          <w:b/>
        </w:rPr>
        <w:t>Điều 1.</w:t>
      </w:r>
      <w:bookmarkEnd w:id="17"/>
      <w:r>
        <w:rPr>
          <w:b/>
        </w:rPr>
        <w:t xml:space="preserve"> </w:t>
      </w:r>
      <w:bookmarkStart w:id="18" w:name="dieu_1_1_name"/>
      <w:r>
        <w:rPr>
          <w:b/>
        </w:rPr>
        <w:t xml:space="preserve">Phạm vi </w:t>
      </w:r>
      <w:bookmarkEnd w:id="18"/>
      <w:r>
        <w:rPr>
          <w:b/>
        </w:rPr>
        <w:t>điều chỉnh</w:t>
      </w:r>
    </w:p>
    <w:p w:rsidR="00A41C6A" w:rsidRDefault="00CF671C">
      <w:pPr>
        <w:spacing w:before="120" w:after="120" w:line="360" w:lineRule="atLeast"/>
        <w:ind w:firstLine="720"/>
        <w:jc w:val="both"/>
        <w:rPr>
          <w:spacing w:val="-2"/>
        </w:rPr>
      </w:pPr>
      <w:bookmarkStart w:id="19" w:name="dieu_2_1"/>
      <w:r>
        <w:rPr>
          <w:spacing w:val="-2"/>
        </w:rPr>
        <w:t>Quy định này quy định về trình tự, thời gian lập, xét duyệt và gửi báo cáo</w:t>
      </w:r>
      <w:r>
        <w:rPr>
          <w:spacing w:val="6"/>
        </w:rPr>
        <w:t xml:space="preserve"> </w:t>
      </w:r>
      <w:r>
        <w:rPr>
          <w:spacing w:val="-4"/>
        </w:rPr>
        <w:t>quyết toán vốn đ</w:t>
      </w:r>
      <w:r>
        <w:rPr>
          <w:spacing w:val="-4"/>
        </w:rPr>
        <w:t>ầu tư công theo niên độ nguồn ngân sách nhà nước do địa</w:t>
      </w:r>
      <w:r>
        <w:rPr>
          <w:spacing w:val="-2"/>
        </w:rPr>
        <w:t xml:space="preserve"> phương quản lý trên địa bàn tỉnh Tây Ninh gồm</w:t>
      </w:r>
      <w:r>
        <w:t xml:space="preserve">: </w:t>
      </w:r>
      <w:r>
        <w:rPr>
          <w:color w:val="000000"/>
          <w:shd w:val="clear" w:color="auto" w:fill="FFFFFF"/>
        </w:rPr>
        <w:t>thời hạn gửi báo cáo quyết toán theo niên độ của chủ đầu tư, sở, ban, ngành thuộc Ủy ban nhân dân cấp tỉnh; trình tự, thời hạn lập, gửi, xét duyệt, ra th</w:t>
      </w:r>
      <w:r>
        <w:rPr>
          <w:color w:val="000000"/>
          <w:shd w:val="clear" w:color="auto" w:fill="FFFFFF"/>
        </w:rPr>
        <w:t xml:space="preserve">ông báo quyết toán </w:t>
      </w:r>
      <w:r>
        <w:t>vốn đầu tư công thuộc ngân sách của Ủy ban nhân dân cấp xã quản lý</w:t>
      </w:r>
      <w:r>
        <w:rPr>
          <w:color w:val="000000"/>
          <w:shd w:val="clear" w:color="auto" w:fill="FFFFFF"/>
        </w:rPr>
        <w:t>.</w:t>
      </w:r>
      <w:bookmarkEnd w:id="19"/>
    </w:p>
    <w:p w:rsidR="00A41C6A" w:rsidRDefault="00CF671C">
      <w:pPr>
        <w:spacing w:before="120" w:after="120" w:line="360" w:lineRule="atLeast"/>
        <w:ind w:firstLine="720"/>
      </w:pPr>
      <w:r>
        <w:rPr>
          <w:b/>
          <w:bCs/>
        </w:rPr>
        <w:t xml:space="preserve">Điều 2. </w:t>
      </w:r>
      <w:r>
        <w:rPr>
          <w:b/>
        </w:rPr>
        <w:t>Đối tượng áp dụng</w:t>
      </w:r>
    </w:p>
    <w:p w:rsidR="00A41C6A" w:rsidRDefault="00CF671C">
      <w:pPr>
        <w:spacing w:before="120" w:after="120" w:line="360" w:lineRule="atLeast"/>
        <w:ind w:firstLine="720"/>
        <w:jc w:val="both"/>
      </w:pPr>
      <w:r>
        <w:t>a) Các chủ đầu tư;</w:t>
      </w:r>
    </w:p>
    <w:p w:rsidR="00A41C6A" w:rsidRDefault="00CF671C">
      <w:pPr>
        <w:spacing w:before="120" w:after="120" w:line="360" w:lineRule="atLeast"/>
        <w:ind w:firstLine="720"/>
        <w:jc w:val="both"/>
      </w:pPr>
      <w:r>
        <w:t>b) Các Sở, ban, thuộc Ủy ban nhân dân tỉnh;</w:t>
      </w:r>
    </w:p>
    <w:p w:rsidR="00A41C6A" w:rsidRDefault="00CF671C">
      <w:pPr>
        <w:spacing w:before="120" w:after="120" w:line="360" w:lineRule="atLeast"/>
        <w:ind w:firstLine="720"/>
        <w:jc w:val="both"/>
        <w:rPr>
          <w:spacing w:val="-6"/>
        </w:rPr>
      </w:pPr>
      <w:r>
        <w:rPr>
          <w:spacing w:val="-6"/>
        </w:rPr>
        <w:t>c) Các Ban quản lý dự án sử dụng vốn đầu tư công nguồn ngân sách nhà nước;</w:t>
      </w:r>
    </w:p>
    <w:p w:rsidR="00A41C6A" w:rsidRDefault="00CF671C">
      <w:pPr>
        <w:spacing w:before="120" w:after="120" w:line="360" w:lineRule="atLeast"/>
        <w:ind w:firstLine="720"/>
        <w:jc w:val="both"/>
      </w:pPr>
      <w:r>
        <w:t>d) Ủy</w:t>
      </w:r>
      <w:r>
        <w:t xml:space="preserve"> ban nhân dân các xã, phường (sau đây gọi chung là UBND cấp xã);</w:t>
      </w:r>
    </w:p>
    <w:p w:rsidR="00A41C6A" w:rsidRDefault="00CF671C">
      <w:pPr>
        <w:spacing w:before="120" w:after="120" w:line="360" w:lineRule="atLeast"/>
        <w:ind w:firstLine="720"/>
        <w:jc w:val="both"/>
      </w:pPr>
      <w:r>
        <w:t xml:space="preserve">đ) </w:t>
      </w:r>
      <w:r>
        <w:rPr>
          <w:bCs/>
          <w:spacing w:val="-2"/>
        </w:rPr>
        <w:t>Phòng Kinh tế (đối với xã) hoặc Phòng Kinh tế, Hạ tầng và Đô thị (đối với phường);</w:t>
      </w:r>
    </w:p>
    <w:p w:rsidR="00A41C6A" w:rsidRDefault="00CF671C">
      <w:pPr>
        <w:spacing w:before="120" w:after="120" w:line="360" w:lineRule="atLeast"/>
        <w:ind w:firstLine="720"/>
        <w:jc w:val="both"/>
        <w:rPr>
          <w:lang w:val="nl-NL"/>
        </w:rPr>
      </w:pPr>
      <w:r>
        <w:t>e) Kho bạc Nhà nước Khu vực XVIII và các tổ chức, cá nhân có liên quan đến công tác quyết toán vốn đầu tư</w:t>
      </w:r>
      <w:r>
        <w:t xml:space="preserve"> công theo niên độ nguồn ngân sách nhà nước do địa phương quản lý trên địa bàn tỉnh Tây Ninh.</w:t>
      </w:r>
    </w:p>
    <w:p w:rsidR="00A41C6A" w:rsidRDefault="00CF671C">
      <w:pPr>
        <w:spacing w:before="120" w:after="120" w:line="340" w:lineRule="atLeast"/>
        <w:jc w:val="center"/>
        <w:rPr>
          <w:b/>
        </w:rPr>
      </w:pPr>
      <w:r>
        <w:rPr>
          <w:b/>
        </w:rPr>
        <w:t>Chương II</w:t>
      </w:r>
    </w:p>
    <w:p w:rsidR="00A41C6A" w:rsidRDefault="00CF671C">
      <w:pPr>
        <w:spacing w:before="120" w:after="120" w:line="340" w:lineRule="atLeast"/>
        <w:jc w:val="center"/>
        <w:rPr>
          <w:b/>
        </w:rPr>
      </w:pPr>
      <w:r>
        <w:rPr>
          <w:b/>
        </w:rPr>
        <w:t>QUY ĐỊNH CỤ THỂ</w:t>
      </w:r>
    </w:p>
    <w:p w:rsidR="00A41C6A" w:rsidRDefault="00CF671C">
      <w:pPr>
        <w:spacing w:before="120" w:after="120" w:line="340" w:lineRule="atLeast"/>
        <w:ind w:firstLine="720"/>
        <w:jc w:val="both"/>
        <w:rPr>
          <w:b/>
        </w:rPr>
      </w:pPr>
      <w:r>
        <w:rPr>
          <w:b/>
        </w:rPr>
        <w:t>Điều 3. Thời hạn gửi báo cáo quyết toán vốn đầu tư công theo niên độ đối với ngân sách cấp tỉnh quản lý</w:t>
      </w:r>
    </w:p>
    <w:p w:rsidR="00A41C6A" w:rsidRDefault="00CF671C">
      <w:pPr>
        <w:spacing w:before="60" w:after="60" w:line="276" w:lineRule="auto"/>
        <w:ind w:firstLine="720"/>
        <w:jc w:val="both"/>
      </w:pPr>
      <w:r>
        <w:rPr>
          <w:bCs/>
        </w:rPr>
        <w:lastRenderedPageBreak/>
        <w:t>1</w:t>
      </w:r>
      <w:r>
        <w:rPr>
          <w:bCs/>
        </w:rPr>
        <w:t xml:space="preserve">. Kết thúc năm ngân sách, các chủ đầu tư, Ban quản lý dự án sử dụng vốn </w:t>
      </w:r>
      <w:r>
        <w:rPr>
          <w:bCs/>
          <w:spacing w:val="2"/>
        </w:rPr>
        <w:t xml:space="preserve">đầu tư công, </w:t>
      </w:r>
      <w:r>
        <w:rPr>
          <w:bCs/>
        </w:rPr>
        <w:t>các Sở, ban ngành tỉnh (</w:t>
      </w:r>
      <w:r>
        <w:rPr>
          <w:color w:val="000000"/>
          <w:shd w:val="clear" w:color="auto" w:fill="FFFFFF"/>
          <w:lang w:val="en-GB"/>
        </w:rPr>
        <w:t xml:space="preserve">theo phân cấp quản lý) </w:t>
      </w:r>
      <w:r>
        <w:rPr>
          <w:bCs/>
          <w:spacing w:val="2"/>
        </w:rPr>
        <w:t>thực hiện khoá sổ, đối chiếu và xác nhận số liệu quyết toán vốn đầu</w:t>
      </w:r>
      <w:r>
        <w:rPr>
          <w:bCs/>
        </w:rPr>
        <w:t xml:space="preserve"> tư công theo niên độ với Kho bạc </w:t>
      </w:r>
      <w:r>
        <w:rPr>
          <w:bCs/>
          <w:spacing w:val="-4"/>
        </w:rPr>
        <w:t xml:space="preserve">Nhà nước nơi giao dịch </w:t>
      </w:r>
      <w:r>
        <w:rPr>
          <w:bCs/>
          <w:spacing w:val="-4"/>
        </w:rPr>
        <w:t xml:space="preserve">thanh toán và </w:t>
      </w:r>
      <w:r>
        <w:rPr>
          <w:color w:val="000000"/>
          <w:shd w:val="clear" w:color="auto" w:fill="FFFFFF"/>
          <w:lang w:val="en-GB"/>
        </w:rPr>
        <w:t xml:space="preserve">lập báo cáo quyết toán theo niên độ </w:t>
      </w:r>
      <w:r>
        <w:rPr>
          <w:bCs/>
          <w:spacing w:val="-4"/>
        </w:rPr>
        <w:t xml:space="preserve">gửi Sở Tài chính, cụ thể như sau: </w:t>
      </w:r>
    </w:p>
    <w:p w:rsidR="00A41C6A" w:rsidRDefault="00CF671C">
      <w:pPr>
        <w:spacing w:before="60" w:after="60" w:line="276" w:lineRule="auto"/>
        <w:ind w:firstLine="720"/>
        <w:jc w:val="both"/>
        <w:rPr>
          <w:spacing w:val="6"/>
        </w:rPr>
      </w:pPr>
      <w:r>
        <w:rPr>
          <w:spacing w:val="6"/>
        </w:rPr>
        <w:t>a) Chủ đầu tư lập</w:t>
      </w:r>
      <w:r>
        <w:rPr>
          <w:b/>
          <w:i/>
          <w:spacing w:val="6"/>
        </w:rPr>
        <w:t xml:space="preserve"> </w:t>
      </w:r>
      <w:r>
        <w:rPr>
          <w:color w:val="000000"/>
          <w:spacing w:val="6"/>
          <w:shd w:val="clear" w:color="auto" w:fill="FFFFFF"/>
          <w:lang w:val="vi-VN"/>
        </w:rPr>
        <w:t>báo cáo</w:t>
      </w:r>
      <w:r>
        <w:rPr>
          <w:color w:val="000000"/>
          <w:spacing w:val="6"/>
          <w:shd w:val="clear" w:color="auto" w:fill="FFFFFF"/>
          <w:lang w:val="en-GB"/>
        </w:rPr>
        <w:t xml:space="preserve"> quyết toán vốn đầu tư công theo niên độ </w:t>
      </w:r>
      <w:r>
        <w:rPr>
          <w:color w:val="000000"/>
          <w:spacing w:val="6"/>
          <w:shd w:val="clear" w:color="auto" w:fill="FFFFFF"/>
          <w:lang w:val="vi-VN"/>
        </w:rPr>
        <w:t xml:space="preserve">gửi </w:t>
      </w:r>
      <w:r>
        <w:rPr>
          <w:color w:val="000000"/>
          <w:spacing w:val="6"/>
          <w:shd w:val="clear" w:color="auto" w:fill="FFFFFF"/>
          <w:lang w:val="en-GB"/>
        </w:rPr>
        <w:t>sở, ban, ngành tỉnh theo phân cấp quản lý trước ngày 01 tháng 4 năm sau năm quyết toán.</w:t>
      </w:r>
    </w:p>
    <w:p w:rsidR="00A41C6A" w:rsidRDefault="00CF671C">
      <w:pPr>
        <w:spacing w:before="60" w:after="60" w:line="276" w:lineRule="auto"/>
        <w:ind w:firstLine="720"/>
        <w:jc w:val="both"/>
        <w:rPr>
          <w:color w:val="000000"/>
          <w:shd w:val="clear" w:color="auto" w:fill="FFFFFF"/>
          <w:lang w:val="en-GB"/>
        </w:rPr>
      </w:pPr>
      <w:r>
        <w:t>b)</w:t>
      </w:r>
      <w:r>
        <w:t xml:space="preserve"> Các sở, ban, ngành cấp tỉnh theo phân cấp quản lý</w:t>
      </w:r>
      <w:r>
        <w:rPr>
          <w:b/>
          <w:i/>
        </w:rPr>
        <w:t xml:space="preserve"> </w:t>
      </w:r>
      <w:r>
        <w:t>xét</w:t>
      </w:r>
      <w:r>
        <w:rPr>
          <w:color w:val="000000"/>
          <w:shd w:val="clear" w:color="auto" w:fill="FFFFFF"/>
          <w:lang w:val="en-GB"/>
        </w:rPr>
        <w:t xml:space="preserve"> duyệt báo cáo quyết toán của chủ đầu tư; tổng hợp, lập báo cáo quyết toán theo niên độ gửi Sở Tài chính trước ngày 15 tháng 4 năm sau năm quyết toán.</w:t>
      </w:r>
    </w:p>
    <w:p w:rsidR="00A41C6A" w:rsidRDefault="00CF671C">
      <w:pPr>
        <w:spacing w:before="120" w:after="120" w:line="340" w:lineRule="atLeast"/>
        <w:ind w:firstLine="720"/>
        <w:jc w:val="both"/>
        <w:rPr>
          <w:color w:val="000000"/>
          <w:shd w:val="clear" w:color="auto" w:fill="FFFFFF"/>
          <w:lang w:val="en-GB"/>
        </w:rPr>
      </w:pPr>
      <w:r>
        <w:rPr>
          <w:color w:val="000000"/>
          <w:shd w:val="clear" w:color="auto" w:fill="FFFFFF"/>
        </w:rPr>
        <w:t xml:space="preserve">c) Đối với các chủ đầu tư (không thuộc </w:t>
      </w:r>
      <w:r>
        <w:rPr>
          <w:color w:val="000000"/>
          <w:shd w:val="clear" w:color="auto" w:fill="FFFFFF"/>
          <w:lang w:val="en-GB"/>
        </w:rPr>
        <w:t>sở, ban, ngà</w:t>
      </w:r>
      <w:r>
        <w:rPr>
          <w:color w:val="000000"/>
          <w:shd w:val="clear" w:color="auto" w:fill="FFFFFF"/>
          <w:lang w:val="en-GB"/>
        </w:rPr>
        <w:t xml:space="preserve">nh tỉnh theo phân cấp quản lý) </w:t>
      </w:r>
      <w:r>
        <w:rPr>
          <w:color w:val="000000"/>
          <w:shd w:val="clear" w:color="auto" w:fill="FFFFFF"/>
        </w:rPr>
        <w:t xml:space="preserve">lập báo cáo quyết toán </w:t>
      </w:r>
      <w:r>
        <w:rPr>
          <w:color w:val="000000"/>
          <w:shd w:val="clear" w:color="auto" w:fill="FFFFFF"/>
          <w:lang w:val="en-GB"/>
        </w:rPr>
        <w:t>vốn đầu tư công theo niên độ gửi Sở Tài chính trước ngày 15 tháng 4 năm sau năm quyết toán.</w:t>
      </w:r>
    </w:p>
    <w:p w:rsidR="00A41C6A" w:rsidRDefault="00CF671C">
      <w:pPr>
        <w:spacing w:before="120" w:after="120" w:line="350" w:lineRule="atLeast"/>
        <w:ind w:firstLine="720"/>
        <w:jc w:val="both"/>
        <w:rPr>
          <w:bCs/>
          <w:spacing w:val="6"/>
        </w:rPr>
      </w:pPr>
      <w:r>
        <w:rPr>
          <w:bCs/>
          <w:spacing w:val="6"/>
        </w:rPr>
        <w:t>2. Kho bạc Nhà nước Khu vực XVIII tổng hợp báo cáo quyết toán vốn đầu tư công theo niên độ gửi Sở Tài chính tr</w:t>
      </w:r>
      <w:r>
        <w:rPr>
          <w:bCs/>
          <w:spacing w:val="6"/>
        </w:rPr>
        <w:t>ước ngày 15 tháng 4 năm sau năm quyết toán.</w:t>
      </w:r>
    </w:p>
    <w:p w:rsidR="00A41C6A" w:rsidRDefault="00CF671C">
      <w:pPr>
        <w:spacing w:before="120" w:after="120" w:line="350" w:lineRule="atLeast"/>
        <w:ind w:firstLine="720"/>
        <w:jc w:val="both"/>
        <w:rPr>
          <w:bCs/>
        </w:rPr>
      </w:pPr>
      <w:r>
        <w:rPr>
          <w:bCs/>
        </w:rPr>
        <w:t>3. Sở Tài chính thực hiện xét duyệt và ra văn bản xét duyệt quyết toán vốn đầu tư công theo niên độ đối với các dự án thuộc ngân sách tỉnh quản lý theo Mẫu số 04/QTNĐ và Mẫu số 05/QTNĐ (Ban hành kèm theo Thông tư</w:t>
      </w:r>
      <w:r>
        <w:rPr>
          <w:bCs/>
        </w:rPr>
        <w:t xml:space="preserve"> số  91/2025/TT-BTC ngày 26 tháng 9 năm 2025 của Bộ trưởng Bộ Tài chính Quy định về hệ thống biểu mẫu sử dụng trong công tác quyết toán); lập, tổng hợp quyết toán vốn đầu tư công theo niên độ thuộc ngân sách địa phương quản lý báo cáo </w:t>
      </w:r>
      <w:r>
        <w:rPr>
          <w:bCs/>
          <w:spacing w:val="-2"/>
        </w:rPr>
        <w:t>Ủy</w:t>
      </w:r>
      <w:r>
        <w:rPr>
          <w:bCs/>
        </w:rPr>
        <w:t xml:space="preserve"> ban nhân dân tỉnh </w:t>
      </w:r>
      <w:r>
        <w:rPr>
          <w:bCs/>
        </w:rPr>
        <w:t>để trình Hội đồng nhân dân tỉnh phê chuẩn đảm bảo theo quy định tại </w:t>
      </w:r>
      <w:hyperlink r:id="rId11" w:tooltip="https://thuvienphapluat.vn/van-ban/Tai-chinh-nha-nuoc/Luat-ngan-sach-nha-nuoc-2025-so-89-2025-QH15-650061.aspx" w:history="1">
        <w:r>
          <w:rPr>
            <w:iCs/>
            <w:spacing w:val="-8"/>
          </w:rPr>
          <w:t>Luật Ngân sách nhà nước số 89/2025/QH15</w:t>
        </w:r>
      </w:hyperlink>
      <w:r>
        <w:rPr>
          <w:bCs/>
        </w:rPr>
        <w:t>.</w:t>
      </w:r>
    </w:p>
    <w:p w:rsidR="00A41C6A" w:rsidRDefault="00CF671C">
      <w:pPr>
        <w:spacing w:before="120" w:after="120" w:line="340" w:lineRule="atLeast"/>
        <w:ind w:firstLine="720"/>
        <w:jc w:val="both"/>
        <w:rPr>
          <w:bCs/>
          <w:spacing w:val="-2"/>
        </w:rPr>
      </w:pPr>
      <w:r>
        <w:rPr>
          <w:bCs/>
        </w:rPr>
        <w:t>Chậm nhất trong vòng 05 ngày làm việc sau khi được Hội đồng nhân dân tỉnh phê chuẩn quyết toán ngân sách nhà nước của năm quyết toán, Sở Tài chính gửi báo cáo q</w:t>
      </w:r>
      <w:r>
        <w:rPr>
          <w:bCs/>
        </w:rPr>
        <w:t>uyết toán vốn đầu tư công nguồn ngân sách nhà nước theo năm ngân sách do địa phương quản lý cho Bộ Tài chính và Kho bạc nhà nước cấp trung ương để phục vụ công tác quyết toán vốn đầu tư công nguồn ngân sách nhà nước.</w:t>
      </w:r>
    </w:p>
    <w:p w:rsidR="00A41C6A" w:rsidRDefault="00CF671C">
      <w:pPr>
        <w:spacing w:before="120" w:after="120" w:line="340" w:lineRule="atLeast"/>
        <w:ind w:firstLine="720"/>
        <w:jc w:val="both"/>
        <w:rPr>
          <w:b/>
          <w:color w:val="000000"/>
          <w:shd w:val="clear" w:color="auto" w:fill="FFFFFF"/>
          <w:lang w:val="en-GB"/>
        </w:rPr>
      </w:pPr>
      <w:r>
        <w:rPr>
          <w:b/>
          <w:bCs/>
          <w:spacing w:val="-2"/>
        </w:rPr>
        <w:t>Điều 4. Trình tự, thời gian lập, gửi, x</w:t>
      </w:r>
      <w:r>
        <w:rPr>
          <w:b/>
          <w:bCs/>
          <w:spacing w:val="-2"/>
        </w:rPr>
        <w:t xml:space="preserve">ét duyệt </w:t>
      </w:r>
      <w:r>
        <w:rPr>
          <w:b/>
        </w:rPr>
        <w:t>báo cáo quyết toán vốn đầu tư công theo niên độ đối với ngân sách cấp xã</w:t>
      </w:r>
    </w:p>
    <w:p w:rsidR="00A41C6A" w:rsidRDefault="00CF671C">
      <w:pPr>
        <w:spacing w:before="60" w:after="60" w:line="276" w:lineRule="auto"/>
        <w:ind w:firstLine="720"/>
        <w:jc w:val="both"/>
        <w:rPr>
          <w:color w:val="000000"/>
          <w:shd w:val="clear" w:color="auto" w:fill="FFFFFF"/>
          <w:lang w:val="vi-VN"/>
        </w:rPr>
      </w:pPr>
      <w:r>
        <w:t>1. Chủ đầu tư,</w:t>
      </w:r>
      <w:r>
        <w:rPr>
          <w:bCs/>
        </w:rPr>
        <w:t xml:space="preserve"> Ban quản lý dự án sử dụng vốn </w:t>
      </w:r>
      <w:r>
        <w:rPr>
          <w:bCs/>
          <w:spacing w:val="2"/>
        </w:rPr>
        <w:t>đầu tư công</w:t>
      </w:r>
      <w:r>
        <w:t xml:space="preserve"> lập</w:t>
      </w:r>
      <w:r>
        <w:rPr>
          <w:b/>
          <w:i/>
        </w:rPr>
        <w:t xml:space="preserve"> </w:t>
      </w:r>
      <w:r>
        <w:rPr>
          <w:color w:val="000000"/>
          <w:shd w:val="clear" w:color="auto" w:fill="FFFFFF"/>
          <w:lang w:val="vi-VN"/>
        </w:rPr>
        <w:t>báo cáo</w:t>
      </w:r>
      <w:r>
        <w:rPr>
          <w:color w:val="000000"/>
          <w:shd w:val="clear" w:color="auto" w:fill="FFFFFF"/>
          <w:lang w:val="en-GB"/>
        </w:rPr>
        <w:t xml:space="preserve"> quyết toán vốn đầu tư công theo niên độ gửi </w:t>
      </w:r>
      <w:r>
        <w:rPr>
          <w:bCs/>
          <w:spacing w:val="-2"/>
        </w:rPr>
        <w:t>gửi Phòng Kinh tế (đối với xã) hoặc Phòng Kinh tế, Hạ tầng và Đô thị (đối với phường)</w:t>
      </w:r>
      <w:r>
        <w:rPr>
          <w:bCs/>
        </w:rPr>
        <w:t xml:space="preserve"> </w:t>
      </w:r>
      <w:r>
        <w:rPr>
          <w:color w:val="000000"/>
          <w:shd w:val="clear" w:color="auto" w:fill="FFFFFF"/>
          <w:lang w:val="en-GB"/>
        </w:rPr>
        <w:t>trước ngày 01 tháng 3 năm sau năm quyết toán.</w:t>
      </w:r>
    </w:p>
    <w:p w:rsidR="00A41C6A" w:rsidRDefault="00CF671C">
      <w:pPr>
        <w:spacing w:before="120" w:after="120" w:line="350" w:lineRule="atLeast"/>
        <w:ind w:firstLine="720"/>
        <w:jc w:val="both"/>
        <w:rPr>
          <w:bCs/>
        </w:rPr>
      </w:pPr>
      <w:r>
        <w:rPr>
          <w:bCs/>
        </w:rPr>
        <w:lastRenderedPageBreak/>
        <w:t xml:space="preserve">2. Theo phân cấp quản lý, các Phòng nghiệp vụ, Phòng giao dịch thuộc Kho bạc Nhà nước </w:t>
      </w:r>
      <w:r>
        <w:rPr>
          <w:bCs/>
          <w:spacing w:val="-2"/>
        </w:rPr>
        <w:t>Khu vực XVIII tổng hợp báo cáo quyết t</w:t>
      </w:r>
      <w:r>
        <w:rPr>
          <w:bCs/>
          <w:spacing w:val="-2"/>
        </w:rPr>
        <w:t>oán vốn đầu tư công theo niên độ thuộc ngân sách xã, phường quản lý gửi Phòng Kinh tế (đối với xã) hoặc Phòng Kinh tế, Hạ tầng và Đô thị (đối với phường)</w:t>
      </w:r>
      <w:r>
        <w:rPr>
          <w:bCs/>
        </w:rPr>
        <w:t xml:space="preserve"> và Kho bạc Nhà nước Khu vực XVIII trước ngày 01 tháng 3 năm sau năm quyết toán.</w:t>
      </w:r>
    </w:p>
    <w:p w:rsidR="00A41C6A" w:rsidRDefault="00CF671C">
      <w:pPr>
        <w:spacing w:before="120" w:after="120" w:line="350" w:lineRule="atLeast"/>
        <w:ind w:firstLine="720"/>
        <w:jc w:val="both"/>
        <w:rPr>
          <w:bCs/>
        </w:rPr>
      </w:pPr>
      <w:r>
        <w:rPr>
          <w:bCs/>
        </w:rPr>
        <w:t xml:space="preserve">3. Phòng Kinh tế (đối </w:t>
      </w:r>
      <w:r>
        <w:rPr>
          <w:bCs/>
        </w:rPr>
        <w:t xml:space="preserve">với xã) hoặc Phòng Kinh tế, Hạ tầng và Đô thị (đối với phường) thực hiện xét duyệt và ra văn bản xét duyệt quyết toán vốn đầu tư công theo niên độ đối với các dự án thuộc ngân sách xã, phường do mình quản lý theo Mẫu số 04/QTNĐ và Mẫu số 05/QTNĐ (Ban hành </w:t>
      </w:r>
      <w:r>
        <w:rPr>
          <w:bCs/>
        </w:rPr>
        <w:t xml:space="preserve">kèm theo Thông tư số  91/2025/TT-BTC); lập, tổng hợp báo cáo quyết toán vốn đầu tư công theo niên độ của ngân sách xã, phường trình </w:t>
      </w:r>
      <w:r>
        <w:rPr>
          <w:bCs/>
          <w:spacing w:val="-2"/>
        </w:rPr>
        <w:t>Ủy ban nhân dân cùng cấp để trình Hội đồng nhân dân cấp xã xem xét, phê chuẩn</w:t>
      </w:r>
      <w:r>
        <w:rPr>
          <w:bCs/>
        </w:rPr>
        <w:t xml:space="preserve">  báo cáo quyết toán ngân sách cấp mình trước n</w:t>
      </w:r>
      <w:r>
        <w:rPr>
          <w:bCs/>
        </w:rPr>
        <w:t>gày 31 tháng 3 năm sau năm quyết</w:t>
      </w:r>
      <w:r>
        <w:rPr>
          <w:bCs/>
          <w:spacing w:val="-2"/>
        </w:rPr>
        <w:t xml:space="preserve"> toán đảm bảo theo quy định của </w:t>
      </w:r>
      <w:hyperlink r:id="rId12" w:tooltip="https://thuvienphapluat.vn/van-ban/Tai-chinh-nha-nuoc/Luat-ngan-sach-nha-nuoc-2025-so-89-2025-QH15-650061.aspx" w:history="1">
        <w:r>
          <w:rPr>
            <w:iCs/>
            <w:spacing w:val="-8"/>
          </w:rPr>
          <w:t>Luật Ngân sách nhà nước số 89/2025/QH15</w:t>
        </w:r>
      </w:hyperlink>
      <w:r>
        <w:rPr>
          <w:bCs/>
          <w:spacing w:val="-2"/>
        </w:rPr>
        <w:t>; gửi Ủy ban nhân dân cấp tỉnh, Sở Tài chính chậm nhất 5 ngày làm việc kể từ ngày báo cáo quyết toán được Hội đồng nhân dân cấp xã phê chuẩn.</w:t>
      </w:r>
      <w:r>
        <w:rPr>
          <w:bCs/>
        </w:rPr>
        <w:t xml:space="preserve"> </w:t>
      </w:r>
    </w:p>
    <w:p w:rsidR="00A41C6A" w:rsidRDefault="00CF671C">
      <w:pPr>
        <w:spacing w:before="120" w:after="120" w:line="360" w:lineRule="atLeast"/>
        <w:jc w:val="center"/>
        <w:rPr>
          <w:b/>
          <w:bCs/>
        </w:rPr>
      </w:pPr>
      <w:r>
        <w:rPr>
          <w:b/>
          <w:bCs/>
        </w:rPr>
        <w:t>CHƯƠNG III</w:t>
      </w:r>
    </w:p>
    <w:p w:rsidR="00A41C6A" w:rsidRDefault="00CF671C">
      <w:pPr>
        <w:spacing w:before="120" w:after="120" w:line="360" w:lineRule="atLeast"/>
        <w:jc w:val="center"/>
        <w:rPr>
          <w:b/>
          <w:bCs/>
        </w:rPr>
      </w:pPr>
      <w:r>
        <w:rPr>
          <w:b/>
          <w:bCs/>
        </w:rPr>
        <w:t>TỔ CHỨC THỰC</w:t>
      </w:r>
      <w:r>
        <w:rPr>
          <w:b/>
          <w:bCs/>
        </w:rPr>
        <w:t xml:space="preserve"> HIỆN</w:t>
      </w:r>
    </w:p>
    <w:p w:rsidR="00A41C6A" w:rsidRDefault="00CF671C">
      <w:pPr>
        <w:spacing w:before="120" w:after="120" w:line="360" w:lineRule="atLeast"/>
        <w:ind w:firstLine="720"/>
        <w:jc w:val="both"/>
        <w:rPr>
          <w:b/>
          <w:bCs/>
        </w:rPr>
      </w:pPr>
      <w:r>
        <w:rPr>
          <w:b/>
          <w:bCs/>
        </w:rPr>
        <w:t>Điều 5. Trách nhiệm của các chủ đầu tư, Ban quản lý dự án và các đơn vị có liên quan</w:t>
      </w:r>
    </w:p>
    <w:p w:rsidR="00A41C6A" w:rsidRDefault="00CF671C">
      <w:pPr>
        <w:spacing w:before="120" w:after="120" w:line="360" w:lineRule="atLeast"/>
        <w:ind w:firstLine="720"/>
      </w:pPr>
      <w:r>
        <w:t>1. Trách nhiệm của các chủ đầu tư, Ban quản lý dự án</w:t>
      </w:r>
    </w:p>
    <w:p w:rsidR="00A41C6A" w:rsidRDefault="00CF671C">
      <w:pPr>
        <w:spacing w:before="120" w:after="120" w:line="350" w:lineRule="atLeast"/>
        <w:ind w:firstLine="720"/>
        <w:jc w:val="both"/>
        <w:rPr>
          <w:bCs/>
        </w:rPr>
      </w:pPr>
      <w:r>
        <w:rPr>
          <w:bCs/>
        </w:rPr>
        <w:t>Các chủ đầu tư, Ban quản lý dự án chịu trách nhiệm toàn diện về tính đầy đủ, chính xác của số liệu</w:t>
      </w:r>
      <w:r>
        <w:rPr>
          <w:bCs/>
        </w:rPr>
        <w:t xml:space="preserve"> trong báo cáo quyết toán và đảm bảo đúng nội dung, trình tự, mẫu biểu và thời hạn theo quy định của </w:t>
      </w:r>
      <w:hyperlink r:id="rId13" w:tooltip="https://thuvienphapluat.vn/van-ban/Tai-chinh-nha-nuoc/Luat-ngan-sach-nha-nuoc-2025-so-89-2025-QH15-650061.aspx" w:history="1">
        <w:r>
          <w:rPr>
            <w:iCs/>
            <w:spacing w:val="-8"/>
          </w:rPr>
          <w:t>Luật Ngân sách nhà nước số 89/2025/QH15</w:t>
        </w:r>
      </w:hyperlink>
      <w:r>
        <w:rPr>
          <w:bCs/>
        </w:rPr>
        <w:t>,</w:t>
      </w:r>
      <w:r>
        <w:rPr>
          <w:bCs/>
          <w:spacing w:val="-4"/>
        </w:rPr>
        <w:t xml:space="preserve"> </w:t>
      </w:r>
      <w:hyperlink r:id="rId14" w:tooltip="https://thuvienphapluat.vn/van-ban/Dau-tu/Luat-Dau-tu-cong-2024-so-58-2024-QH15-621645.aspx" w:history="1">
        <w:r>
          <w:rPr>
            <w:iCs/>
            <w:spacing w:val="-2"/>
          </w:rPr>
          <w:t>Luật Đầu tư công số 58/2024/QH15</w:t>
        </w:r>
      </w:hyperlink>
      <w:r>
        <w:rPr>
          <w:i/>
          <w:iCs/>
          <w:spacing w:val="-2"/>
        </w:rPr>
        <w:t xml:space="preserve"> </w:t>
      </w:r>
      <w:r>
        <w:rPr>
          <w:bCs/>
          <w:spacing w:val="-4"/>
        </w:rPr>
        <w:t>và các quy định trong Quyết định này.</w:t>
      </w:r>
    </w:p>
    <w:p w:rsidR="00A41C6A" w:rsidRDefault="00CF671C">
      <w:pPr>
        <w:spacing w:before="120" w:after="120" w:line="360" w:lineRule="atLeast"/>
        <w:ind w:firstLine="720"/>
        <w:jc w:val="both"/>
        <w:rPr>
          <w:bCs/>
        </w:rPr>
      </w:pPr>
      <w:r>
        <w:rPr>
          <w:bCs/>
        </w:rPr>
        <w:t>2. Trách nhiệm của sở, ban ngành thuộc Ủy ban nhân dân tỉnh</w:t>
      </w:r>
    </w:p>
    <w:p w:rsidR="00A41C6A" w:rsidRDefault="00CF671C">
      <w:pPr>
        <w:spacing w:before="120" w:after="120" w:line="360" w:lineRule="atLeast"/>
        <w:ind w:firstLine="720"/>
        <w:jc w:val="both"/>
        <w:rPr>
          <w:spacing w:val="-4"/>
        </w:rPr>
      </w:pPr>
      <w:r>
        <w:t>Các sở, ban, ngành cấp tỉnh (cơ quan cấp trên c</w:t>
      </w:r>
      <w:r>
        <w:t>ủa chủ đầu tư theo phân cấp quản lý)</w:t>
      </w:r>
      <w:r>
        <w:rPr>
          <w:b/>
          <w:i/>
        </w:rPr>
        <w:t xml:space="preserve"> </w:t>
      </w:r>
      <w:r>
        <w:t>xét</w:t>
      </w:r>
      <w:r>
        <w:rPr>
          <w:color w:val="000000"/>
          <w:shd w:val="clear" w:color="auto" w:fill="FFFFFF"/>
          <w:lang w:val="en-GB"/>
        </w:rPr>
        <w:t xml:space="preserve"> duyệt báo cáo quyết toán của chủ đầu tư (cơ quan cấp dưới); tổng hợp và báo cáo quyết toán vốn đầu tư công theo niên độ thuộc đơn vị mình quản lý gửi Sở Tài chính theo quy định.</w:t>
      </w:r>
    </w:p>
    <w:p w:rsidR="00A41C6A" w:rsidRDefault="00CF671C">
      <w:pPr>
        <w:spacing w:before="120" w:after="120" w:line="360" w:lineRule="atLeast"/>
        <w:ind w:firstLine="720"/>
        <w:rPr>
          <w:bCs/>
        </w:rPr>
      </w:pPr>
      <w:r>
        <w:rPr>
          <w:bCs/>
        </w:rPr>
        <w:t xml:space="preserve">3. Trách nhiệm của cơ quan tài chính </w:t>
      </w:r>
      <w:r>
        <w:rPr>
          <w:bCs/>
        </w:rPr>
        <w:t>các cấp</w:t>
      </w:r>
    </w:p>
    <w:p w:rsidR="00A41C6A" w:rsidRDefault="00CF671C">
      <w:pPr>
        <w:spacing w:before="120" w:after="120" w:line="350" w:lineRule="atLeast"/>
        <w:ind w:firstLine="720"/>
        <w:jc w:val="both"/>
        <w:rPr>
          <w:bCs/>
        </w:rPr>
      </w:pPr>
      <w:r>
        <w:rPr>
          <w:bCs/>
        </w:rPr>
        <w:t>Trên cơ sở báo cáo của chủ đầu tư và cơ quan thanh toán, Phòng Kinh tế (đối với xã) hoặc Phòng Kinh tế, Hạ tầng và Đô thị (đối với phường) chịu trách nhiệm lập, tổng hợp, xét duyệt vốn đầu tư công thuộc ngân sách xã, phường do mình quản lý trình UB</w:t>
      </w:r>
      <w:r>
        <w:rPr>
          <w:bCs/>
        </w:rPr>
        <w:t xml:space="preserve">ND xã, phường để trình HĐND cùng cấp phê chuẩn quyết toán vốn đầu tư công theo niên độ đảm bảo theo quy định của </w:t>
      </w:r>
      <w:hyperlink r:id="rId15" w:tooltip="https://thuvienphapluat.vn/van-ban/Tai-chinh-nha-nuoc/Luat-ngan-sach-nha-nuoc-2025-so-89-2025-QH15-650061.aspx" w:history="1">
        <w:r>
          <w:rPr>
            <w:iCs/>
            <w:spacing w:val="-8"/>
          </w:rPr>
          <w:t xml:space="preserve">Luật Ngân sách nhà </w:t>
        </w:r>
        <w:r>
          <w:rPr>
            <w:iCs/>
            <w:spacing w:val="-8"/>
          </w:rPr>
          <w:lastRenderedPageBreak/>
          <w:t>nước số 89/2025/QH15</w:t>
        </w:r>
      </w:hyperlink>
      <w:r>
        <w:rPr>
          <w:bCs/>
        </w:rPr>
        <w:t xml:space="preserve">, </w:t>
      </w:r>
      <w:hyperlink r:id="rId16" w:tooltip="https://thuvienphapluat.vn/van-ban/Dau-tu/Luat-Dau-tu-cong-2024-so-58-2024-QH15-621645.aspx" w:history="1">
        <w:r>
          <w:rPr>
            <w:iCs/>
            <w:spacing w:val="-2"/>
          </w:rPr>
          <w:t>Luật Đầu tư công số 58/2024/QH15</w:t>
        </w:r>
      </w:hyperlink>
      <w:r>
        <w:rPr>
          <w:iCs/>
          <w:spacing w:val="-2"/>
        </w:rPr>
        <w:t xml:space="preserve"> </w:t>
      </w:r>
      <w:r>
        <w:rPr>
          <w:bCs/>
        </w:rPr>
        <w:t>và quy định tại Quyết định này; chịu trách nhiệm về số liệu trong báo cáo quyết toán thuộc ngân sách cấp mình quản lý.</w:t>
      </w:r>
    </w:p>
    <w:p w:rsidR="00A41C6A" w:rsidRDefault="00CF671C">
      <w:pPr>
        <w:spacing w:before="120" w:after="120" w:line="360" w:lineRule="atLeast"/>
        <w:ind w:firstLine="720"/>
        <w:jc w:val="both"/>
        <w:rPr>
          <w:bCs/>
        </w:rPr>
      </w:pPr>
      <w:r>
        <w:rPr>
          <w:bCs/>
        </w:rPr>
        <w:t>Trên cơ sở báo cáo của chủ đầu tư và Kho bạc Nhà nước khu vực XVIII, Sở Tài chính chịu trách nhiệm xét duyệt quyết toán vốn đầu tư công thuộc ngân sách tỉnh quản lý theo các nội dung đã quy định; tổng hợp quyết toán vốn đầu tư công nguồn ngân sách nhà nước</w:t>
      </w:r>
      <w:r>
        <w:rPr>
          <w:bCs/>
        </w:rPr>
        <w:t xml:space="preserve"> do địa phương quản lý để báo cáo UBND tỉnh trình HĐND tỉnh phê chuẩn quyết toán theo quy định.</w:t>
      </w:r>
    </w:p>
    <w:p w:rsidR="00A41C6A" w:rsidRDefault="00CF671C">
      <w:pPr>
        <w:spacing w:before="120" w:after="120" w:line="360" w:lineRule="atLeast"/>
        <w:ind w:firstLine="720"/>
        <w:jc w:val="both"/>
        <w:rPr>
          <w:bCs/>
        </w:rPr>
      </w:pPr>
      <w:r>
        <w:rPr>
          <w:bCs/>
        </w:rPr>
        <w:t>4. Kho bạc Nhà nước khu vực XVIII, Phòng nghiệp vụ hoặc Phòng giao dịch trực thuộc Kho bạc Nhà nước khu vực XVIII</w:t>
      </w:r>
    </w:p>
    <w:p w:rsidR="00A41C6A" w:rsidRDefault="00CF671C">
      <w:pPr>
        <w:spacing w:before="120" w:after="120" w:line="340" w:lineRule="atLeast"/>
        <w:ind w:firstLine="720"/>
        <w:jc w:val="both"/>
        <w:rPr>
          <w:bCs/>
          <w:spacing w:val="-2"/>
        </w:rPr>
      </w:pPr>
      <w:r>
        <w:rPr>
          <w:bCs/>
        </w:rPr>
        <w:t>Cơ quan thanh toán thực hiện xác nhận, đối chi</w:t>
      </w:r>
      <w:r>
        <w:rPr>
          <w:bCs/>
        </w:rPr>
        <w:t xml:space="preserve">ếu số liệu đã giải ngân, </w:t>
      </w:r>
      <w:r>
        <w:rPr>
          <w:bCs/>
          <w:spacing w:val="-6"/>
        </w:rPr>
        <w:t>thanh toán cho các chủ đầu tư, Ban quản lý dự án và cơ quan tài chính theo quy định.</w:t>
      </w:r>
    </w:p>
    <w:p w:rsidR="00A41C6A" w:rsidRDefault="00CF671C">
      <w:pPr>
        <w:spacing w:before="120" w:after="120" w:line="340" w:lineRule="atLeast"/>
        <w:ind w:firstLine="720"/>
        <w:jc w:val="both"/>
        <w:rPr>
          <w:bCs/>
        </w:rPr>
      </w:pPr>
      <w:r>
        <w:rPr>
          <w:bCs/>
        </w:rPr>
        <w:t xml:space="preserve">Thực hiện hạch toán, chuyển nguồn, huỷ bỏ số dư dự toán đảm bảo theo quy định của </w:t>
      </w:r>
      <w:hyperlink r:id="rId17" w:tooltip="https://thuvienphapluat.vn/van-ban/Tai-chinh-nha-nuoc/Luat-ngan-sach-nha-nuoc-2025-so-89-2025-QH15-650061.aspx" w:history="1">
        <w:r>
          <w:rPr>
            <w:iCs/>
            <w:spacing w:val="-8"/>
          </w:rPr>
          <w:t>Luật Ngân sách nhà nước số 89/2025/QH15</w:t>
        </w:r>
      </w:hyperlink>
      <w:r>
        <w:rPr>
          <w:bCs/>
        </w:rPr>
        <w:t xml:space="preserve">, </w:t>
      </w:r>
      <w:hyperlink r:id="rId18" w:tooltip="https://thuvienphapluat.vn/van-ban/Dau-tu/Luat-Dau-tu-cong-2024-so-58-2024-QH15-621645.aspx" w:history="1">
        <w:r>
          <w:rPr>
            <w:iCs/>
            <w:spacing w:val="-2"/>
          </w:rPr>
          <w:t>Luật Đầu tư công số 58/2024/QH15</w:t>
        </w:r>
      </w:hyperlink>
      <w:r>
        <w:rPr>
          <w:iCs/>
          <w:spacing w:val="-2"/>
        </w:rPr>
        <w:t xml:space="preserve"> </w:t>
      </w:r>
      <w:r>
        <w:rPr>
          <w:bCs/>
        </w:rPr>
        <w:t>và Quyết định của cấp có thẩm quyền.</w:t>
      </w:r>
    </w:p>
    <w:p w:rsidR="00A41C6A" w:rsidRDefault="00CF671C">
      <w:pPr>
        <w:spacing w:before="120" w:after="120" w:line="340" w:lineRule="atLeast"/>
        <w:ind w:firstLine="720"/>
        <w:jc w:val="both"/>
        <w:rPr>
          <w:bCs/>
          <w:spacing w:val="-2"/>
        </w:rPr>
      </w:pPr>
      <w:r>
        <w:rPr>
          <w:bCs/>
          <w:spacing w:val="-2"/>
        </w:rPr>
        <w:t xml:space="preserve">Tổng hợp báo cáo </w:t>
      </w:r>
      <w:r>
        <w:rPr>
          <w:bCs/>
          <w:spacing w:val="-2"/>
        </w:rPr>
        <w:t xml:space="preserve">quyết toán vốn đầu tư công theo niên độ theo quy định của </w:t>
      </w:r>
      <w:hyperlink r:id="rId19" w:tooltip="https://thuvienphapluat.vn/van-ban/Tai-chinh-nha-nuoc/Luat-ngan-sach-nha-nuoc-2025-so-89-2025-QH15-650061.aspx" w:history="1">
        <w:r>
          <w:rPr>
            <w:iCs/>
            <w:spacing w:val="-8"/>
          </w:rPr>
          <w:t>Luật Ngân sách nhà nước số 89/2025/QH15</w:t>
        </w:r>
      </w:hyperlink>
      <w:r>
        <w:rPr>
          <w:bCs/>
          <w:spacing w:val="-2"/>
        </w:rPr>
        <w:t xml:space="preserve">, </w:t>
      </w:r>
      <w:hyperlink r:id="rId20" w:tooltip="https://thuvienphapluat.vn/van-ban/Dau-tu/Luat-Dau-tu-cong-2024-so-58-2024-QH15-621645.aspx" w:history="1">
        <w:r>
          <w:rPr>
            <w:iCs/>
            <w:spacing w:val="-2"/>
          </w:rPr>
          <w:t>Luật Đầu tư công số 58/2024/QH15</w:t>
        </w:r>
      </w:hyperlink>
      <w:r>
        <w:rPr>
          <w:bCs/>
          <w:spacing w:val="-2"/>
        </w:rPr>
        <w:t xml:space="preserve"> và quy định tại Quyết định này.</w:t>
      </w:r>
    </w:p>
    <w:p w:rsidR="00A41C6A" w:rsidRDefault="00CF671C">
      <w:pPr>
        <w:spacing w:before="120" w:after="120" w:line="360" w:lineRule="atLeast"/>
        <w:ind w:firstLine="720"/>
        <w:jc w:val="both"/>
        <w:rPr>
          <w:b/>
          <w:spacing w:val="-2"/>
        </w:rPr>
      </w:pPr>
      <w:r>
        <w:rPr>
          <w:b/>
          <w:spacing w:val="-2"/>
        </w:rPr>
        <w:t>Điều 6. Tổ chức thực hiện</w:t>
      </w:r>
    </w:p>
    <w:p w:rsidR="00A41C6A" w:rsidRDefault="00CF671C">
      <w:pPr>
        <w:spacing w:before="120" w:after="120" w:line="360" w:lineRule="atLeast"/>
        <w:ind w:firstLine="720"/>
        <w:jc w:val="both"/>
      </w:pPr>
      <w:r>
        <w:t xml:space="preserve">1. Sở Tài chính chủ trì, phối hợp với các sở, ngành và các đơn vị có liên </w:t>
      </w:r>
      <w:r>
        <w:rPr>
          <w:spacing w:val="2"/>
        </w:rPr>
        <w:t>quan hướng dẫn, tổ chức, triển khai, thực hiện, kiểm tra</w:t>
      </w:r>
      <w:r>
        <w:rPr>
          <w:spacing w:val="2"/>
        </w:rPr>
        <w:t xml:space="preserve"> theo hướng dẫn tại Quy định này.</w:t>
      </w:r>
    </w:p>
    <w:p w:rsidR="00A41C6A" w:rsidRDefault="00CF671C">
      <w:pPr>
        <w:pStyle w:val="Normal13pt"/>
        <w:spacing w:before="60" w:after="60" w:line="276" w:lineRule="auto"/>
        <w:ind w:firstLine="720"/>
        <w:jc w:val="both"/>
        <w:rPr>
          <w:sz w:val="28"/>
          <w:szCs w:val="28"/>
        </w:rPr>
      </w:pPr>
      <w:r>
        <w:rPr>
          <w:sz w:val="28"/>
          <w:szCs w:val="28"/>
        </w:rPr>
        <w:t xml:space="preserve">2. </w:t>
      </w:r>
      <w:r>
        <w:rPr>
          <w:color w:val="000000"/>
          <w:sz w:val="28"/>
          <w:szCs w:val="28"/>
          <w:shd w:val="clear" w:color="auto" w:fill="FFFFFF"/>
          <w:lang w:val="en-GB"/>
        </w:rPr>
        <w:t xml:space="preserve">Đối với các nội dung về </w:t>
      </w:r>
      <w:r>
        <w:rPr>
          <w:sz w:val="28"/>
          <w:szCs w:val="28"/>
        </w:rPr>
        <w:t>quyết toán vốn đầu tư công theo niên độ</w:t>
      </w:r>
      <w:r>
        <w:rPr>
          <w:color w:val="000000"/>
          <w:sz w:val="28"/>
          <w:szCs w:val="28"/>
          <w:shd w:val="clear" w:color="auto" w:fill="FFFFFF"/>
          <w:lang w:val="en-GB"/>
        </w:rPr>
        <w:t xml:space="preserve"> do Ủy ban nhân dân các cấp quản lý không quy định tại Quyết định này thực hiện theo Nghị định số </w:t>
      </w:r>
      <w:hyperlink r:id="rId21" w:tooltip="https://thuvienphapluat.vn/van-ban/Dau-tu/Nghi-dinh-254-2025-ND-CP-quan-ly-thanh-toan-quyet-toan-du-an-su-dung-von-dau-tu-cong-674480.aspx" w:history="1">
        <w:r>
          <w:rPr>
            <w:iCs/>
            <w:sz w:val="28"/>
            <w:szCs w:val="28"/>
          </w:rPr>
          <w:t>254/2025/NĐ-CP</w:t>
        </w:r>
      </w:hyperlink>
      <w:r>
        <w:rPr>
          <w:iCs/>
          <w:sz w:val="28"/>
          <w:szCs w:val="28"/>
        </w:rPr>
        <w:t> </w:t>
      </w:r>
      <w:r>
        <w:rPr>
          <w:iCs/>
          <w:sz w:val="28"/>
          <w:szCs w:val="28"/>
        </w:rPr>
        <w:t xml:space="preserve">của </w:t>
      </w:r>
      <w:r>
        <w:rPr>
          <w:iCs/>
          <w:spacing w:val="-8"/>
          <w:sz w:val="28"/>
          <w:szCs w:val="28"/>
        </w:rPr>
        <w:t>Chính phủ Quy định về quản lý, thanh toán, quyết toán dự án sử dụng vốn đầu tư công</w:t>
      </w:r>
      <w:r>
        <w:rPr>
          <w:sz w:val="28"/>
          <w:szCs w:val="28"/>
        </w:rPr>
        <w:t>.</w:t>
      </w:r>
    </w:p>
    <w:p w:rsidR="00A41C6A" w:rsidRDefault="00CF671C">
      <w:pPr>
        <w:spacing w:before="120" w:after="120" w:line="360" w:lineRule="atLeast"/>
        <w:ind w:firstLine="720"/>
        <w:jc w:val="both"/>
      </w:pPr>
      <w:r>
        <w:t xml:space="preserve">3. Trường hợp các văn bản quy phạm pháp luật được viện dẫn để áp dụng tại </w:t>
      </w:r>
      <w:r>
        <w:rPr>
          <w:color w:val="000000" w:themeColor="text1"/>
        </w:rPr>
        <w:t xml:space="preserve">Quy định </w:t>
      </w:r>
      <w:r>
        <w:t>này được sửa đổi, bổ sung, thay thế thì sẽ áp dụng theo các văn bản sửa đổi, bổ sung</w:t>
      </w:r>
      <w:r>
        <w:t>, thay thế đó.</w:t>
      </w:r>
    </w:p>
    <w:p w:rsidR="00A41C6A" w:rsidRDefault="00CF671C">
      <w:pPr>
        <w:spacing w:before="120" w:after="120" w:line="360" w:lineRule="atLeast"/>
        <w:ind w:firstLine="720"/>
        <w:jc w:val="both"/>
      </w:pPr>
      <w:r>
        <w:rPr>
          <w:spacing w:val="-2"/>
        </w:rPr>
        <w:t>4. Trong quá trình thực hiện, trường hợp có vướng mắc đề nghị các cơ quan,</w:t>
      </w:r>
      <w:r>
        <w:t xml:space="preserve"> tổ chức phản ánh về Sở Tài chính để nghiên cứu, tổng hợp và báo cáo </w:t>
      </w:r>
      <w:r>
        <w:rPr>
          <w:bCs/>
          <w:spacing w:val="-2"/>
        </w:rPr>
        <w:t>Ủy</w:t>
      </w:r>
      <w:r>
        <w:t xml:space="preserve"> ban nhân dân tỉnh sửa đổi, bổ sung theo quy định./.</w:t>
      </w:r>
    </w:p>
    <w:sectPr w:rsidR="00A41C6A">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671C" w:rsidRDefault="00CF671C">
      <w:r>
        <w:separator/>
      </w:r>
    </w:p>
  </w:endnote>
  <w:endnote w:type="continuationSeparator" w:id="0">
    <w:p w:rsidR="00CF671C" w:rsidRDefault="00CF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auto"/>
    <w:pitch w:val="default"/>
  </w:font>
  <w:font w:name="TimesNewRomanPSMT">
    <w:charset w:val="00"/>
    <w:family w:val="auto"/>
    <w:pitch w:val="default"/>
  </w:font>
  <w:font w:name="Times New Roman Bold">
    <w:panose1 w:val="020208030705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1C6A" w:rsidRDefault="00CF67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41C6A" w:rsidRDefault="00A41C6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671C" w:rsidRDefault="00CF671C">
      <w:r>
        <w:separator/>
      </w:r>
    </w:p>
  </w:footnote>
  <w:footnote w:type="continuationSeparator" w:id="0">
    <w:p w:rsidR="00CF671C" w:rsidRDefault="00CF67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1C6A" w:rsidRDefault="00CF67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41C6A" w:rsidRDefault="00A41C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1C6A" w:rsidRDefault="00CF671C">
    <w:pPr>
      <w:pStyle w:val="Header"/>
      <w:jc w:val="center"/>
    </w:pPr>
    <w:r>
      <w:fldChar w:fldCharType="begin"/>
    </w:r>
    <w:r>
      <w:instrText xml:space="preserve"> PAGE   \* MERGEFORMAT </w:instrText>
    </w:r>
    <w:r>
      <w:fldChar w:fldCharType="separate"/>
    </w:r>
    <w:r w:rsidR="00837912">
      <w:rPr>
        <w:noProof/>
      </w:rPr>
      <w:t>2</w:t>
    </w:r>
    <w:r>
      <w:fldChar w:fldCharType="end"/>
    </w:r>
  </w:p>
  <w:p w:rsidR="00A41C6A" w:rsidRDefault="00A41C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F56E1"/>
    <w:multiLevelType w:val="multilevel"/>
    <w:tmpl w:val="90E6568A"/>
    <w:lvl w:ilvl="0">
      <w:start w:val="1"/>
      <w:numFmt w:val="decimal"/>
      <w:lvlText w:val="%1."/>
      <w:lvlJc w:val="left"/>
      <w:pPr>
        <w:ind w:left="927" w:hanging="360"/>
      </w:pPr>
      <w:rPr>
        <w:rFonts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020D4F50"/>
    <w:multiLevelType w:val="multilevel"/>
    <w:tmpl w:val="F15E4D98"/>
    <w:lvl w:ilvl="0">
      <w:start w:val="1"/>
      <w:numFmt w:val="decimal"/>
      <w:lvlText w:val="%1."/>
      <w:lvlJc w:val="left"/>
      <w:pPr>
        <w:ind w:left="927" w:hanging="360"/>
      </w:pPr>
      <w:rPr>
        <w:rFonts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6B37C3A"/>
    <w:multiLevelType w:val="multilevel"/>
    <w:tmpl w:val="1026D9B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18D72C2E"/>
    <w:multiLevelType w:val="multilevel"/>
    <w:tmpl w:val="54B89F8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CB05081"/>
    <w:multiLevelType w:val="multilevel"/>
    <w:tmpl w:val="74FC5532"/>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nsid w:val="22EC61E6"/>
    <w:multiLevelType w:val="multilevel"/>
    <w:tmpl w:val="FD2E76BC"/>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
    <w:nsid w:val="25B11EBA"/>
    <w:multiLevelType w:val="multilevel"/>
    <w:tmpl w:val="16DC644E"/>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7">
    <w:nsid w:val="289E69CB"/>
    <w:multiLevelType w:val="multilevel"/>
    <w:tmpl w:val="9D7073E2"/>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nsid w:val="2A0833EE"/>
    <w:multiLevelType w:val="multilevel"/>
    <w:tmpl w:val="F1C47C7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2AD56512"/>
    <w:multiLevelType w:val="multilevel"/>
    <w:tmpl w:val="565EE8E6"/>
    <w:lvl w:ilvl="0">
      <w:start w:val="1"/>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0">
    <w:nsid w:val="2B964263"/>
    <w:multiLevelType w:val="multilevel"/>
    <w:tmpl w:val="055866B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nsid w:val="339F2423"/>
    <w:multiLevelType w:val="multilevel"/>
    <w:tmpl w:val="16AE86E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3847461D"/>
    <w:multiLevelType w:val="multilevel"/>
    <w:tmpl w:val="24A0895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nsid w:val="395C492C"/>
    <w:multiLevelType w:val="multilevel"/>
    <w:tmpl w:val="C3648E8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nsid w:val="3B4C2151"/>
    <w:multiLevelType w:val="multilevel"/>
    <w:tmpl w:val="8B549F6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nsid w:val="3B7C42CD"/>
    <w:multiLevelType w:val="multilevel"/>
    <w:tmpl w:val="0422CE16"/>
    <w:lvl w:ilvl="0">
      <w:start w:val="6"/>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6">
    <w:nsid w:val="3BF32C21"/>
    <w:multiLevelType w:val="multilevel"/>
    <w:tmpl w:val="68C0F92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nsid w:val="3D325708"/>
    <w:multiLevelType w:val="multilevel"/>
    <w:tmpl w:val="274C108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nsid w:val="3F9E481A"/>
    <w:multiLevelType w:val="multilevel"/>
    <w:tmpl w:val="A37EAB6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nsid w:val="4A654101"/>
    <w:multiLevelType w:val="multilevel"/>
    <w:tmpl w:val="2092E88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nsid w:val="4DFB4FCD"/>
    <w:multiLevelType w:val="multilevel"/>
    <w:tmpl w:val="6996086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nsid w:val="56BE75EE"/>
    <w:multiLevelType w:val="multilevel"/>
    <w:tmpl w:val="19DA027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nsid w:val="5D9E4E00"/>
    <w:multiLevelType w:val="multilevel"/>
    <w:tmpl w:val="20581434"/>
    <w:lvl w:ilvl="0">
      <w:start w:val="1"/>
      <w:numFmt w:val="decimal"/>
      <w:lvlText w:val="%1."/>
      <w:lvlJc w:val="left"/>
      <w:pPr>
        <w:ind w:left="927" w:hanging="360"/>
      </w:pPr>
      <w:rPr>
        <w:rFonts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nsid w:val="5DF542FF"/>
    <w:multiLevelType w:val="multilevel"/>
    <w:tmpl w:val="CC6E53B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nsid w:val="5EA64008"/>
    <w:multiLevelType w:val="multilevel"/>
    <w:tmpl w:val="8A4E72F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nsid w:val="73153A53"/>
    <w:multiLevelType w:val="multilevel"/>
    <w:tmpl w:val="6568D288"/>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nsid w:val="7458204A"/>
    <w:multiLevelType w:val="multilevel"/>
    <w:tmpl w:val="DAF46D5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nsid w:val="78453763"/>
    <w:multiLevelType w:val="multilevel"/>
    <w:tmpl w:val="2BD84A12"/>
    <w:lvl w:ilvl="0">
      <w:start w:val="1"/>
      <w:numFmt w:val="decimal"/>
      <w:lvlText w:val="%1."/>
      <w:lvlJc w:val="left"/>
      <w:pPr>
        <w:ind w:left="927" w:hanging="360"/>
      </w:pPr>
      <w:rPr>
        <w:rFonts w:hint="default"/>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nsid w:val="7CA63EF5"/>
    <w:multiLevelType w:val="multilevel"/>
    <w:tmpl w:val="DDBE3CC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9">
    <w:nsid w:val="7D71246E"/>
    <w:multiLevelType w:val="multilevel"/>
    <w:tmpl w:val="AC20D86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25"/>
  </w:num>
  <w:num w:numId="2">
    <w:abstractNumId w:val="3"/>
  </w:num>
  <w:num w:numId="3">
    <w:abstractNumId w:val="19"/>
  </w:num>
  <w:num w:numId="4">
    <w:abstractNumId w:val="9"/>
  </w:num>
  <w:num w:numId="5">
    <w:abstractNumId w:val="5"/>
  </w:num>
  <w:num w:numId="6">
    <w:abstractNumId w:val="12"/>
  </w:num>
  <w:num w:numId="7">
    <w:abstractNumId w:val="23"/>
  </w:num>
  <w:num w:numId="8">
    <w:abstractNumId w:val="11"/>
  </w:num>
  <w:num w:numId="9">
    <w:abstractNumId w:val="15"/>
  </w:num>
  <w:num w:numId="10">
    <w:abstractNumId w:val="24"/>
  </w:num>
  <w:num w:numId="11">
    <w:abstractNumId w:val="0"/>
  </w:num>
  <w:num w:numId="12">
    <w:abstractNumId w:val="16"/>
  </w:num>
  <w:num w:numId="13">
    <w:abstractNumId w:val="20"/>
  </w:num>
  <w:num w:numId="14">
    <w:abstractNumId w:val="22"/>
  </w:num>
  <w:num w:numId="15">
    <w:abstractNumId w:val="13"/>
  </w:num>
  <w:num w:numId="16">
    <w:abstractNumId w:val="2"/>
  </w:num>
  <w:num w:numId="17">
    <w:abstractNumId w:val="8"/>
  </w:num>
  <w:num w:numId="18">
    <w:abstractNumId w:val="4"/>
  </w:num>
  <w:num w:numId="19">
    <w:abstractNumId w:val="7"/>
  </w:num>
  <w:num w:numId="20">
    <w:abstractNumId w:val="6"/>
  </w:num>
  <w:num w:numId="21">
    <w:abstractNumId w:val="10"/>
  </w:num>
  <w:num w:numId="22">
    <w:abstractNumId w:val="26"/>
  </w:num>
  <w:num w:numId="23">
    <w:abstractNumId w:val="18"/>
  </w:num>
  <w:num w:numId="24">
    <w:abstractNumId w:val="17"/>
  </w:num>
  <w:num w:numId="25">
    <w:abstractNumId w:val="21"/>
  </w:num>
  <w:num w:numId="26">
    <w:abstractNumId w:val="14"/>
  </w:num>
  <w:num w:numId="27">
    <w:abstractNumId w:val="1"/>
  </w:num>
  <w:num w:numId="28">
    <w:abstractNumId w:val="27"/>
  </w:num>
  <w:num w:numId="29">
    <w:abstractNumId w:val="29"/>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C6A"/>
    <w:rsid w:val="00837912"/>
    <w:rsid w:val="00A41C6A"/>
    <w:rsid w:val="00CF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7A4F31-F702-4D46-B46A-D070840B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pPr>
      <w:keepNext/>
      <w:jc w:val="center"/>
      <w:outlineLvl w:val="0"/>
    </w:pPr>
    <w:rPr>
      <w:b/>
      <w:bCs/>
      <w:sz w:val="30"/>
      <w:szCs w:val="30"/>
    </w:rPr>
  </w:style>
  <w:style w:type="paragraph" w:styleId="Heading2">
    <w:name w:val="heading 2"/>
    <w:basedOn w:val="Normal"/>
    <w:next w:val="Normal"/>
    <w:link w:val="Heading2Char"/>
    <w:qFormat/>
    <w:pPr>
      <w:keepNext/>
      <w:spacing w:before="240" w:after="60"/>
      <w:outlineLvl w:val="1"/>
    </w:pPr>
    <w:rPr>
      <w:rFonts w:ascii="Arial" w:hAnsi="Arial"/>
      <w:b/>
      <w:i/>
      <w:sz w:val="24"/>
      <w:szCs w:val="20"/>
      <w:lang w:val="en-GB"/>
    </w:rPr>
  </w:style>
  <w:style w:type="paragraph" w:styleId="Heading3">
    <w:name w:val="heading 3"/>
    <w:basedOn w:val="Normal"/>
    <w:next w:val="Normal"/>
    <w:link w:val="Heading3Char"/>
    <w:qFormat/>
    <w:pPr>
      <w:keepNext/>
      <w:spacing w:before="240" w:after="60"/>
      <w:outlineLvl w:val="2"/>
    </w:pPr>
    <w:rPr>
      <w:b/>
      <w:sz w:val="24"/>
      <w:szCs w:val="20"/>
      <w:lang w:val="en-GB"/>
    </w:rPr>
  </w:style>
  <w:style w:type="paragraph" w:styleId="Heading4">
    <w:name w:val="heading 4"/>
    <w:basedOn w:val="Normal"/>
    <w:next w:val="Normal"/>
    <w:link w:val="Heading4Char"/>
    <w:qFormat/>
    <w:pPr>
      <w:keepNext/>
      <w:jc w:val="right"/>
      <w:outlineLvl w:val="3"/>
    </w:pPr>
    <w:rPr>
      <w:i/>
      <w:iCs/>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qFormat/>
    <w:pPr>
      <w:spacing w:before="240" w:after="60"/>
      <w:outlineLvl w:val="5"/>
    </w:pPr>
    <w:rPr>
      <w:rFonts w:ascii="Arial" w:hAnsi="Arial"/>
      <w:i/>
      <w:sz w:val="22"/>
      <w:szCs w:val="20"/>
      <w:lang w:val="en-GB"/>
    </w:rPr>
  </w:style>
  <w:style w:type="paragraph" w:styleId="Heading7">
    <w:name w:val="heading 7"/>
    <w:basedOn w:val="Normal"/>
    <w:next w:val="Normal"/>
    <w:link w:val="Heading7Char"/>
    <w:qFormat/>
    <w:pPr>
      <w:spacing w:before="240" w:after="60"/>
      <w:outlineLvl w:val="6"/>
    </w:pPr>
    <w:rPr>
      <w:rFonts w:ascii="Arial" w:hAnsi="Arial"/>
      <w:sz w:val="20"/>
      <w:szCs w:val="20"/>
      <w:lang w:val="en-GB"/>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3">
    <w:name w:val="Body Text 3"/>
    <w:basedOn w:val="Normal"/>
    <w:rPr>
      <w:sz w:val="26"/>
      <w:szCs w:val="26"/>
      <w:lang w:val="eu-ES"/>
    </w:rPr>
  </w:style>
  <w:style w:type="paragraph" w:styleId="Caption">
    <w:name w:val="caption"/>
    <w:basedOn w:val="Normal"/>
    <w:next w:val="Normal"/>
    <w:qFormat/>
    <w:pPr>
      <w:jc w:val="both"/>
    </w:pPr>
    <w:rPr>
      <w:rFonts w:ascii=".VnTime" w:hAnsi=".VnTime"/>
      <w:i/>
      <w:sz w:val="24"/>
      <w:szCs w:val="20"/>
    </w:rPr>
  </w:style>
  <w:style w:type="paragraph" w:styleId="BodyTextIndent2">
    <w:name w:val="Body Text Indent 2"/>
    <w:basedOn w:val="Normal"/>
    <w:pPr>
      <w:spacing w:before="40"/>
      <w:ind w:firstLine="720"/>
      <w:jc w:val="both"/>
    </w:pPr>
    <w:rPr>
      <w:lang w:val="fr-FR"/>
    </w:rPr>
  </w:style>
  <w:style w:type="paragraph" w:styleId="BodyTextIndent3">
    <w:name w:val="Body Text Indent 3"/>
    <w:basedOn w:val="Normal"/>
    <w:pPr>
      <w:spacing w:after="120"/>
      <w:ind w:firstLine="720"/>
      <w:jc w:val="both"/>
    </w:pPr>
  </w:style>
  <w:style w:type="paragraph" w:customStyle="1" w:styleId="CharCharCharChar">
    <w:name w:val="Char Char Char Char"/>
    <w:basedOn w:val="Normal"/>
    <w:semiHidden/>
    <w:pPr>
      <w:pageBreakBefore/>
      <w:spacing w:before="100" w:beforeAutospacing="1" w:after="100" w:afterAutospacing="1"/>
    </w:pPr>
    <w:rPr>
      <w:rFonts w:ascii="Tahoma" w:hAnsi="Tahoma"/>
      <w:sz w:val="20"/>
      <w:szCs w:val="20"/>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NormalWeb">
    <w:name w:val="Normal (Web)"/>
    <w:basedOn w:val="Normal"/>
    <w:link w:val="NormalWebChar"/>
    <w:uiPriority w:val="99"/>
    <w:unhideWhenUsed/>
    <w:pPr>
      <w:spacing w:before="100" w:beforeAutospacing="1" w:after="100" w:afterAutospacing="1"/>
    </w:pPr>
    <w:rPr>
      <w:sz w:val="24"/>
      <w:szCs w:val="24"/>
    </w:rPr>
  </w:style>
  <w:style w:type="character" w:styleId="Strong">
    <w:name w:val="Strong"/>
    <w:uiPriority w:val="22"/>
    <w:qFormat/>
    <w:rPr>
      <w:b/>
      <w:bCs/>
    </w:rPr>
  </w:style>
  <w:style w:type="character" w:customStyle="1" w:styleId="FooterChar">
    <w:name w:val="Footer Char"/>
    <w:link w:val="Footer"/>
    <w:uiPriority w:val="99"/>
    <w:rPr>
      <w:sz w:val="28"/>
      <w:szCs w:val="28"/>
    </w:rPr>
  </w:style>
  <w:style w:type="paragraph" w:styleId="BodyText">
    <w:name w:val="Body Text"/>
    <w:basedOn w:val="Normal"/>
    <w:link w:val="BodyTextChar"/>
    <w:pPr>
      <w:spacing w:after="120"/>
    </w:pPr>
  </w:style>
  <w:style w:type="character" w:customStyle="1" w:styleId="BodyTextChar">
    <w:name w:val="Body Text Char"/>
    <w:link w:val="BodyText"/>
    <w:rPr>
      <w:sz w:val="28"/>
      <w:szCs w:val="28"/>
    </w:rPr>
  </w:style>
  <w:style w:type="character" w:customStyle="1" w:styleId="BodyTextChar1">
    <w:name w:val="Body Text Char1"/>
    <w:uiPriority w:val="99"/>
    <w:rPr>
      <w:rFonts w:ascii="Times New Roman" w:hAnsi="Times New Roman" w:cs="Times New Roman"/>
      <w:sz w:val="28"/>
      <w:szCs w:val="28"/>
      <w:u w:val="none"/>
    </w:rPr>
  </w:style>
  <w:style w:type="character" w:customStyle="1" w:styleId="Bodytext4">
    <w:name w:val="Body text (4)_"/>
    <w:link w:val="Bodytext40"/>
    <w:uiPriority w:val="99"/>
    <w:rPr>
      <w:rFonts w:ascii="Arial" w:hAnsi="Arial" w:cs="Arial"/>
      <w:sz w:val="9"/>
      <w:szCs w:val="9"/>
      <w:shd w:val="clear" w:color="auto" w:fill="FFFFFF"/>
    </w:rPr>
  </w:style>
  <w:style w:type="paragraph" w:customStyle="1" w:styleId="Bodytext40">
    <w:name w:val="Body text (4)"/>
    <w:basedOn w:val="Normal"/>
    <w:link w:val="Bodytext4"/>
    <w:uiPriority w:val="99"/>
    <w:pPr>
      <w:widowControl w:val="0"/>
      <w:shd w:val="clear" w:color="auto" w:fill="FFFFFF"/>
      <w:spacing w:after="100" w:line="180" w:lineRule="auto"/>
      <w:ind w:left="2460"/>
    </w:pPr>
    <w:rPr>
      <w:rFonts w:ascii="Arial" w:hAnsi="Arial"/>
      <w:sz w:val="9"/>
      <w:szCs w:val="9"/>
    </w:rPr>
  </w:style>
  <w:style w:type="character" w:styleId="Hyperlink">
    <w:name w:val="Hyperlink"/>
    <w:uiPriority w:val="99"/>
    <w:unhideWhenUsed/>
    <w:rPr>
      <w:color w:val="0000FF"/>
      <w:u w:val="single"/>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link w:val="Header"/>
    <w:uiPriority w:val="99"/>
    <w:rPr>
      <w:sz w:val="28"/>
      <w:szCs w:val="28"/>
    </w:rPr>
  </w:style>
  <w:style w:type="character" w:customStyle="1" w:styleId="NormalWebChar">
    <w:name w:val="Normal (Web) Char"/>
    <w:link w:val="NormalWeb"/>
    <w:uiPriority w:val="99"/>
    <w:rPr>
      <w:sz w:val="24"/>
      <w:szCs w:val="24"/>
    </w:rPr>
  </w:style>
  <w:style w:type="paragraph" w:customStyle="1" w:styleId="Normal13pt">
    <w:name w:val="Normal + 13 pt"/>
    <w:basedOn w:val="Normal"/>
    <w:pPr>
      <w:ind w:hanging="540"/>
    </w:pPr>
    <w:rPr>
      <w:sz w:val="26"/>
      <w:szCs w:val="20"/>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Tai-chinh-nha-nuoc/Luat-ngan-sach-nha-nuoc-2025-so-89-2025-QH15-650061.aspx" TargetMode="External"/><Relationship Id="rId18" Type="http://schemas.openxmlformats.org/officeDocument/2006/relationships/hyperlink" Target="https://thuvienphapluat.vn/van-ban/Dau-tu/Luat-Dau-tu-cong-2024-so-58-2024-QH15-621645.aspx" TargetMode="External"/><Relationship Id="rId3" Type="http://schemas.openxmlformats.org/officeDocument/2006/relationships/styles" Target="styles.xml"/><Relationship Id="rId21" Type="http://schemas.openxmlformats.org/officeDocument/2006/relationships/hyperlink" Target="https://thuvienphapluat.vn/van-ban/Dau-tu/Nghi-dinh-254-2025-ND-CP-quan-ly-thanh-toan-quyet-toan-du-an-su-dung-von-dau-tu-cong-674480.aspx" TargetMode="External"/><Relationship Id="rId7" Type="http://schemas.openxmlformats.org/officeDocument/2006/relationships/endnotes" Target="endnotes.xml"/><Relationship Id="rId12" Type="http://schemas.openxmlformats.org/officeDocument/2006/relationships/hyperlink" Target="https://thuvienphapluat.vn/van-ban/Tai-chinh-nha-nuoc/Luat-ngan-sach-nha-nuoc-2025-so-89-2025-QH15-650061.aspx" TargetMode="External"/><Relationship Id="rId17" Type="http://schemas.openxmlformats.org/officeDocument/2006/relationships/hyperlink" Target="https://thuvienphapluat.vn/van-ban/Tai-chinh-nha-nuoc/Luat-ngan-sach-nha-nuoc-2025-so-89-2025-QH15-650061.aspx" TargetMode="External"/><Relationship Id="rId2" Type="http://schemas.openxmlformats.org/officeDocument/2006/relationships/numbering" Target="numbering.xml"/><Relationship Id="rId16" Type="http://schemas.openxmlformats.org/officeDocument/2006/relationships/hyperlink" Target="https://thuvienphapluat.vn/van-ban/Dau-tu/Luat-Dau-tu-cong-2024-so-58-2024-QH15-621645.aspx" TargetMode="External"/><Relationship Id="rId20" Type="http://schemas.openxmlformats.org/officeDocument/2006/relationships/hyperlink" Target="https://thuvienphapluat.vn/van-ban/Dau-tu/Luat-Dau-tu-cong-2024-so-58-2024-QH15-621645.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Luat-ngan-sach-nha-nuoc-2025-so-89-2025-QH15-650061.aspx" TargetMode="External"/><Relationship Id="rId5" Type="http://schemas.openxmlformats.org/officeDocument/2006/relationships/webSettings" Target="webSettings.xml"/><Relationship Id="rId15" Type="http://schemas.openxmlformats.org/officeDocument/2006/relationships/hyperlink" Target="https://thuvienphapluat.vn/van-ban/Tai-chinh-nha-nuoc/Luat-ngan-sach-nha-nuoc-2025-so-89-2025-QH15-650061.aspx"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thuvienphapluat.vn/van-ban/Tai-chinh-nha-nuoc/Luat-ngan-sach-nha-nuoc-2025-so-89-2025-QH15-650061.asp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thuvienphapluat.vn/van-ban/Dau-tu/Luat-Dau-tu-cong-2024-so-58-2024-QH15-621645.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1936ECF-5403-454C-BF1B-2F3CF34BD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2231</Words>
  <Characters>12721</Characters>
  <Application>Microsoft Office Word</Application>
  <DocSecurity>0</DocSecurity>
  <Lines>106</Lines>
  <Paragraphs>29</Paragraphs>
  <ScaleCrop>false</ScaleCrop>
  <Company>Microsoft</Company>
  <LinksUpToDate>false</LinksUpToDate>
  <CharactersWithSpaces>14923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Smart</dc:creator>
  <cp:keywords/>
  <cp:lastModifiedBy>HP</cp:lastModifiedBy>
  <cp:revision>136</cp:revision>
  <dcterms:created xsi:type="dcterms:W3CDTF">2026-02-24T01:41:00Z</dcterms:created>
  <dcterms:modified xsi:type="dcterms:W3CDTF">2026-05-05T08:08:00Z</dcterms:modified>
</cp:coreProperties>
</file>