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EB01FF" w:rsidRPr="00EB01FF" w14:paraId="56650E8F" w14:textId="77777777" w:rsidTr="002B3434">
        <w:tc>
          <w:tcPr>
            <w:tcW w:w="2116" w:type="pct"/>
          </w:tcPr>
          <w:p w14:paraId="39588797" w14:textId="77777777" w:rsidR="00875C9A" w:rsidRPr="00EB01FF" w:rsidRDefault="00875C9A" w:rsidP="003C24C9">
            <w:pPr>
              <w:adjustRightInd w:val="0"/>
              <w:snapToGrid w:val="0"/>
              <w:spacing w:after="0" w:line="240" w:lineRule="auto"/>
              <w:jc w:val="center"/>
              <w:rPr>
                <w:rFonts w:ascii="Arial" w:hAnsi="Arial"/>
                <w:color w:val="000000" w:themeColor="text1"/>
                <w:sz w:val="20"/>
              </w:rPr>
            </w:pPr>
          </w:p>
        </w:tc>
        <w:tc>
          <w:tcPr>
            <w:tcW w:w="2884" w:type="pct"/>
          </w:tcPr>
          <w:p w14:paraId="14568626" w14:textId="31D6309F" w:rsidR="00875C9A" w:rsidRPr="00EB01FF" w:rsidRDefault="00000000" w:rsidP="003C24C9">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CỘNG</w:t>
            </w:r>
            <w:r w:rsidR="003C24C9">
              <w:rPr>
                <w:rFonts w:ascii="Arial" w:hAnsi="Arial"/>
                <w:b/>
                <w:color w:val="000000" w:themeColor="text1"/>
                <w:sz w:val="20"/>
              </w:rPr>
              <w:t xml:space="preserve"> </w:t>
            </w:r>
            <w:r w:rsidRPr="00EB01FF">
              <w:rPr>
                <w:rFonts w:ascii="Arial" w:hAnsi="Arial"/>
                <w:b/>
                <w:color w:val="000000" w:themeColor="text1"/>
                <w:sz w:val="20"/>
              </w:rPr>
              <w:t>HÒA</w:t>
            </w:r>
            <w:r w:rsidR="003C24C9">
              <w:rPr>
                <w:rFonts w:ascii="Arial" w:hAnsi="Arial"/>
                <w:b/>
                <w:color w:val="000000" w:themeColor="text1"/>
                <w:sz w:val="20"/>
              </w:rPr>
              <w:t xml:space="preserve"> </w:t>
            </w:r>
            <w:r w:rsidRPr="00EB01FF">
              <w:rPr>
                <w:rFonts w:ascii="Arial" w:hAnsi="Arial"/>
                <w:b/>
                <w:color w:val="000000" w:themeColor="text1"/>
                <w:sz w:val="20"/>
              </w:rPr>
              <w:t>XÃ</w:t>
            </w:r>
            <w:r w:rsidR="003C24C9">
              <w:rPr>
                <w:rFonts w:ascii="Arial" w:hAnsi="Arial"/>
                <w:b/>
                <w:color w:val="000000" w:themeColor="text1"/>
                <w:sz w:val="20"/>
              </w:rPr>
              <w:t xml:space="preserve"> </w:t>
            </w:r>
            <w:r w:rsidRPr="00EB01FF">
              <w:rPr>
                <w:rFonts w:ascii="Arial" w:hAnsi="Arial"/>
                <w:b/>
                <w:color w:val="000000" w:themeColor="text1"/>
                <w:sz w:val="20"/>
              </w:rPr>
              <w:t>HỘI</w:t>
            </w:r>
            <w:r w:rsidR="003C24C9">
              <w:rPr>
                <w:rFonts w:ascii="Arial" w:hAnsi="Arial"/>
                <w:b/>
                <w:color w:val="000000" w:themeColor="text1"/>
                <w:sz w:val="20"/>
              </w:rPr>
              <w:t xml:space="preserve"> </w:t>
            </w:r>
            <w:r w:rsidRPr="00EB01FF">
              <w:rPr>
                <w:rFonts w:ascii="Arial" w:hAnsi="Arial"/>
                <w:b/>
                <w:color w:val="000000" w:themeColor="text1"/>
                <w:sz w:val="20"/>
              </w:rPr>
              <w:t>CHỦ</w:t>
            </w:r>
            <w:r w:rsidR="003C24C9">
              <w:rPr>
                <w:rFonts w:ascii="Arial" w:hAnsi="Arial"/>
                <w:b/>
                <w:color w:val="000000" w:themeColor="text1"/>
                <w:sz w:val="20"/>
              </w:rPr>
              <w:t xml:space="preserve"> </w:t>
            </w:r>
            <w:r w:rsidRPr="00EB01FF">
              <w:rPr>
                <w:rFonts w:ascii="Arial" w:hAnsi="Arial"/>
                <w:b/>
                <w:color w:val="000000" w:themeColor="text1"/>
                <w:sz w:val="20"/>
              </w:rPr>
              <w:t>NGHĨA</w:t>
            </w:r>
            <w:r w:rsidR="003C24C9">
              <w:rPr>
                <w:rFonts w:ascii="Arial" w:hAnsi="Arial"/>
                <w:b/>
                <w:color w:val="000000" w:themeColor="text1"/>
                <w:sz w:val="20"/>
              </w:rPr>
              <w:t xml:space="preserve"> </w:t>
            </w:r>
            <w:r w:rsidRPr="00EB01FF">
              <w:rPr>
                <w:rFonts w:ascii="Arial" w:hAnsi="Arial"/>
                <w:b/>
                <w:color w:val="000000" w:themeColor="text1"/>
                <w:sz w:val="20"/>
              </w:rPr>
              <w:t>VIỆT</w:t>
            </w:r>
            <w:r w:rsidR="003C24C9">
              <w:rPr>
                <w:rFonts w:ascii="Arial" w:hAnsi="Arial"/>
                <w:b/>
                <w:color w:val="000000" w:themeColor="text1"/>
                <w:sz w:val="20"/>
              </w:rPr>
              <w:t xml:space="preserve"> </w:t>
            </w:r>
            <w:r w:rsidRPr="00EB01FF">
              <w:rPr>
                <w:rFonts w:ascii="Arial" w:hAnsi="Arial"/>
                <w:b/>
                <w:color w:val="000000" w:themeColor="text1"/>
                <w:sz w:val="20"/>
              </w:rPr>
              <w:t>NAM</w:t>
            </w:r>
            <w:r w:rsidRPr="00EB01FF">
              <w:rPr>
                <w:rFonts w:ascii="Arial" w:hAnsi="Arial"/>
                <w:color w:val="000000" w:themeColor="text1"/>
                <w:sz w:val="20"/>
              </w:rPr>
              <w:br/>
            </w:r>
            <w:r w:rsidR="003C24C9">
              <w:rPr>
                <w:rFonts w:ascii="Arial" w:hAnsi="Arial"/>
                <w:b/>
                <w:color w:val="000000" w:themeColor="text1"/>
                <w:sz w:val="20"/>
              </w:rPr>
              <w:t xml:space="preserve"> </w:t>
            </w:r>
            <w:r w:rsidRPr="00EB01FF">
              <w:rPr>
                <w:rFonts w:ascii="Arial" w:hAnsi="Arial"/>
                <w:b/>
                <w:color w:val="000000" w:themeColor="text1"/>
                <w:sz w:val="20"/>
              </w:rPr>
              <w:t>Độc</w:t>
            </w:r>
            <w:r w:rsidR="003C24C9">
              <w:rPr>
                <w:rFonts w:ascii="Arial" w:hAnsi="Arial"/>
                <w:b/>
                <w:color w:val="000000" w:themeColor="text1"/>
                <w:sz w:val="20"/>
              </w:rPr>
              <w:t xml:space="preserve"> </w:t>
            </w:r>
            <w:r w:rsidRPr="00EB01FF">
              <w:rPr>
                <w:rFonts w:ascii="Arial" w:hAnsi="Arial"/>
                <w:b/>
                <w:color w:val="000000" w:themeColor="text1"/>
                <w:sz w:val="20"/>
              </w:rPr>
              <w:t>lập</w:t>
            </w:r>
            <w:r w:rsidR="003C24C9">
              <w:rPr>
                <w:rFonts w:ascii="Arial" w:hAnsi="Arial"/>
                <w:b/>
                <w:color w:val="000000" w:themeColor="text1"/>
                <w:sz w:val="20"/>
              </w:rPr>
              <w:t xml:space="preserve"> </w:t>
            </w:r>
            <w:r w:rsidRPr="00EB01FF">
              <w:rPr>
                <w:rFonts w:ascii="Arial" w:hAnsi="Arial"/>
                <w:b/>
                <w:color w:val="000000" w:themeColor="text1"/>
                <w:sz w:val="20"/>
              </w:rPr>
              <w:t>–</w:t>
            </w:r>
            <w:r w:rsidR="003C24C9">
              <w:rPr>
                <w:rFonts w:ascii="Arial" w:hAnsi="Arial"/>
                <w:b/>
                <w:color w:val="000000" w:themeColor="text1"/>
                <w:sz w:val="20"/>
              </w:rPr>
              <w:t xml:space="preserve"> </w:t>
            </w:r>
            <w:r w:rsidRPr="00EB01FF">
              <w:rPr>
                <w:rFonts w:ascii="Arial" w:hAnsi="Arial"/>
                <w:b/>
                <w:color w:val="000000" w:themeColor="text1"/>
                <w:sz w:val="20"/>
              </w:rPr>
              <w:t>Tự</w:t>
            </w:r>
            <w:r w:rsidR="003C24C9">
              <w:rPr>
                <w:rFonts w:ascii="Arial" w:hAnsi="Arial"/>
                <w:b/>
                <w:color w:val="000000" w:themeColor="text1"/>
                <w:sz w:val="20"/>
              </w:rPr>
              <w:t xml:space="preserve"> </w:t>
            </w:r>
            <w:r w:rsidRPr="00EB01FF">
              <w:rPr>
                <w:rFonts w:ascii="Arial" w:hAnsi="Arial"/>
                <w:b/>
                <w:color w:val="000000" w:themeColor="text1"/>
                <w:sz w:val="20"/>
              </w:rPr>
              <w:t>do</w:t>
            </w:r>
            <w:r w:rsidR="003C24C9">
              <w:rPr>
                <w:rFonts w:ascii="Arial" w:hAnsi="Arial"/>
                <w:b/>
                <w:color w:val="000000" w:themeColor="text1"/>
                <w:sz w:val="20"/>
              </w:rPr>
              <w:t xml:space="preserve"> </w:t>
            </w:r>
            <w:r w:rsidRPr="00EB01FF">
              <w:rPr>
                <w:rFonts w:ascii="Arial" w:hAnsi="Arial"/>
                <w:b/>
                <w:color w:val="000000" w:themeColor="text1"/>
                <w:sz w:val="20"/>
              </w:rPr>
              <w:t>–</w:t>
            </w:r>
            <w:r w:rsidR="003C24C9">
              <w:rPr>
                <w:rFonts w:ascii="Arial" w:hAnsi="Arial"/>
                <w:b/>
                <w:color w:val="000000" w:themeColor="text1"/>
                <w:sz w:val="20"/>
              </w:rPr>
              <w:t xml:space="preserve"> </w:t>
            </w:r>
            <w:r w:rsidRPr="00EB01FF">
              <w:rPr>
                <w:rFonts w:ascii="Arial" w:hAnsi="Arial"/>
                <w:b/>
                <w:color w:val="000000" w:themeColor="text1"/>
                <w:sz w:val="20"/>
              </w:rPr>
              <w:t>Hạnh</w:t>
            </w:r>
            <w:r w:rsidR="003C24C9">
              <w:rPr>
                <w:rFonts w:ascii="Arial" w:hAnsi="Arial"/>
                <w:b/>
                <w:color w:val="000000" w:themeColor="text1"/>
                <w:sz w:val="20"/>
              </w:rPr>
              <w:t xml:space="preserve"> </w:t>
            </w:r>
            <w:r w:rsidRPr="00EB01FF">
              <w:rPr>
                <w:rFonts w:ascii="Arial" w:hAnsi="Arial"/>
                <w:b/>
                <w:color w:val="000000" w:themeColor="text1"/>
                <w:sz w:val="20"/>
              </w:rPr>
              <w:t>phúc</w:t>
            </w:r>
            <w:r w:rsidRPr="00EB01FF">
              <w:rPr>
                <w:rFonts w:ascii="Arial" w:hAnsi="Arial"/>
                <w:color w:val="000000" w:themeColor="text1"/>
                <w:sz w:val="20"/>
              </w:rPr>
              <w:br/>
            </w:r>
            <w:r w:rsidRPr="00EB01FF">
              <w:rPr>
                <w:rFonts w:ascii="Arial" w:hAnsi="Arial"/>
                <w:color w:val="000000" w:themeColor="text1"/>
                <w:sz w:val="20"/>
                <w:vertAlign w:val="superscript"/>
              </w:rPr>
              <w:t>_________________</w:t>
            </w:r>
          </w:p>
        </w:tc>
      </w:tr>
    </w:tbl>
    <w:p w14:paraId="62ECA267" w14:textId="77777777" w:rsidR="00EB01FF" w:rsidRPr="00EB01FF" w:rsidRDefault="00EB01FF" w:rsidP="00EB01FF">
      <w:pPr>
        <w:adjustRightInd w:val="0"/>
        <w:snapToGrid w:val="0"/>
        <w:spacing w:after="0" w:line="240" w:lineRule="auto"/>
        <w:jc w:val="center"/>
        <w:rPr>
          <w:rFonts w:ascii="Arial" w:hAnsi="Arial"/>
          <w:b/>
          <w:color w:val="000000" w:themeColor="text1"/>
          <w:sz w:val="20"/>
        </w:rPr>
      </w:pPr>
    </w:p>
    <w:p w14:paraId="71D0C94A" w14:textId="46D48B31" w:rsidR="00875C9A" w:rsidRPr="00EB01FF" w:rsidRDefault="00000000" w:rsidP="00EB01FF">
      <w:pPr>
        <w:adjustRightInd w:val="0"/>
        <w:snapToGrid w:val="0"/>
        <w:spacing w:after="0" w:line="240" w:lineRule="auto"/>
        <w:jc w:val="center"/>
        <w:rPr>
          <w:rFonts w:ascii="Arial" w:hAnsi="Arial"/>
          <w:b/>
          <w:color w:val="000000" w:themeColor="text1"/>
          <w:sz w:val="20"/>
        </w:rPr>
      </w:pPr>
      <w:r w:rsidRPr="00EB01FF">
        <w:rPr>
          <w:rFonts w:ascii="Arial" w:hAnsi="Arial"/>
          <w:b/>
          <w:color w:val="000000" w:themeColor="text1"/>
          <w:sz w:val="20"/>
        </w:rPr>
        <w:t>LUẬT</w:t>
      </w:r>
      <w:r w:rsidR="00EB01FF" w:rsidRPr="00EB01FF">
        <w:rPr>
          <w:rFonts w:ascii="Arial" w:hAnsi="Arial"/>
          <w:b/>
          <w:color w:val="000000" w:themeColor="text1"/>
          <w:sz w:val="20"/>
        </w:rPr>
        <w:br/>
      </w:r>
      <w:r w:rsidRPr="00EB01FF">
        <w:rPr>
          <w:rFonts w:ascii="Arial" w:hAnsi="Arial"/>
          <w:b/>
          <w:color w:val="000000" w:themeColor="text1"/>
          <w:sz w:val="20"/>
        </w:rPr>
        <w:t>THUẾ THU NHẬP CÁ NHÂN</w:t>
      </w:r>
    </w:p>
    <w:p w14:paraId="662DBA69"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71C71F6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Luật Thuế thu nhập cá nhân số 109/2025/QH15 ngày 10 tháng 12 năm 2025 của Quốc hội, có hiệu lực kể từ ngày 01 tháng 7 năm 2026, được sửa đổi, bổ sung bởi:</w:t>
      </w:r>
    </w:p>
    <w:p w14:paraId="7F0BC40C" w14:textId="77777777" w:rsidR="00875C9A" w:rsidRDefault="00000000" w:rsidP="001B6A45">
      <w:pPr>
        <w:spacing w:after="0" w:line="240" w:lineRule="auto"/>
        <w:ind w:firstLine="720"/>
        <w:jc w:val="both"/>
        <w:rPr>
          <w:rFonts w:ascii="Arial" w:hAnsi="Arial"/>
          <w:color w:val="000000" w:themeColor="text1"/>
          <w:sz w:val="20"/>
        </w:rPr>
      </w:pPr>
      <w:r w:rsidRPr="00EB01FF">
        <w:rPr>
          <w:rFonts w:ascii="Arial" w:hAnsi="Arial"/>
          <w:color w:val="000000" w:themeColor="text1"/>
          <w:sz w:val="20"/>
        </w:rPr>
        <w:t>Luật số 09/2026/QH16 ngày 24 tháng 4 năm 2026 của Quốc hội sửa đổi, bổ sung một số điều của Luật Thuế thu nhập cá nhân, Luật Thuế giá trị gia tăng, Luật Thuế thu nhập doanh nghiệp và Luật Thuế tiêu thụ đặc biệt, có hiệu lực thi hành kể từ ngày 24 tháng 4 năm 2026.</w:t>
      </w:r>
    </w:p>
    <w:p w14:paraId="65BBD5F0" w14:textId="77777777" w:rsidR="001B6A45" w:rsidRPr="00EB01FF" w:rsidRDefault="001B6A45" w:rsidP="001B6A45">
      <w:pPr>
        <w:spacing w:after="0" w:line="240" w:lineRule="auto"/>
        <w:ind w:firstLine="720"/>
        <w:jc w:val="both"/>
        <w:rPr>
          <w:rFonts w:ascii="Arial" w:hAnsi="Arial"/>
          <w:color w:val="000000" w:themeColor="text1"/>
          <w:sz w:val="20"/>
        </w:rPr>
      </w:pPr>
    </w:p>
    <w:p w14:paraId="016CEB49" w14:textId="77777777" w:rsidR="00875C9A" w:rsidRPr="00CB7E75" w:rsidRDefault="00000000" w:rsidP="00EB01FF">
      <w:pPr>
        <w:spacing w:after="120" w:line="240" w:lineRule="auto"/>
        <w:ind w:firstLine="720"/>
        <w:jc w:val="both"/>
        <w:rPr>
          <w:rFonts w:ascii="Arial" w:hAnsi="Arial"/>
          <w:i/>
          <w:color w:val="000000" w:themeColor="text1"/>
          <w:sz w:val="20"/>
        </w:rPr>
      </w:pPr>
      <w:r w:rsidRPr="00CB7E75">
        <w:rPr>
          <w:rFonts w:ascii="Arial" w:hAnsi="Arial"/>
          <w:i/>
          <w:color w:val="000000" w:themeColor="text1"/>
          <w:sz w:val="20"/>
        </w:rPr>
        <w:t>Căn cứ Hiến pháp nước Cộng hòa xã hội chủ nghĩa Việt Nam đã được sửa đổi, bổ sung một số điều theo Nghị quyết số 203/2025/QH15;</w:t>
      </w:r>
    </w:p>
    <w:p w14:paraId="4A8B0ACA" w14:textId="77777777" w:rsidR="00875C9A" w:rsidRPr="00EB01FF" w:rsidRDefault="00000000" w:rsidP="00EB01FF">
      <w:pPr>
        <w:spacing w:after="0" w:line="240" w:lineRule="auto"/>
        <w:ind w:firstLine="720"/>
        <w:jc w:val="both"/>
        <w:rPr>
          <w:rFonts w:ascii="Arial" w:hAnsi="Arial"/>
          <w:color w:val="000000" w:themeColor="text1"/>
          <w:sz w:val="20"/>
        </w:rPr>
      </w:pPr>
      <w:r w:rsidRPr="00CB7E75">
        <w:rPr>
          <w:rFonts w:ascii="Arial" w:hAnsi="Arial"/>
          <w:i/>
          <w:color w:val="000000" w:themeColor="text1"/>
          <w:sz w:val="20"/>
        </w:rPr>
        <w:t>Quốc hội ban hành Luật Thuế thu nhập cá nhân.</w:t>
      </w:r>
      <w:r w:rsidRPr="00EB01FF">
        <w:rPr>
          <w:rFonts w:ascii="Arial" w:hAnsi="Arial"/>
          <w:color w:val="000000" w:themeColor="text1"/>
          <w:sz w:val="20"/>
          <w:vertAlign w:val="superscript"/>
        </w:rPr>
        <w:t>1</w:t>
      </w:r>
    </w:p>
    <w:p w14:paraId="79C2A87A" w14:textId="77777777" w:rsidR="00EB01FF" w:rsidRPr="00EB01FF" w:rsidRDefault="00EB01FF" w:rsidP="00EB01FF">
      <w:pPr>
        <w:adjustRightInd w:val="0"/>
        <w:snapToGrid w:val="0"/>
        <w:spacing w:after="0" w:line="240" w:lineRule="auto"/>
        <w:jc w:val="center"/>
        <w:rPr>
          <w:rFonts w:ascii="Arial" w:hAnsi="Arial"/>
          <w:b/>
          <w:color w:val="000000" w:themeColor="text1"/>
          <w:sz w:val="20"/>
        </w:rPr>
      </w:pPr>
    </w:p>
    <w:p w14:paraId="5329B4DC" w14:textId="03554848" w:rsidR="00875C9A" w:rsidRPr="00EB01FF" w:rsidRDefault="00000000" w:rsidP="00EB01FF">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Chương I</w:t>
      </w:r>
    </w:p>
    <w:p w14:paraId="020C3A30" w14:textId="77777777" w:rsidR="00875C9A" w:rsidRPr="00EB01FF" w:rsidRDefault="00000000" w:rsidP="00EB01FF">
      <w:pPr>
        <w:adjustRightInd w:val="0"/>
        <w:snapToGrid w:val="0"/>
        <w:spacing w:after="0" w:line="240" w:lineRule="auto"/>
        <w:jc w:val="center"/>
        <w:rPr>
          <w:rFonts w:ascii="Arial" w:hAnsi="Arial"/>
          <w:b/>
          <w:color w:val="000000" w:themeColor="text1"/>
          <w:sz w:val="20"/>
        </w:rPr>
      </w:pPr>
      <w:r w:rsidRPr="00EB01FF">
        <w:rPr>
          <w:rFonts w:ascii="Arial" w:hAnsi="Arial"/>
          <w:b/>
          <w:color w:val="000000" w:themeColor="text1"/>
          <w:sz w:val="20"/>
        </w:rPr>
        <w:t>NHỮNG QUY ĐỊNH CHUNG</w:t>
      </w:r>
    </w:p>
    <w:p w14:paraId="404301FE"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2A20E3E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 Phạm vi điều chỉnh</w:t>
      </w:r>
    </w:p>
    <w:p w14:paraId="4AD3218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Luật này quy định về người nộp thuế, thu nhập chịu thuế, thu nhập được miễn thuế, giảm thuế và căn cứ tính thuế thu nhập cá nhân.</w:t>
      </w:r>
    </w:p>
    <w:p w14:paraId="20BA336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 Người nộp thuế</w:t>
      </w:r>
    </w:p>
    <w:p w14:paraId="2251C2F8" w14:textId="0B28159F"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Người nộp thuế thu nhập cá nhân là cá nhân cư trú có thu nhập chịu thuế quy định tại Điều 3 của Luật này phát sinh trong và ngoài lãnh thổ Việt Nam và cá nhân không cư trú có thu nhập chịu thuế quy định tại Điều 3 của Luật này phát sinh trong lãnh thổ Việt Nam.</w:t>
      </w:r>
    </w:p>
    <w:p w14:paraId="35B1567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Cá nhân cư trú là người đáp ứng một trong các điều kiện sau đây:</w:t>
      </w:r>
    </w:p>
    <w:p w14:paraId="6F4E2FA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Có mặt tại Việt Nam từ 183 ngày trở lên tính trong 01 năm dương lịch hoặc tính theo 12 tháng liên tục kể từ ngày đầu tiên có mặt tại Việt Nam;</w:t>
      </w:r>
    </w:p>
    <w:p w14:paraId="2586E42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Có nơi ở thường xuyên tại Việt Nam, bao gồm có nơi ở đăng ký thường trú hoặc có nhà thuê để ở tại Việt Nam theo hợp đồng thuê có thời hạn.</w:t>
      </w:r>
    </w:p>
    <w:p w14:paraId="42EB4E8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Cá nhân không cư trú là người không đáp ứng điều kiện quy định tại khoản 2 Điều này.</w:t>
      </w:r>
    </w:p>
    <w:p w14:paraId="5831AC1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Chính phủ quy định chi tiết Điều này.</w:t>
      </w:r>
    </w:p>
    <w:p w14:paraId="04A4275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3. Thu nhập chịu thuế</w:t>
      </w:r>
    </w:p>
    <w:p w14:paraId="2886939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Thu nhập chịu thuế thu nhập cá nhân gồm các loại thu nhập sau đây, trừ thu nhập được miễn thuế quy định tại Điều 4 của Luật này:</w:t>
      </w:r>
    </w:p>
    <w:p w14:paraId="4DD8F74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 nhập từ kinh doanh, bao gồm:</w:t>
      </w:r>
    </w:p>
    <w:p w14:paraId="1793161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Thu nhập từ hoạt động sản xuất, kinh doanh hàng hóa, dịch vụ;</w:t>
      </w:r>
    </w:p>
    <w:p w14:paraId="00C34C2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Thu nhập từ hoạt động hành nghề độc lập của cá nhân có giấy phép hoặc chứng chỉ hành nghề theo quy định của pháp luật;</w:t>
      </w:r>
    </w:p>
    <w:p w14:paraId="5F4CEE7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Thu nhập từ hoạt động đại lý, môi giới, hợp tác kinh doanh với tổ chức;</w:t>
      </w:r>
    </w:p>
    <w:p w14:paraId="2565794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Thu nhập từ hoạt động kinh doanh thương mại điện tử, kinh doanh dựa trên nền tảng số.</w:t>
      </w:r>
    </w:p>
    <w:p w14:paraId="40EAEF5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từ tiền lương, tiền công, bao gồm:</w:t>
      </w:r>
    </w:p>
    <w:p w14:paraId="0FEBAB5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Tiền lương, tiền công và các khoản có tính chất tiền lương, tiền công;</w:t>
      </w:r>
    </w:p>
    <w:p w14:paraId="5F18722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Tiền thù lao, các khoản lợi ích bằng tiền hoặc không bằng tiền dưới mọi hình thức;</w:t>
      </w:r>
    </w:p>
    <w:p w14:paraId="47DF5A2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 xml:space="preserve">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w:t>
      </w:r>
      <w:r w:rsidRPr="00EB01FF">
        <w:rPr>
          <w:rFonts w:ascii="Arial" w:hAnsi="Arial"/>
          <w:color w:val="000000" w:themeColor="text1"/>
          <w:sz w:val="20"/>
        </w:rPr>
        <w:lastRenderedPageBreak/>
        <w:t>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p>
    <w:p w14:paraId="5E92F8F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Thu nhập từ đầu tư vốn, bao gồm:</w:t>
      </w:r>
    </w:p>
    <w:p w14:paraId="4765F14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Tiền lãi cho vay;</w:t>
      </w:r>
    </w:p>
    <w:p w14:paraId="2CE6DB15" w14:textId="4BE28443"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Lợi tức cổ phần;</w:t>
      </w:r>
    </w:p>
    <w:p w14:paraId="2F6F92BD"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Thu nhập từ đầu tư vốn dưới các hình thức khác.</w:t>
      </w:r>
    </w:p>
    <w:p w14:paraId="665D3BE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Thu nhập từ chuyển nhượng vốn, bao gồm:</w:t>
      </w:r>
    </w:p>
    <w:p w14:paraId="21CF94DD"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Thu nhập từ chuyển nhượng phần vốn trong các tổ chức kinh tế;</w:t>
      </w:r>
    </w:p>
    <w:p w14:paraId="338E9F8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Thu nhập từ chuyển nhượng chứng khoán;</w:t>
      </w:r>
    </w:p>
    <w:p w14:paraId="0189DAB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Thu nhập từ chuyển nhượng vốn dưới các hình thức khác.</w:t>
      </w:r>
    </w:p>
    <w:p w14:paraId="2097DFC5"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5. Thu nhập từ chuyển nhượng bất động sản, bao gồm:</w:t>
      </w:r>
    </w:p>
    <w:p w14:paraId="7D703AC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Thu nhập từ chuyển nhượng quyền sử dụng đất và tài sản gắn liền với đất;</w:t>
      </w:r>
    </w:p>
    <w:p w14:paraId="558B715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Thu nhập từ chuyển nhượng quyền sở hữu hoặc sử dụng nhà ở;</w:t>
      </w:r>
    </w:p>
    <w:p w14:paraId="618904A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Thu nhập từ chuyển nhượng quyền thuê đất, quyền thuê mặt nước;</w:t>
      </w:r>
    </w:p>
    <w:p w14:paraId="60837A6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Các khoản thu nhập khác nhận được từ chuyển nhượng bất động sản dưới mọi hình thức.</w:t>
      </w:r>
    </w:p>
    <w:p w14:paraId="2EFB295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6. Thu nhập từ trúng thưởng, bao gồm:</w:t>
      </w:r>
    </w:p>
    <w:p w14:paraId="746EC93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Trúng thưởng xổ số;</w:t>
      </w:r>
    </w:p>
    <w:p w14:paraId="592A73E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Trúng thưởng trong các hình thức khuyến mại;</w:t>
      </w:r>
    </w:p>
    <w:p w14:paraId="4CAC9FC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Trúng thưởng trong các hình thức đặt cược;</w:t>
      </w:r>
    </w:p>
    <w:p w14:paraId="1579BC95" w14:textId="3D6E2EFF"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Trúng thưởng trong các trò chơi, cuộc thi có thưởng và các hình thức trúng thưởng khác, trừ trúng thưởng trong ca</w:t>
      </w:r>
      <w:r w:rsidR="00AB1DF0">
        <w:rPr>
          <w:rFonts w:ascii="Arial" w:hAnsi="Arial"/>
          <w:color w:val="000000" w:themeColor="text1"/>
          <w:sz w:val="20"/>
        </w:rPr>
        <w:t>-</w:t>
      </w:r>
      <w:r w:rsidRPr="00EB01FF">
        <w:rPr>
          <w:rFonts w:ascii="Arial" w:hAnsi="Arial"/>
          <w:color w:val="000000" w:themeColor="text1"/>
          <w:sz w:val="20"/>
        </w:rPr>
        <w:t>si</w:t>
      </w:r>
      <w:r w:rsidR="00AB1DF0">
        <w:rPr>
          <w:rFonts w:ascii="Arial" w:hAnsi="Arial"/>
          <w:color w:val="000000" w:themeColor="text1"/>
          <w:sz w:val="20"/>
        </w:rPr>
        <w:t>-</w:t>
      </w:r>
      <w:r w:rsidRPr="00EB01FF">
        <w:rPr>
          <w:rFonts w:ascii="Arial" w:hAnsi="Arial"/>
          <w:color w:val="000000" w:themeColor="text1"/>
          <w:sz w:val="20"/>
        </w:rPr>
        <w:t>no.</w:t>
      </w:r>
    </w:p>
    <w:p w14:paraId="7A44513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7. Thu nhập từ tiền bản quyền, bao gồm:</w:t>
      </w:r>
    </w:p>
    <w:p w14:paraId="29EC371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Thu nhập từ chuyển giao, chuyển quyền sử dụng các đối tượng của quyền sở hữu trí tuệ;</w:t>
      </w:r>
    </w:p>
    <w:p w14:paraId="660B643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Thu nhập từ chuyển giao công nghệ.</w:t>
      </w:r>
    </w:p>
    <w:p w14:paraId="5E10AEE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8. Thu nhập từ nhượng quyền thương mại.</w:t>
      </w:r>
    </w:p>
    <w:p w14:paraId="4111D53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9. Thu nhập từ nhận thừa kế, quà tặng là chứng khoán, phần vốn trong các tổ chức kinh tế, cơ sở kinh doanh, bất động sản và các tài sản phải đăng ký sở hữu hoặc đăng ký sử dụng.</w:t>
      </w:r>
    </w:p>
    <w:p w14:paraId="642D72E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10. Thu nhập khác, bao gồm:</w:t>
      </w:r>
    </w:p>
    <w:p w14:paraId="3E9DCC2E" w14:textId="0AC35AAF"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 xml:space="preserve">a) Thu nhập từ chuyển nhượng tên miền quốc gia Việt Nam </w:t>
      </w:r>
      <w:r w:rsidR="00DE18FB">
        <w:rPr>
          <w:rFonts w:ascii="Arial" w:hAnsi="Arial"/>
          <w:color w:val="000000" w:themeColor="text1"/>
          <w:sz w:val="20"/>
        </w:rPr>
        <w:t>“</w:t>
      </w:r>
      <w:r w:rsidRPr="00EB01FF">
        <w:rPr>
          <w:rFonts w:ascii="Arial" w:hAnsi="Arial"/>
          <w:color w:val="000000" w:themeColor="text1"/>
          <w:sz w:val="20"/>
        </w:rPr>
        <w:t>.vn</w:t>
      </w:r>
      <w:r w:rsidR="00DE18FB">
        <w:rPr>
          <w:rFonts w:ascii="Arial" w:hAnsi="Arial"/>
          <w:color w:val="000000" w:themeColor="text1"/>
          <w:sz w:val="20"/>
        </w:rPr>
        <w:t>”</w:t>
      </w:r>
      <w:r w:rsidRPr="00EB01FF">
        <w:rPr>
          <w:rFonts w:ascii="Arial" w:hAnsi="Arial"/>
          <w:color w:val="000000" w:themeColor="text1"/>
          <w:sz w:val="20"/>
        </w:rPr>
        <w:t>;</w:t>
      </w:r>
    </w:p>
    <w:p w14:paraId="46AEC665"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Thu nhập từ chuyển nhượng kết quả giảm phát thải khí nhà kính, tín chỉ các-bon;</w:t>
      </w:r>
    </w:p>
    <w:p w14:paraId="39FDE7A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Thu nhập từ chuyển nhượng biển số xe trúng đấu giá theo quy định của pháp luật;</w:t>
      </w:r>
    </w:p>
    <w:p w14:paraId="5CADF9F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Thu nhập từ chuyển nhượng tài sản số;</w:t>
      </w:r>
    </w:p>
    <w:p w14:paraId="195C61D0" w14:textId="4BF8D914"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đ) Thu nhập từ chuyển nhượng vàng miếng.</w:t>
      </w:r>
    </w:p>
    <w:p w14:paraId="0821288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14:paraId="7B1D87B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11. Chính phủ quy định chi tiết Điều này và việc quy đổi thu nhập chịu thuế nhận được không bằng tiền, không bằng đồng Việt Nam.</w:t>
      </w:r>
    </w:p>
    <w:p w14:paraId="36EC067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4. Thu nhập được miễn thuế</w:t>
      </w:r>
    </w:p>
    <w:p w14:paraId="17C0E9A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lastRenderedPageBreak/>
        <w:t>1. 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14:paraId="5ED0B77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từ chuyển nhượng nhà ở, quyền sử dụng đất ở và tài sản gắn liền với đất ở của cá nhân trong trường hợp cá nhân chỉ có một nhà ở, đất ở duy nhất tại Việt Nam.</w:t>
      </w:r>
    </w:p>
    <w:p w14:paraId="081BE7A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Thu nhập từ giá trị quyền sử dụng đất của cá nhân được Nhà nước giao đất.</w:t>
      </w:r>
    </w:p>
    <w:p w14:paraId="31923F05" w14:textId="1296CA28"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 xml:space="preserve">4.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w:t>
      </w:r>
      <w:r w:rsidR="00DE18FB">
        <w:rPr>
          <w:rFonts w:ascii="Arial" w:hAnsi="Arial"/>
          <w:color w:val="000000" w:themeColor="text1"/>
          <w:sz w:val="20"/>
        </w:rPr>
        <w:t>“</w:t>
      </w:r>
      <w:r w:rsidRPr="00EB01FF">
        <w:rPr>
          <w:rFonts w:ascii="Arial" w:hAnsi="Arial"/>
          <w:color w:val="000000" w:themeColor="text1"/>
          <w:sz w:val="20"/>
        </w:rPr>
        <w:t>Cánh đồng lớn</w:t>
      </w:r>
      <w:r w:rsidR="00DE18FB">
        <w:rPr>
          <w:rFonts w:ascii="Arial" w:hAnsi="Arial"/>
          <w:color w:val="000000" w:themeColor="text1"/>
          <w:sz w:val="20"/>
        </w:rPr>
        <w:t>”</w:t>
      </w:r>
      <w:r w:rsidRPr="00EB01FF">
        <w:rPr>
          <w:rFonts w:ascii="Arial" w:hAnsi="Arial"/>
          <w:color w:val="000000" w:themeColor="text1"/>
          <w:sz w:val="20"/>
        </w:rPr>
        <w:t>, trồng rừng sản xuất, nuôi trồng thủy sản.</w:t>
      </w:r>
    </w:p>
    <w:p w14:paraId="52885E6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5. Thu nhập từ chuyển đổi đất nông nghiệp của hộ gia đình, cá nhân được Nhà nước giao để sản xuất.</w:t>
      </w:r>
    </w:p>
    <w:p w14:paraId="5499BEF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6. Thu nhập từ lãi trái phiếu chính phủ, lãi trái phiếu chính quyền địa phương, lãi tiền gửi tại tổ chức tín dụng, lãi từ hợp đồng bảo hiểm nhân thọ.</w:t>
      </w:r>
    </w:p>
    <w:p w14:paraId="293F58F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7. Thu nhập từ kiều hối.</w:t>
      </w:r>
    </w:p>
    <w:p w14:paraId="7E4458F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8. Tiền lương làm việc ban đêm, làm thêm giờ, tiền lương, tiền công trả cho những ngày không nghỉ phép theo quy định của pháp luật.</w:t>
      </w:r>
    </w:p>
    <w:p w14:paraId="1F15CAC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9. Tiền lương hưu do Quỹ bảo hiểm xã hội chi trả; thu nhập do quỹ bảo hiểm hưu trí bổ sung, quỹ hưu trí tự nguyện chi trả.</w:t>
      </w:r>
    </w:p>
    <w:p w14:paraId="2211266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10. Thu nhập từ học bổng, bao gồm:</w:t>
      </w:r>
    </w:p>
    <w:p w14:paraId="06FB562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Học bổng nhận được từ ngân sách nhà nước;</w:t>
      </w:r>
    </w:p>
    <w:p w14:paraId="7323C42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Học bổng nhận được từ tổ chức trong nước và ngoài nước theo chương trình hỗ trợ khuyến học của tổ chức đó.</w:t>
      </w:r>
    </w:p>
    <w:p w14:paraId="3E2893F6" w14:textId="0732E90A"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11. Thu nhập từ bồi thường hợp đồng bảo hiểm nhân thọ,</w:t>
      </w:r>
      <w:r w:rsidR="00AB1DF0">
        <w:rPr>
          <w:rFonts w:ascii="Arial" w:hAnsi="Arial"/>
          <w:color w:val="000000" w:themeColor="text1"/>
          <w:sz w:val="20"/>
        </w:rPr>
        <w:t xml:space="preserve"> </w:t>
      </w:r>
      <w:r w:rsidRPr="00EB01FF">
        <w:rPr>
          <w:rFonts w:ascii="Arial" w:hAnsi="Arial"/>
          <w:color w:val="000000" w:themeColor="text1"/>
          <w:sz w:val="20"/>
        </w:rPr>
        <w:t>phi nhân thọ, tiền bồi thường tai nạn lao động, khoản bồi thường nhà nước và các khoản bồi thường khác theo quy định của pháp luật.</w:t>
      </w:r>
    </w:p>
    <w:p w14:paraId="35C11A03" w14:textId="017EEDDD"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12. Thu nhập nhận được từ các tổ chức và quỹ từ thiện được cơ quan nhà</w:t>
      </w:r>
      <w:r w:rsidR="00AB1DF0">
        <w:rPr>
          <w:rFonts w:ascii="Arial" w:hAnsi="Arial"/>
          <w:color w:val="000000" w:themeColor="text1"/>
          <w:sz w:val="20"/>
        </w:rPr>
        <w:t xml:space="preserve"> </w:t>
      </w:r>
      <w:r w:rsidRPr="00EB01FF">
        <w:rPr>
          <w:rFonts w:ascii="Arial" w:hAnsi="Arial"/>
          <w:color w:val="000000" w:themeColor="text1"/>
          <w:sz w:val="20"/>
        </w:rPr>
        <w:t>nước có thẩm quyền cho phép thành lập hoặc công nhận, hoạt động vì mục đích từ thiện, nhân đạo, không vì mục</w:t>
      </w:r>
      <w:r w:rsidR="00AB1DF0">
        <w:rPr>
          <w:rFonts w:ascii="Arial" w:hAnsi="Arial"/>
          <w:color w:val="000000" w:themeColor="text1"/>
          <w:sz w:val="20"/>
        </w:rPr>
        <w:t xml:space="preserve"> </w:t>
      </w:r>
      <w:r w:rsidRPr="00EB01FF">
        <w:rPr>
          <w:rFonts w:ascii="Arial" w:hAnsi="Arial"/>
          <w:color w:val="000000" w:themeColor="text1"/>
          <w:sz w:val="20"/>
        </w:rPr>
        <w:t>tiêu lợi nhuận.</w:t>
      </w:r>
    </w:p>
    <w:p w14:paraId="4C0FB02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13. Thu nhập nhận được từ nguồn viện trợ nước ngoài vì mục đích từ thiện, nhân đạo dưới hình thức chính phủ và phi chính phủ được cơ quan nhà nước có thẩm quyền phê duyệt.</w:t>
      </w:r>
    </w:p>
    <w:p w14:paraId="10E63B9D"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14. Thu nhập từ tiền lương, tiền công của thuyền viên là người Việt Nam làm việc cho các hãng tàu nước ngoài hoặc các hãng tàu Việt Nam vận tải quốc tế.</w:t>
      </w:r>
    </w:p>
    <w:p w14:paraId="6B89AF4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15. Thu nhập của cá nhân là chủ tàu, cá nhân có quyền sử dụng tàu và cá nhân làm việc trên tàu từ hoạt động cung cấp hàng hóa, dịch vụ trực tiếp phục vụ hoạt động khai thác, đánh bắt thủy sản xa bờ.</w:t>
      </w:r>
    </w:p>
    <w:p w14:paraId="1C162E4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16. Thu nhập từ chuyển nhượng lần đầu kết quả giảm phát thải khí nhà kính của cá nhân được công nhận kết quả giảm phát thải khí nhà kính, tín chỉ các-bon của cá nhân được cấp tín chỉ các-bon; thu nhập từ tiền lãi trái phiếu xanh; thu nhập từ chuyển nhượng lần đầu trái phiếu xanh sau khi phát hành.</w:t>
      </w:r>
    </w:p>
    <w:p w14:paraId="19FB356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17. Thu nhập từ tiền lương, tiền công từ thực hiện nhiệm vụ khoa học, công nghệ và đổi mới sáng tạo.</w:t>
      </w:r>
    </w:p>
    <w:p w14:paraId="553BE2A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18.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14:paraId="757298F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19. Thu nhập của nhà đầu tư cá nhân, chuyên gia từ dự án khởi nghiệp sáng tạo, sáng lập viên cho doanh nghiệp khởi nghiệp sáng tạo, nhà đầu tư cá nhân góp vốn vào quỹ đầu tư mạo hiểm.</w:t>
      </w:r>
    </w:p>
    <w:p w14:paraId="4862874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lastRenderedPageBreak/>
        <w:t>20.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14:paraId="06ECA94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21. Thu nhập sau khi đã nộp thuế thu nhập doanh nghiệp của cá nhân là chủ doanh nghiệp tư nhân, cá nhân là chủ công ty trách nhiệm hữu hạn một thành viên.</w:t>
      </w:r>
    </w:p>
    <w:p w14:paraId="4027C82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22. Chính phủ quy định chi tiết Điều này.</w:t>
      </w:r>
    </w:p>
    <w:p w14:paraId="5135C66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5. Các trường hợp miễn thuế, giảm thuế khác</w:t>
      </w:r>
    </w:p>
    <w:p w14:paraId="17090F2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Người nộp thuế gặp khó khăn do thiên tai, dịch bệnh, hỏa hoạn, tai nạn, bệnh hiểm nghèo ảnh hưởng đến khả năng nộp thuế thì được giảm thuế tương ứng với mức độ thiệt hại nhưng không vượt quá số thuế phải nộp.</w:t>
      </w:r>
    </w:p>
    <w:p w14:paraId="5197D5D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Miễn thuế thu nhập cá nhân trong thời hạn 05 năm đối với thu nhập từ tiền lương, tiền công của cá nhân là nhân lực công nghiệp công nghệ số chất lượng cao thuộc các trường hợp sau:</w:t>
      </w:r>
    </w:p>
    <w:p w14:paraId="48F35E3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Thu nhập từ dự án hoạt động công nghiệp công nghệ số trong khu công nghệ số tập trung;</w:t>
      </w:r>
    </w:p>
    <w:p w14:paraId="3B71436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Thu nhập từ dự án nghiên cứu và phát triển, sản xuất sản phẩm công nghệ số trọng điểm, chip bán dẫn, hệ thống trí tuệ nhân tạo;</w:t>
      </w:r>
    </w:p>
    <w:p w14:paraId="0333E32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Thu nhập từ các hoạt động đào tạo nhân lực công nghiệp công nghệ số.</w:t>
      </w:r>
    </w:p>
    <w:p w14:paraId="789EC22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14:paraId="7D8B7B0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Miễn thuế thu nhập cá nhân đối với chuyển nhượng chứng chỉ quỹ mở thành lập theo quy định của pháp luật về chứng khoán được nắm giữ từ 02 năm trở lên kể từ ngày mua.</w:t>
      </w:r>
    </w:p>
    <w:p w14:paraId="6AFCC90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5. Giảm 50% thuế thu nhập cá nhân đối với lợi tức của nhà đầu tư cá nhân được chia từ quỹ đầu tư chứng khoán, quỹ đầu tư bất động sản thành lập theo quy định của Luật Chứng khoán trong thời hạn do Chính phủ quy định.</w:t>
      </w:r>
    </w:p>
    <w:p w14:paraId="7EB94F55"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6. Chính phủ quy định chi tiết Điều này.</w:t>
      </w:r>
    </w:p>
    <w:p w14:paraId="262573D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6. Quản lý thuế đối với thuế thu nhập cá nhân</w:t>
      </w:r>
    </w:p>
    <w:p w14:paraId="05D960EA" w14:textId="77777777" w:rsidR="00875C9A" w:rsidRPr="00EB01FF" w:rsidRDefault="00000000" w:rsidP="00EB01FF">
      <w:pPr>
        <w:spacing w:after="0" w:line="240" w:lineRule="auto"/>
        <w:ind w:firstLine="720"/>
        <w:jc w:val="both"/>
        <w:rPr>
          <w:rFonts w:ascii="Arial" w:hAnsi="Arial"/>
          <w:color w:val="000000" w:themeColor="text1"/>
          <w:sz w:val="20"/>
        </w:rPr>
      </w:pPr>
      <w:r w:rsidRPr="00EB01FF">
        <w:rPr>
          <w:rFonts w:ascii="Arial" w:hAnsi="Arial"/>
          <w:color w:val="000000" w:themeColor="text1"/>
          <w:sz w:val="20"/>
        </w:rPr>
        <w:t>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14:paraId="0F6F35AF"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7F679CC3" w14:textId="77777777" w:rsidR="00875C9A" w:rsidRPr="00EB01FF" w:rsidRDefault="00000000" w:rsidP="00EB01FF">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Chương II</w:t>
      </w:r>
    </w:p>
    <w:p w14:paraId="44F5E80A" w14:textId="77777777" w:rsidR="00875C9A" w:rsidRPr="00EB01FF" w:rsidRDefault="00000000" w:rsidP="00EB01FF">
      <w:pPr>
        <w:adjustRightInd w:val="0"/>
        <w:snapToGrid w:val="0"/>
        <w:spacing w:after="0" w:line="240" w:lineRule="auto"/>
        <w:jc w:val="center"/>
        <w:rPr>
          <w:rFonts w:ascii="Arial" w:hAnsi="Arial"/>
          <w:b/>
          <w:color w:val="000000" w:themeColor="text1"/>
          <w:sz w:val="20"/>
        </w:rPr>
      </w:pPr>
      <w:r w:rsidRPr="00EB01FF">
        <w:rPr>
          <w:rFonts w:ascii="Arial" w:hAnsi="Arial"/>
          <w:b/>
          <w:color w:val="000000" w:themeColor="text1"/>
          <w:sz w:val="20"/>
        </w:rPr>
        <w:t>CĂN CỨ TÍNH THUẾ ĐỐI VỚI CÁ NHÂN CƯ TRÚ</w:t>
      </w:r>
    </w:p>
    <w:p w14:paraId="01C166AF"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28D3A39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7. Thuế thu nhập cá nhân đối với thu nhập từ kinh doanh</w:t>
      </w:r>
    </w:p>
    <w:p w14:paraId="5A36ED02" w14:textId="4C79987A"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w:t>
      </w:r>
      <w:r w:rsidR="00CB7E75">
        <w:rPr>
          <w:rFonts w:ascii="Arial" w:hAnsi="Arial"/>
          <w:color w:val="000000" w:themeColor="text1"/>
          <w:sz w:val="20"/>
        </w:rPr>
        <w:t>.</w:t>
      </w:r>
      <w:r w:rsidR="00CB7E75" w:rsidRPr="00CB7E75">
        <w:rPr>
          <w:rFonts w:ascii="Arial" w:hAnsi="Arial"/>
          <w:color w:val="000000" w:themeColor="text1"/>
          <w:sz w:val="20"/>
          <w:vertAlign w:val="superscript"/>
        </w:rPr>
        <w:t>2</w:t>
      </w:r>
      <w:r w:rsidR="00CB7E75">
        <w:rPr>
          <w:rFonts w:ascii="Arial" w:hAnsi="Arial"/>
          <w:color w:val="000000" w:themeColor="text1"/>
          <w:sz w:val="20"/>
        </w:rPr>
        <w:t xml:space="preserve"> </w:t>
      </w:r>
      <w:r w:rsidRPr="00EB01FF">
        <w:rPr>
          <w:rFonts w:ascii="Arial" w:hAnsi="Arial"/>
          <w:color w:val="000000" w:themeColor="text1"/>
          <w:sz w:val="20"/>
        </w:rPr>
        <w:t>Cá nhân cư trú có hoạt động sản xuất, kinh doanh có doanh thu năm từ mức quy định của Chính phủ trở xuống không phải nộp thuế thu nhập cá nhân. Căn cứ các chỉ số kinh tế vĩ mô, khả năng cân đối ngân sách, Chính phủ quy định mức doanh thu năm phù hợp với bối cảnh kinh tế - xã hội trong từng thời kỳ.</w:t>
      </w:r>
    </w:p>
    <w:p w14:paraId="082F3ED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Thuế thu nhập cá nhân đối với thu nhập từ kinh doanh của cá nhân cư trú có doanh thu năm trên mức quy định tại khoản 1 Điều này được xác định bằng thu nhập tính thuế nhân (x) với thuế suất. Trong đó:</w:t>
      </w:r>
    </w:p>
    <w:p w14:paraId="1789B0A5"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Thu nhập tính thuế được xác định bằng doanh thu của hàng hóa, dịch vụ bán ra trừ (-) đi chi phí liên quan đến hoạt động sản xuất, kinh doanh trong kỳ tính thuế;</w:t>
      </w:r>
    </w:p>
    <w:p w14:paraId="184A5FD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Cá nhân kinh doanh có doanh thu năm trên mức quy định tại khoản 1 Điều này đến 03 tỷ đồng: thuế suất 15%;</w:t>
      </w:r>
    </w:p>
    <w:p w14:paraId="784A9F6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lastRenderedPageBreak/>
        <w:t>c) Cá nhân kinh doanh có doanh thu năm trên 03 tỷ đồng đến 50 tỷ đồng: thuế suất 17%;</w:t>
      </w:r>
    </w:p>
    <w:p w14:paraId="61D2216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Cá nhân kinh doanh có doanh thu năm trên 50 tỷ đồng: thuế suất 20%.</w:t>
      </w:r>
    </w:p>
    <w:p w14:paraId="5557AD4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Thu nhập từ cho thuê bất động sản quy định tại khoản 4 Điều này không áp dụng cách tính thuế quy định tại khoản này.</w:t>
      </w:r>
    </w:p>
    <w:p w14:paraId="1F9E6BB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w:t>
      </w:r>
    </w:p>
    <w:p w14:paraId="1B97CBF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Doanh thu tính thuế được xác định bằng phần doanh thu vượt trên mức quy định tại khoản 1 Điều này;</w:t>
      </w:r>
    </w:p>
    <w:p w14:paraId="29786CD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Phân phối, cung cấp hàng hoá: thuế suất 0,5%;</w:t>
      </w:r>
    </w:p>
    <w:p w14:paraId="0BF4511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Dịch vụ, xây dựng không bao thầu nguyên vật liệu: thuế suất 2%. Riêng hoạt động cho thuê tài sản, đại lý bảo hiểm, đại lý xổ số, đại lý bán hàng đa cấp: thuế suất 5%;</w:t>
      </w:r>
    </w:p>
    <w:p w14:paraId="36D7C92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Sản xuất, vận tải, dịch vụ có gắn với hàng hoá, xây dựng có bao thầu nguyên vật liệu: thuế suất 1,5%;</w:t>
      </w:r>
    </w:p>
    <w:p w14:paraId="0F4CC94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đ) Hoạt động cung cấp sản phẩm và dịch vụ nội dung thông tin số về giải trí, trò chơi điện tử, phim số, ảnh số, nhạc số, quảng cáo số: thuế suất 5%;</w:t>
      </w:r>
    </w:p>
    <w:p w14:paraId="0FD2F9D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e) Hoạt động kinh doanh khác: thuế suất 1%.</w:t>
      </w:r>
    </w:p>
    <w:p w14:paraId="2BC7A4C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Cá nhân cho thuê bất động sản, trừ hoạt động kinh doanh lưu trú, nộp thuế thu nhập cá nhân được xác định bằng phần doanh thu vượt trên mức quy định tại khoản 1 Điều này nhân (x) với thuế suất 5%.</w:t>
      </w:r>
    </w:p>
    <w:p w14:paraId="2508D01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5. Chính phủ quy định chi tiết Điều này.</w:t>
      </w:r>
    </w:p>
    <w:p w14:paraId="5E24CB5D"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8. Thuế thu nhập cá nhân đối với thu nhập từ tiền lương, tiền công</w:t>
      </w:r>
    </w:p>
    <w:p w14:paraId="449A9F0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Điều 9 của Luật này.</w:t>
      </w:r>
    </w:p>
    <w:p w14:paraId="7AD3AD2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tính thuế đối với thu nhập từ tiền lương, tiền công là tổng thu nhập chịu thuế quy định tại khoản 2 Điều 3 của Luật này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14:paraId="25A59FC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từ tiền lương, tiền công là thời điểm tổ chức, cá nhân trả thu nhập cho người nộp thuế hoặc thời điểm người nộp thuế nhận được thu nhập.</w:t>
      </w:r>
    </w:p>
    <w:p w14:paraId="5DF0935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9. Biểu thuế lũy tiến từng phần</w:t>
      </w:r>
    </w:p>
    <w:p w14:paraId="7151C4A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Biểu thuế lũy tiến từng phần áp dụng đối với thu nhập tính thuế quy định tại khoản 2 Điều 8 của Luật này.</w:t>
      </w:r>
    </w:p>
    <w:p w14:paraId="2A48CE21" w14:textId="738D02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Biểu thuế lũy tiến từng phần được quy định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99"/>
        <w:gridCol w:w="3249"/>
        <w:gridCol w:w="3109"/>
        <w:gridCol w:w="1659"/>
      </w:tblGrid>
      <w:tr w:rsidR="00EB01FF" w:rsidRPr="00EB01FF" w14:paraId="2B8D9689" w14:textId="77777777" w:rsidTr="002B3434">
        <w:trPr>
          <w:trHeight w:val="20"/>
        </w:trPr>
        <w:tc>
          <w:tcPr>
            <w:tcW w:w="554" w:type="pct"/>
            <w:vAlign w:val="center"/>
          </w:tcPr>
          <w:p w14:paraId="46189A69"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Bậc thuế</w:t>
            </w:r>
          </w:p>
        </w:tc>
        <w:tc>
          <w:tcPr>
            <w:tcW w:w="1802" w:type="pct"/>
            <w:vAlign w:val="center"/>
          </w:tcPr>
          <w:p w14:paraId="38E8807E" w14:textId="6793F5E5"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 xml:space="preserve">Phần thu nhập tính </w:t>
            </w:r>
            <w:r w:rsidR="00CB7E75">
              <w:rPr>
                <w:rFonts w:ascii="Arial" w:hAnsi="Arial"/>
                <w:color w:val="000000" w:themeColor="text1"/>
                <w:sz w:val="20"/>
              </w:rPr>
              <w:br/>
            </w:r>
            <w:r w:rsidRPr="00EB01FF">
              <w:rPr>
                <w:rFonts w:ascii="Arial" w:hAnsi="Arial"/>
                <w:color w:val="000000" w:themeColor="text1"/>
                <w:sz w:val="20"/>
              </w:rPr>
              <w:t xml:space="preserve">thuế/năm </w:t>
            </w:r>
            <w:r w:rsidR="00CB7E75">
              <w:rPr>
                <w:rFonts w:ascii="Arial" w:hAnsi="Arial"/>
                <w:color w:val="000000" w:themeColor="text1"/>
                <w:sz w:val="20"/>
              </w:rPr>
              <w:br/>
            </w:r>
            <w:r w:rsidRPr="00EB01FF">
              <w:rPr>
                <w:rFonts w:ascii="Arial" w:hAnsi="Arial"/>
                <w:color w:val="000000" w:themeColor="text1"/>
                <w:sz w:val="20"/>
              </w:rPr>
              <w:t>(triệu đồng)</w:t>
            </w:r>
          </w:p>
        </w:tc>
        <w:tc>
          <w:tcPr>
            <w:tcW w:w="1724" w:type="pct"/>
            <w:vAlign w:val="center"/>
          </w:tcPr>
          <w:p w14:paraId="4A962D27" w14:textId="579609F2"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 xml:space="preserve">Phần thu nhập tính </w:t>
            </w:r>
            <w:r w:rsidR="00CB7E75">
              <w:rPr>
                <w:rFonts w:ascii="Arial" w:hAnsi="Arial"/>
                <w:color w:val="000000" w:themeColor="text1"/>
                <w:sz w:val="20"/>
              </w:rPr>
              <w:br/>
            </w:r>
            <w:r w:rsidRPr="00EB01FF">
              <w:rPr>
                <w:rFonts w:ascii="Arial" w:hAnsi="Arial"/>
                <w:color w:val="000000" w:themeColor="text1"/>
                <w:sz w:val="20"/>
              </w:rPr>
              <w:t xml:space="preserve">thuế/tháng </w:t>
            </w:r>
            <w:r w:rsidR="00CB7E75">
              <w:rPr>
                <w:rFonts w:ascii="Arial" w:hAnsi="Arial"/>
                <w:color w:val="000000" w:themeColor="text1"/>
                <w:sz w:val="20"/>
              </w:rPr>
              <w:br/>
            </w:r>
            <w:r w:rsidRPr="00EB01FF">
              <w:rPr>
                <w:rFonts w:ascii="Arial" w:hAnsi="Arial"/>
                <w:color w:val="000000" w:themeColor="text1"/>
                <w:sz w:val="20"/>
              </w:rPr>
              <w:t>(triệu đồng)</w:t>
            </w:r>
          </w:p>
        </w:tc>
        <w:tc>
          <w:tcPr>
            <w:tcW w:w="920" w:type="pct"/>
            <w:vAlign w:val="center"/>
          </w:tcPr>
          <w:p w14:paraId="37D96F3F" w14:textId="07D82B3F"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Thuế suất</w:t>
            </w:r>
            <w:r w:rsidR="00CB7E75">
              <w:rPr>
                <w:rFonts w:ascii="Arial" w:hAnsi="Arial"/>
                <w:color w:val="000000" w:themeColor="text1"/>
                <w:sz w:val="20"/>
              </w:rPr>
              <w:br/>
            </w:r>
            <w:r w:rsidRPr="00EB01FF">
              <w:rPr>
                <w:rFonts w:ascii="Arial" w:hAnsi="Arial"/>
                <w:color w:val="000000" w:themeColor="text1"/>
                <w:sz w:val="20"/>
              </w:rPr>
              <w:t>(%)</w:t>
            </w:r>
          </w:p>
        </w:tc>
      </w:tr>
      <w:tr w:rsidR="00EB01FF" w:rsidRPr="00EB01FF" w14:paraId="65A4E512" w14:textId="77777777" w:rsidTr="002B3434">
        <w:trPr>
          <w:trHeight w:val="20"/>
        </w:trPr>
        <w:tc>
          <w:tcPr>
            <w:tcW w:w="554" w:type="pct"/>
            <w:vAlign w:val="center"/>
          </w:tcPr>
          <w:p w14:paraId="71D4C6A8"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1</w:t>
            </w:r>
          </w:p>
        </w:tc>
        <w:tc>
          <w:tcPr>
            <w:tcW w:w="1802" w:type="pct"/>
            <w:vAlign w:val="center"/>
          </w:tcPr>
          <w:p w14:paraId="0AD6006A"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Đến 120</w:t>
            </w:r>
          </w:p>
        </w:tc>
        <w:tc>
          <w:tcPr>
            <w:tcW w:w="1724" w:type="pct"/>
            <w:vAlign w:val="center"/>
          </w:tcPr>
          <w:p w14:paraId="4EDA8CD7"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Đến 10</w:t>
            </w:r>
          </w:p>
        </w:tc>
        <w:tc>
          <w:tcPr>
            <w:tcW w:w="920" w:type="pct"/>
            <w:vAlign w:val="center"/>
          </w:tcPr>
          <w:p w14:paraId="315A05FF"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5</w:t>
            </w:r>
          </w:p>
        </w:tc>
      </w:tr>
      <w:tr w:rsidR="00EB01FF" w:rsidRPr="00EB01FF" w14:paraId="5E214EC1" w14:textId="77777777" w:rsidTr="002B3434">
        <w:trPr>
          <w:trHeight w:val="20"/>
        </w:trPr>
        <w:tc>
          <w:tcPr>
            <w:tcW w:w="554" w:type="pct"/>
            <w:vAlign w:val="center"/>
          </w:tcPr>
          <w:p w14:paraId="01F4D0CA"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2</w:t>
            </w:r>
          </w:p>
        </w:tc>
        <w:tc>
          <w:tcPr>
            <w:tcW w:w="1802" w:type="pct"/>
            <w:vAlign w:val="center"/>
          </w:tcPr>
          <w:p w14:paraId="27FA826B"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120 đến 360</w:t>
            </w:r>
          </w:p>
        </w:tc>
        <w:tc>
          <w:tcPr>
            <w:tcW w:w="1724" w:type="pct"/>
            <w:vAlign w:val="center"/>
          </w:tcPr>
          <w:p w14:paraId="5069FCB8"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10 đến 30</w:t>
            </w:r>
          </w:p>
        </w:tc>
        <w:tc>
          <w:tcPr>
            <w:tcW w:w="920" w:type="pct"/>
            <w:vAlign w:val="center"/>
          </w:tcPr>
          <w:p w14:paraId="0D10F205"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10</w:t>
            </w:r>
          </w:p>
        </w:tc>
      </w:tr>
      <w:tr w:rsidR="00EB01FF" w:rsidRPr="00EB01FF" w14:paraId="193DB397" w14:textId="77777777" w:rsidTr="002B3434">
        <w:trPr>
          <w:trHeight w:val="20"/>
        </w:trPr>
        <w:tc>
          <w:tcPr>
            <w:tcW w:w="554" w:type="pct"/>
            <w:vAlign w:val="center"/>
          </w:tcPr>
          <w:p w14:paraId="3ED73102"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3</w:t>
            </w:r>
          </w:p>
        </w:tc>
        <w:tc>
          <w:tcPr>
            <w:tcW w:w="1802" w:type="pct"/>
            <w:vAlign w:val="center"/>
          </w:tcPr>
          <w:p w14:paraId="607FECF8"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360 đến 720</w:t>
            </w:r>
          </w:p>
        </w:tc>
        <w:tc>
          <w:tcPr>
            <w:tcW w:w="1724" w:type="pct"/>
            <w:vAlign w:val="center"/>
          </w:tcPr>
          <w:p w14:paraId="26B2DEBB"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30 đến 60</w:t>
            </w:r>
          </w:p>
        </w:tc>
        <w:tc>
          <w:tcPr>
            <w:tcW w:w="920" w:type="pct"/>
            <w:vAlign w:val="center"/>
          </w:tcPr>
          <w:p w14:paraId="37177058"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20</w:t>
            </w:r>
          </w:p>
        </w:tc>
      </w:tr>
      <w:tr w:rsidR="00EB01FF" w:rsidRPr="00EB01FF" w14:paraId="4D0C2030" w14:textId="77777777" w:rsidTr="002B3434">
        <w:trPr>
          <w:trHeight w:val="20"/>
        </w:trPr>
        <w:tc>
          <w:tcPr>
            <w:tcW w:w="554" w:type="pct"/>
            <w:vAlign w:val="center"/>
          </w:tcPr>
          <w:p w14:paraId="6F1F769A"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4</w:t>
            </w:r>
          </w:p>
        </w:tc>
        <w:tc>
          <w:tcPr>
            <w:tcW w:w="1802" w:type="pct"/>
            <w:vAlign w:val="center"/>
          </w:tcPr>
          <w:p w14:paraId="2515EE7A"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720 đến 1.200</w:t>
            </w:r>
          </w:p>
        </w:tc>
        <w:tc>
          <w:tcPr>
            <w:tcW w:w="1724" w:type="pct"/>
            <w:vAlign w:val="center"/>
          </w:tcPr>
          <w:p w14:paraId="556A93F6"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60 đến 100</w:t>
            </w:r>
          </w:p>
        </w:tc>
        <w:tc>
          <w:tcPr>
            <w:tcW w:w="920" w:type="pct"/>
            <w:vAlign w:val="center"/>
          </w:tcPr>
          <w:p w14:paraId="74BB35CE"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30</w:t>
            </w:r>
          </w:p>
        </w:tc>
      </w:tr>
      <w:tr w:rsidR="00EB01FF" w:rsidRPr="00EB01FF" w14:paraId="01565373" w14:textId="77777777" w:rsidTr="002B3434">
        <w:trPr>
          <w:trHeight w:val="20"/>
        </w:trPr>
        <w:tc>
          <w:tcPr>
            <w:tcW w:w="554" w:type="pct"/>
            <w:vAlign w:val="center"/>
          </w:tcPr>
          <w:p w14:paraId="653BB11E"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5</w:t>
            </w:r>
          </w:p>
        </w:tc>
        <w:tc>
          <w:tcPr>
            <w:tcW w:w="1802" w:type="pct"/>
            <w:vAlign w:val="center"/>
          </w:tcPr>
          <w:p w14:paraId="3E06CA61"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1.200</w:t>
            </w:r>
          </w:p>
        </w:tc>
        <w:tc>
          <w:tcPr>
            <w:tcW w:w="1724" w:type="pct"/>
            <w:vAlign w:val="center"/>
          </w:tcPr>
          <w:p w14:paraId="258EB618"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Trên 100</w:t>
            </w:r>
          </w:p>
        </w:tc>
        <w:tc>
          <w:tcPr>
            <w:tcW w:w="920" w:type="pct"/>
            <w:vAlign w:val="center"/>
          </w:tcPr>
          <w:p w14:paraId="6EEC7BCD" w14:textId="77777777" w:rsidR="00875C9A" w:rsidRPr="00EB01FF" w:rsidRDefault="00000000" w:rsidP="00EB01FF">
            <w:pPr>
              <w:adjustRightInd w:val="0"/>
              <w:snapToGrid w:val="0"/>
              <w:spacing w:before="80" w:after="80" w:line="240" w:lineRule="auto"/>
              <w:jc w:val="center"/>
              <w:rPr>
                <w:rFonts w:ascii="Arial" w:hAnsi="Arial"/>
                <w:color w:val="000000" w:themeColor="text1"/>
                <w:sz w:val="20"/>
              </w:rPr>
            </w:pPr>
            <w:r w:rsidRPr="00EB01FF">
              <w:rPr>
                <w:rFonts w:ascii="Arial" w:hAnsi="Arial"/>
                <w:color w:val="000000" w:themeColor="text1"/>
                <w:sz w:val="20"/>
              </w:rPr>
              <w:t>35</w:t>
            </w:r>
          </w:p>
        </w:tc>
      </w:tr>
    </w:tbl>
    <w:p w14:paraId="67CC0C8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lastRenderedPageBreak/>
        <w:t>Điều 10. Giảm trừ gia cảnh</w:t>
      </w:r>
    </w:p>
    <w:p w14:paraId="1A08DE1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Giảm trừ gia cảnh là số tiền được trừ vào thu nhập chịu thuế trước khi tính thuế đối với thu nhập từ tiền lương, tiền công của người nộp thuế là cá nhân cư trú. Giảm trừ gia cảnh gồm:</w:t>
      </w:r>
    </w:p>
    <w:p w14:paraId="613D489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Mức giảm trừ đối với người nộp thuế là 15,5 triệu đồng/tháng (186 triệu đồng/năm);</w:t>
      </w:r>
    </w:p>
    <w:p w14:paraId="071684B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Mức giảm trừ đối với mỗi người phụ thuộc là 6,2 triệu đồng/tháng.</w:t>
      </w:r>
    </w:p>
    <w:p w14:paraId="05EE8C1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Căn cứ biến động của giá cả, thu nhập, Chính phủ trình Ủy ban Thường vụ Quốc hội quy định mức giảm trừ gia cảnh quy định tại khoản 1 Điều này phù hợp với tình hình kinh tế - xã hội trong từng thời kỳ.</w:t>
      </w:r>
    </w:p>
    <w:p w14:paraId="2B80405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Việc xác định mức giảm trừ gia cảnh đối với người phụ thuộc thực hiện theo nguyên tắc mỗi người phụ thuộc chỉ được tính giảm trừ một lần vào một người nộp thuế.</w:t>
      </w:r>
    </w:p>
    <w:p w14:paraId="723227F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Người phụ thuộc là người mà người nộp thuế có trách nhiệm nuôi dưỡng, bao gồm:</w:t>
      </w:r>
    </w:p>
    <w:p w14:paraId="09343C6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Con chưa thành niên; con là người mất năng lực hành vi dân sự, người khuyết tật, không có khả năng lao động;</w:t>
      </w:r>
    </w:p>
    <w:p w14:paraId="33FEC14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14:paraId="4F4A2DB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11. Giảm trừ đối với các khoản đóng góp từ thiện, nhân đạo và các khoản giảm trừ khác</w:t>
      </w:r>
    </w:p>
    <w:p w14:paraId="6BC8ACA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Cá nhân cư trú được giảm trừ vào thu nhập chịu thuế trước khi tính thuế đối với thu nhập từ tiền lương, tiền công các khoản sau đây:</w:t>
      </w:r>
    </w:p>
    <w:p w14:paraId="0C948772"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Khoản đóng góp từ thiện, nhân đạo, bao gồm:</w:t>
      </w:r>
    </w:p>
    <w:p w14:paraId="391CCEC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Khoản đóng góp vào tổ chức, cơ sở chăm sóc, nuôi dưỡng trẻ em có hoàn cảnh đặc biệt khó khăn, người khuyết tật, người già không nơi nương tựa;</w:t>
      </w:r>
    </w:p>
    <w:p w14:paraId="21362C4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Khoản đóng góp vào quỹ từ thiện, quỹ nhân đạo, quỹ khuyến học;</w:t>
      </w:r>
    </w:p>
    <w:p w14:paraId="364E1E5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Khoản đóng góp vào các tổ chức có chức năng huy động tài trợ được thành lập và hoạt động theo quy định của pháp luật.</w:t>
      </w:r>
    </w:p>
    <w:p w14:paraId="6DEE314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14:paraId="65E4D2B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Khoản chi cho y tế, giáo dục - đào tạo của người nộp thuế, người phụ thuộc của người nộp thuế được giảm trừ vào thu nhập trước khi tính thuế theo mức do Chính phủ quy định.</w:t>
      </w:r>
    </w:p>
    <w:p w14:paraId="1675C98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Các khoản chi quy định tại Điều này phải đáp ứng các điều kiện về hóa đơn, chứng từ theo quy định của pháp luật và không được chi trả từ các nguồn khác.</w:t>
      </w:r>
    </w:p>
    <w:p w14:paraId="3FC0CEE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Chính phủ quy định chi tiết Điều này.</w:t>
      </w:r>
    </w:p>
    <w:p w14:paraId="62CD663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12. Thuế thu nhập cá nhân đối với thu nhập từ đầu tư vốn</w:t>
      </w:r>
    </w:p>
    <w:p w14:paraId="7CD7ACC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đối với thu nhập từ đầu tư vốn của cá nhân cư trú được xác định bằng thu nhập tính thuế nhân (x) với thuế suất 5%.</w:t>
      </w:r>
    </w:p>
    <w:p w14:paraId="790BB20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tính thuế từ đầu tư vốn là tổng số các khoản thu nhập chịu thuế từ đầu tư vốn quy định tại khoản 3 Điều 3 của Luật này mà người nộp thuế nhận được theo từng lần phát sinh.</w:t>
      </w:r>
    </w:p>
    <w:p w14:paraId="50BA3DE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từ đầu tư vốn là thời điểm tổ chức, cá nhân trả thu nhập cho người nộp thuế hoặc thời điểm người nộp thuế nhận được thu nhập.</w:t>
      </w:r>
    </w:p>
    <w:p w14:paraId="13E625D5"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Chính phủ quy định chi tiết Điều này.</w:t>
      </w:r>
    </w:p>
    <w:p w14:paraId="7F461E7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13. Thuế thu nhập cá nhân đối với thu nhập từ chuyển nhượng vốn</w:t>
      </w:r>
    </w:p>
    <w:p w14:paraId="400B9D0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 xml:space="preserve">1. Thuế thu nhập cá nhân đối với thu nhập từ chuyển nhượng vốn của cá nhân cư trú được xác định bằng thu nhập tính thuế nhân (x) với thuế suất 20% theo từng lần chuyển nhượng. Trong đó, </w:t>
      </w:r>
      <w:r w:rsidRPr="00EB01FF">
        <w:rPr>
          <w:rFonts w:ascii="Arial" w:hAnsi="Arial"/>
          <w:color w:val="000000" w:themeColor="text1"/>
          <w:sz w:val="20"/>
        </w:rPr>
        <w:lastRenderedPageBreak/>
        <w:t>thu nhập tính thuế từ chuyển nhượng vốn được xác định bằng giá chuyển nhượng trừ (-) đi giá mua và các khoản chi phí hợp lý liên quan đến việc tạo ra thu nhập từ chuyển nhượng vốn.</w:t>
      </w:r>
    </w:p>
    <w:p w14:paraId="1893579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Trường hợp không xác định giá mua và các chi phí liên quan đến việc chuyển nhượng vốn thì thuế thu nhập cá nhân được xác định bằng giá chuyển nhượng nhân (x) với thuế suất 2%.</w:t>
      </w:r>
    </w:p>
    <w:p w14:paraId="67939A4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Thuế thu nhập cá nhân đối với thu nhập từ chuyển nhượng chứng khoán được xác định bằng giá chuyển nhượng nhân (x) với thuế suất 0,1% theo từng lần chuyển nhượng.</w:t>
      </w:r>
    </w:p>
    <w:p w14:paraId="2492D45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từ chuyển nhượng vốn là thời điểm giao dịch hoàn thành theo quy định của pháp luật.</w:t>
      </w:r>
    </w:p>
    <w:p w14:paraId="2FE8BDB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Chính phủ quy định chi tiết Điều này.</w:t>
      </w:r>
    </w:p>
    <w:p w14:paraId="0EC2BA2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14. Thuế thu nhập cá nhân đối với thu nhập từ chuyển nhượng bất động sản</w:t>
      </w:r>
    </w:p>
    <w:p w14:paraId="5F6B0A4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chuyển nhượng bất động sản của cá nhân cư trú được xác định bằng giá chuyển nhượng nhân (x) với thuế suất 2%.</w:t>
      </w:r>
    </w:p>
    <w:p w14:paraId="28764FE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14:paraId="5DE3883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Chính phủ quy định chi tiết Điều này.</w:t>
      </w:r>
    </w:p>
    <w:p w14:paraId="7CEE5EA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15. Thuế thu nhập cá nhân đối với thu nhập từ trúng thưởng</w:t>
      </w:r>
    </w:p>
    <w:p w14:paraId="5FB22C5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trúng thưởng của cá nhân cư trú được xác định bằng thu nhập tính thuế nhân (x) với thuế suất 10%.</w:t>
      </w:r>
    </w:p>
    <w:p w14:paraId="515C199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tính thuế từ trúng thưởng là phần giá trị giải thưởng vượt trên 20 triệu đồng mà người nộp thuế nhận được theo từng lần trúng thưởng.</w:t>
      </w:r>
    </w:p>
    <w:p w14:paraId="554E85B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từ trúng thưởng là thời điểm tổ chức, cá nhân trả thu nhập cho người nộp thuế.</w:t>
      </w:r>
    </w:p>
    <w:p w14:paraId="406D228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16. Thuế thu nhập cá nhân đối với thu nhập từ tiền bản quyền</w:t>
      </w:r>
    </w:p>
    <w:p w14:paraId="35D2C62D"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tiền bản quyền của cá nhân cư trú được tính bằng thu nhập tính thuế nhân (x) với thuế suất 5%.</w:t>
      </w:r>
    </w:p>
    <w:p w14:paraId="72096F1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w:t>
      </w:r>
    </w:p>
    <w:p w14:paraId="6EF858F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từ tiền bản quyền là thời điểm tổ chức, cá nhân trả thu nhập cho người nộp thuế.</w:t>
      </w:r>
    </w:p>
    <w:p w14:paraId="4878F26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17. Thuế thu nhập cá nhân đối với thu nhập từ nhượng quyền thương mại</w:t>
      </w:r>
    </w:p>
    <w:p w14:paraId="62F79BE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nhượng quyền thương mại của cá nhân cư trú được tính bằng thu nhập tính thuế nhân (x) với thuế suất 5%.</w:t>
      </w:r>
    </w:p>
    <w:p w14:paraId="5024C1E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tính thuế từ nhượng quyền thương mại là phần thu nhập vượt trên 20 triệu đồng mà người nộp thuế nhận được theo từng hợp đồng nhượng quyền thương mại.</w:t>
      </w:r>
    </w:p>
    <w:p w14:paraId="2D2EFA8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từ nhượng quyền thương mại là thời điểm tổ chức, cá nhân trả thu nhập cho người nộp thuế.</w:t>
      </w:r>
    </w:p>
    <w:p w14:paraId="7E4EF24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18. Thuế thu nhập cá nhân đối với thu nhập từ nhận thừa kế, quà tặng</w:t>
      </w:r>
    </w:p>
    <w:p w14:paraId="35B2503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nhận thừa kế, quà tặng của cá nhân cư trú được xác định bằng thu nhập tính thuế nhân (x) với thuế suất 10%.</w:t>
      </w:r>
    </w:p>
    <w:p w14:paraId="14BBF22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 nhập tính thuế từ nhận thừa kế, quà tặng là phần giá trị tài sản thừa kế, quà tặng vượt trên 20 triệu đồng mà người nộp thuế nhận được theo từng lần phát sinh.</w:t>
      </w:r>
    </w:p>
    <w:p w14:paraId="0946519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được quy định như sau:</w:t>
      </w:r>
    </w:p>
    <w:p w14:paraId="69B3B10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Đối với thu nhập từ nhận thừa kế là thời điểm người nộp thuế nhận được thừa kế;</w:t>
      </w:r>
    </w:p>
    <w:p w14:paraId="2D9BC18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Đối với thu nhập từ nhận quà tặng là thời điểm tổ chức, cá nhân tặng cho người nộp thuế hoặc thời điểm người nộp thuế nhận được thu nhập.</w:t>
      </w:r>
    </w:p>
    <w:p w14:paraId="4B5BF2F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lastRenderedPageBreak/>
        <w:t>4. Chính phủ quy định chi tiết Điều này.</w:t>
      </w:r>
    </w:p>
    <w:p w14:paraId="2183E96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19. Thuế thu nhập cá nhân đối với thu nhập khác</w:t>
      </w:r>
    </w:p>
    <w:p w14:paraId="5C9E1D2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khác của cá nhân cư trú quy định tại các điểm a, b và c khoản 10 Điều 3 của Luật này được xác định bằng thu nhập tính thuế nhân (x) với thuế suất 5%. Trong đó, thu nhập tính thuế là phần thu nhập vượt trên 20 triệu đồng mà người nộp thuế nhận được theo từng lần phát sinh.</w:t>
      </w:r>
    </w:p>
    <w:p w14:paraId="38D19AB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Thuế thu nhập cá nhân đối với thu nhập khác của cá nhân cư trú quy định tại điểm d và điểm đ khoản 10 Điều 3 của Luật này được xác định bằng giá chuyển nhượng nhân (x) với thuế suất 0,1%.</w:t>
      </w:r>
    </w:p>
    <w:p w14:paraId="5C28483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là thời điểm tổ chức, cá nhân chi trả thu nhập cho người nộp thuế hoặc thời điểm người nộp thuế nhận được thu nhập.</w:t>
      </w:r>
    </w:p>
    <w:p w14:paraId="106891D3" w14:textId="77777777" w:rsidR="00875C9A" w:rsidRPr="00EB01FF" w:rsidRDefault="00000000" w:rsidP="00EB01FF">
      <w:pPr>
        <w:spacing w:after="0" w:line="240" w:lineRule="auto"/>
        <w:ind w:firstLine="720"/>
        <w:jc w:val="both"/>
        <w:rPr>
          <w:rFonts w:ascii="Arial" w:hAnsi="Arial"/>
          <w:color w:val="000000" w:themeColor="text1"/>
          <w:sz w:val="20"/>
        </w:rPr>
      </w:pPr>
      <w:r w:rsidRPr="00EB01FF">
        <w:rPr>
          <w:rFonts w:ascii="Arial" w:hAnsi="Arial"/>
          <w:color w:val="000000" w:themeColor="text1"/>
          <w:sz w:val="20"/>
        </w:rPr>
        <w:t>4. Chính phủ quy định chi tiết Điều này.</w:t>
      </w:r>
    </w:p>
    <w:p w14:paraId="45F362F0"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16AF0593" w14:textId="77777777" w:rsidR="00875C9A" w:rsidRPr="00EB01FF" w:rsidRDefault="00000000" w:rsidP="00EB01FF">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Chương III</w:t>
      </w:r>
    </w:p>
    <w:p w14:paraId="53759B8A" w14:textId="77777777" w:rsidR="00875C9A" w:rsidRPr="00EB01FF" w:rsidRDefault="00000000" w:rsidP="00EB01FF">
      <w:pPr>
        <w:adjustRightInd w:val="0"/>
        <w:snapToGrid w:val="0"/>
        <w:spacing w:after="0" w:line="240" w:lineRule="auto"/>
        <w:jc w:val="center"/>
        <w:rPr>
          <w:rFonts w:ascii="Arial" w:hAnsi="Arial"/>
          <w:b/>
          <w:color w:val="000000" w:themeColor="text1"/>
          <w:sz w:val="20"/>
        </w:rPr>
      </w:pPr>
      <w:r w:rsidRPr="00EB01FF">
        <w:rPr>
          <w:rFonts w:ascii="Arial" w:hAnsi="Arial"/>
          <w:b/>
          <w:color w:val="000000" w:themeColor="text1"/>
          <w:sz w:val="20"/>
        </w:rPr>
        <w:t>CĂN CỨ TÍNH THUẾ ĐỐI VỚI CÁ NHÂN KHÔNG CƯ TRÚ</w:t>
      </w:r>
    </w:p>
    <w:p w14:paraId="753EB1D5"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61DCCD61"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20. Thuế thu nhập cá nhân đối với thu nhập từ kinh doanh</w:t>
      </w:r>
    </w:p>
    <w:p w14:paraId="6EBFF0A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14:paraId="5481395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Doanh thu là toàn bộ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14:paraId="7C82DC95"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Trường hợp thỏa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w:t>
      </w:r>
    </w:p>
    <w:p w14:paraId="43552F9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Thuế suất:</w:t>
      </w:r>
    </w:p>
    <w:p w14:paraId="3610CB6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a) Phân phối, cung cấp hàng hoá: 1%;</w:t>
      </w:r>
    </w:p>
    <w:p w14:paraId="3D5792FF"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b) Dịch vụ, xây dựng không bao thầu nguyên vật liệu: 5%;</w:t>
      </w:r>
    </w:p>
    <w:p w14:paraId="63AF080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c) Sản xuất, vận tải, dịch vụ có gắn với hàng hoá, xây dựng có bao thầu nguyên vật liệu: 2%;</w:t>
      </w:r>
    </w:p>
    <w:p w14:paraId="4CD46BCE"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d) Hoạt động cung cấp sản phẩm và dịch vụ nội dung thông tin số về giải trí, trò chơi điện tử, phim số, ảnh số, nhạc số, quảng cáo: 5%;</w:t>
      </w:r>
    </w:p>
    <w:p w14:paraId="0C38A79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đ) Hoạt động kinh doanh khác: 2%.</w:t>
      </w:r>
    </w:p>
    <w:p w14:paraId="7480FE1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21. Thuế thu nhập cá nhân đối với thu nhập từ tiền lương, tiền công</w:t>
      </w:r>
    </w:p>
    <w:p w14:paraId="13A10D8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Thuế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w:t>
      </w:r>
    </w:p>
    <w:p w14:paraId="2490C50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22. Thuế thu nhập cá nhân đối với thu nhập từ đầu tư vốn</w:t>
      </w:r>
    </w:p>
    <w:p w14:paraId="60E3F80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14:paraId="24AF3E3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23. Thuế thu nhập cá nhân đối với thu nhập từ chuyển nhượng vốn</w:t>
      </w:r>
    </w:p>
    <w:p w14:paraId="71F2D91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chuyển nhượng vốn của cá nhân không cư trú được xác định bằng thu nhập tính thuế nhân (x) với thuế suất 20% theo từng lần phát sinh, không phân biệt việc chuyển nhượng được thực hiện tại Việt Nam hay tại nước ngoài. 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14:paraId="0C7F0CA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lastRenderedPageBreak/>
        <w:t>Trường hợp không xác định được giá mua và các chi phí liên quan đến việc chuyển nhượng vốn thì thuế thu nhập cá nhân được xác định bằng giá chuyển nhượng phần vốn tại tổ chức, cá nhân Việt Nam nhân (x) với thuế suất 2%.</w:t>
      </w:r>
    </w:p>
    <w:p w14:paraId="0115B05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Thuế thu nhập cá nhân đối với thu nhập từ chuyển nhượng chứng khoán của cá nhân không cư trú được xác định bằng giá chuyển nhượng nhân (x) với thuế suất 0,1%.</w:t>
      </w:r>
    </w:p>
    <w:p w14:paraId="381B10F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Chính phủ quy định chi tiết Điều này.</w:t>
      </w:r>
    </w:p>
    <w:p w14:paraId="016683E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24. Thuế thu nhập cá nhân đối với thu nhập từ chuyển nhượng bất động sản</w:t>
      </w:r>
    </w:p>
    <w:p w14:paraId="54DF5F1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chuyển nhượng bất động sản của cá nhân không cư trú được xác định bằng giá chuyển nhượng nhân (x) với thuế suất 2%.</w:t>
      </w:r>
    </w:p>
    <w:p w14:paraId="184F6F8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Chính phủ quy định chi tiết Điều này.</w:t>
      </w:r>
    </w:p>
    <w:p w14:paraId="3A75D37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25. Thuế thu nhập cá nhân đối với thu nhập từ tiền bản quyền, nhượng quyền thương mại</w:t>
      </w:r>
    </w:p>
    <w:p w14:paraId="553DBAF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14:paraId="3C3A8DEA"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w:t>
      </w:r>
    </w:p>
    <w:p w14:paraId="2D63315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26. Thuế thu nhập cá nhân đối với thu nhập từ trúng thưởng, nhận thừa kế, quà tặng</w:t>
      </w:r>
    </w:p>
    <w:p w14:paraId="5168763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Thuế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14:paraId="2F8C5B93"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27. Thuế thu nhập cá nhân đối với thu nhập khác</w:t>
      </w:r>
    </w:p>
    <w:p w14:paraId="36A1DB5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Thuế thu nhập cá nhân đối với thu nhập khác của cá nhân không cư trú quy định tại các điểm a, b và c khoản 10 Điều 3 của Luật này được xác định bằng thu nhập tính thuế nhân (x) với thuế suất 5%. Thu nhập tính thuế là phần thu nhập vượt trên 20 triệu đồng mà người nộp thuế nhận được theo từng lần phát sinh.</w:t>
      </w:r>
    </w:p>
    <w:p w14:paraId="7A685046"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Thuế thu nhập cá nhân đối với thu nhập khác của cá nhân không cư trú quy định tại điểm d và điểm đ khoản 10 Điều 3 của Luật này được xác định bằng giá chuyển nhượng nhân (x) với thuế suất 0,1%.</w:t>
      </w:r>
    </w:p>
    <w:p w14:paraId="0EDC8C1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Chính phủ quy định chi tiết Điều này.</w:t>
      </w:r>
    </w:p>
    <w:p w14:paraId="3DF5F464"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t>Điều 28. Thời điểm xác định thu nhập tính thuế</w:t>
      </w:r>
    </w:p>
    <w:p w14:paraId="1FAD6B1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Thời điểm xác định thu nhập tính thuế đối với thu nhập quy định tại Điều 20 của Luật này là thời điểm cá nhân không cư trú nhận được thu nhập hoặc thời điểm xuất hoá đơn bán hàng hoá, cung cấp dịch vụ.</w:t>
      </w:r>
    </w:p>
    <w:p w14:paraId="5AF2CF4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Thời điểm xác định thu nhập tính thuế đối với thu nhập quy định tại các điều 21, 22, 25, 26 và 27 của Luật này là thời điểm tổ chức, cá nhân tại Việt Nam trả thu nhập cho cá nhân không cư trú hoặc thời điểm cá nhân không cư trú nhận được thu nhập.</w:t>
      </w:r>
    </w:p>
    <w:p w14:paraId="1A883DB0" w14:textId="08905CA9"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Thời điểm xác định thu nhập tính thuế đối với thu nhập quy định tại Điều</w:t>
      </w:r>
      <w:r w:rsidR="00EB01FF" w:rsidRPr="00EB01FF">
        <w:rPr>
          <w:rFonts w:ascii="Arial" w:hAnsi="Arial"/>
          <w:color w:val="000000" w:themeColor="text1"/>
          <w:sz w:val="20"/>
        </w:rPr>
        <w:t xml:space="preserve"> </w:t>
      </w:r>
      <w:r w:rsidRPr="00EB01FF">
        <w:rPr>
          <w:rFonts w:ascii="Arial" w:hAnsi="Arial"/>
          <w:color w:val="000000" w:themeColor="text1"/>
          <w:sz w:val="20"/>
        </w:rPr>
        <w:t>23 của Luật này là thời điểm giao dịch hoàn thành theo quy định của pháp luật.</w:t>
      </w:r>
    </w:p>
    <w:p w14:paraId="329D1A9F" w14:textId="47437370"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4. Thời điểm xác định thu nhập tính thuế đối với thu nhập quy định tại Điều</w:t>
      </w:r>
      <w:r w:rsidR="009F6E81">
        <w:rPr>
          <w:rFonts w:ascii="Arial" w:hAnsi="Arial"/>
          <w:color w:val="000000" w:themeColor="text1"/>
          <w:sz w:val="20"/>
        </w:rPr>
        <w:t xml:space="preserve"> </w:t>
      </w:r>
      <w:r w:rsidRPr="00EB01FF">
        <w:rPr>
          <w:rFonts w:ascii="Arial" w:hAnsi="Arial"/>
          <w:color w:val="000000" w:themeColor="text1"/>
          <w:sz w:val="20"/>
        </w:rPr>
        <w:t>24 của Luật này là thời điểm hợp đồng chuyển nhượng có hiệu lực theo quy định của pháp luật hoặc thời điểm đăng ký quyền sử dụng, quyền sở hữu bất động sản.</w:t>
      </w:r>
    </w:p>
    <w:p w14:paraId="50130779" w14:textId="77777777" w:rsidR="00875C9A" w:rsidRPr="00EB01FF" w:rsidRDefault="00000000" w:rsidP="00EB01FF">
      <w:pPr>
        <w:spacing w:after="0" w:line="240" w:lineRule="auto"/>
        <w:ind w:firstLine="720"/>
        <w:jc w:val="both"/>
        <w:rPr>
          <w:rFonts w:ascii="Arial" w:hAnsi="Arial"/>
          <w:color w:val="000000" w:themeColor="text1"/>
          <w:sz w:val="20"/>
        </w:rPr>
      </w:pPr>
      <w:r w:rsidRPr="00EB01FF">
        <w:rPr>
          <w:rFonts w:ascii="Arial" w:hAnsi="Arial"/>
          <w:color w:val="000000" w:themeColor="text1"/>
          <w:sz w:val="20"/>
        </w:rPr>
        <w:t>5. Chính phủ quy định chi tiết Điều này.</w:t>
      </w:r>
    </w:p>
    <w:p w14:paraId="0CA2A3A6"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05129244" w14:textId="77777777" w:rsidR="00875C9A" w:rsidRPr="00EB01FF" w:rsidRDefault="00000000" w:rsidP="00EB01FF">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Chương IV</w:t>
      </w:r>
    </w:p>
    <w:p w14:paraId="3481DDFF" w14:textId="6E104E63" w:rsidR="00875C9A" w:rsidRPr="00EB01FF" w:rsidRDefault="00000000" w:rsidP="00EB01FF">
      <w:pPr>
        <w:adjustRightInd w:val="0"/>
        <w:snapToGrid w:val="0"/>
        <w:spacing w:after="0" w:line="240" w:lineRule="auto"/>
        <w:jc w:val="center"/>
        <w:rPr>
          <w:rFonts w:ascii="Arial" w:hAnsi="Arial"/>
          <w:b/>
          <w:color w:val="000000" w:themeColor="text1"/>
          <w:sz w:val="20"/>
        </w:rPr>
      </w:pPr>
      <w:r w:rsidRPr="00EB01FF">
        <w:rPr>
          <w:rFonts w:ascii="Arial" w:hAnsi="Arial"/>
          <w:b/>
          <w:color w:val="000000" w:themeColor="text1"/>
          <w:sz w:val="20"/>
        </w:rPr>
        <w:t>ĐIỀU KHOẢN THI HÀNH</w:t>
      </w:r>
      <w:r w:rsidR="00CB7E75" w:rsidRPr="00CB7E75">
        <w:rPr>
          <w:rFonts w:ascii="Arial" w:hAnsi="Arial"/>
          <w:bCs/>
          <w:color w:val="000000" w:themeColor="text1"/>
          <w:sz w:val="20"/>
          <w:vertAlign w:val="superscript"/>
        </w:rPr>
        <w:t>3</w:t>
      </w:r>
    </w:p>
    <w:p w14:paraId="25EFE4CD"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p w14:paraId="752E4850"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b/>
          <w:color w:val="000000" w:themeColor="text1"/>
          <w:sz w:val="20"/>
        </w:rPr>
        <w:lastRenderedPageBreak/>
        <w:t>Điều 29. Hiệu lực thi hành</w:t>
      </w:r>
    </w:p>
    <w:p w14:paraId="0B992C9C"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1. Luật này có hiệu lực thi hành từ ngày 01 tháng 7 năm 2026, trừ trường hợp quy định tại khoản 2 Điều này.</w:t>
      </w:r>
    </w:p>
    <w:p w14:paraId="0E5126C8"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2. Các quy định liên quan đến thu nhập từ kinh doanh, từ tiền lương, tiền công của cá nhân cư trú áp dụng từ kỳ tính thuế năm 2026.</w:t>
      </w:r>
    </w:p>
    <w:p w14:paraId="4DD133B1" w14:textId="6F8C5C28"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rPr>
        <w:t>3. Luật Thuế thu nhập cá nhân số 04/2007/QH12 đã được sửa đổi, bổ sung một số điều theo Luật số 26/2012/QH13, Luật số 71/2014/QH13, Luật số 31/2024/QH15, Luật số 43/2024/QH15, Luật số 48/2024/QH15, Luật số 56/2025/QH15, Luật số 71/2025/QH15 và Luật số 93/2025/QH15 hết hiệu lực kể từ ngày Luật này có hiệu lực thi hành; riêng các quy định liên quan đến thu nhập từ</w:t>
      </w:r>
      <w:r w:rsidR="00EB01FF" w:rsidRPr="00EB01FF">
        <w:rPr>
          <w:rFonts w:ascii="Arial" w:hAnsi="Arial"/>
          <w:color w:val="000000" w:themeColor="text1"/>
          <w:sz w:val="20"/>
        </w:rPr>
        <w:t xml:space="preserve"> </w:t>
      </w:r>
      <w:r w:rsidRPr="00EB01FF">
        <w:rPr>
          <w:rFonts w:ascii="Arial" w:hAnsi="Arial"/>
          <w:color w:val="000000" w:themeColor="text1"/>
          <w:sz w:val="20"/>
        </w:rPr>
        <w:t>kinh doanh, từ tiền lương, tiền công của cá nhân cư trú hết hiệu lực thi hành từ kỳ tính thuế năm 2026.</w:t>
      </w:r>
    </w:p>
    <w:p w14:paraId="6DB8D993" w14:textId="77777777" w:rsidR="00875C9A" w:rsidRDefault="00000000" w:rsidP="00EB01FF">
      <w:pPr>
        <w:spacing w:after="0" w:line="240" w:lineRule="auto"/>
        <w:ind w:firstLine="720"/>
        <w:jc w:val="both"/>
        <w:rPr>
          <w:rFonts w:ascii="Arial" w:hAnsi="Arial"/>
          <w:color w:val="000000" w:themeColor="text1"/>
          <w:sz w:val="20"/>
        </w:rPr>
      </w:pPr>
      <w:r w:rsidRPr="00EB01FF">
        <w:rPr>
          <w:rFonts w:ascii="Arial" w:hAnsi="Arial"/>
          <w:color w:val="000000" w:themeColor="text1"/>
          <w:sz w:val="20"/>
        </w:rPr>
        <w:t>4. Trường hợp có quy định khác nhau về ưu đãi thuế giữa Luật này với Luật Thủ đô, nghị quyết của Quốc hội và giải pháp quy định tại điểm h khoản 8 Điều 10 của Luật Tổ chức Chính phủ thì áp dụng theo quy định của Luật Thủ đô, nghị quyết của Quốc hội và giải pháp quy định tại điểm h khoản 8 Điều 10 của Luật Tổ chức Chính phủ. Trường hợp quy định tại Luật này ưu đãi hơn thì người nộp thuế được lựa chọn áp dụng mức ưu đãi có lợi nhất.</w:t>
      </w:r>
    </w:p>
    <w:p w14:paraId="39F01B0B" w14:textId="24E1498F" w:rsidR="00CB7E75" w:rsidRPr="00EB01FF" w:rsidRDefault="00CB7E75" w:rsidP="00CB7E75">
      <w:pPr>
        <w:spacing w:after="0" w:line="240" w:lineRule="auto"/>
        <w:jc w:val="center"/>
        <w:rPr>
          <w:rFonts w:ascii="Arial" w:hAnsi="Arial"/>
          <w:color w:val="000000" w:themeColor="text1"/>
          <w:sz w:val="20"/>
        </w:rPr>
      </w:pPr>
      <w:r>
        <w:rPr>
          <w:rFonts w:ascii="Arial" w:hAnsi="Arial"/>
          <w:color w:val="000000" w:themeColor="text1"/>
          <w:sz w:val="20"/>
        </w:rPr>
        <w:t>_________________________________________________________________________________</w:t>
      </w:r>
    </w:p>
    <w:p w14:paraId="1C6D79D7" w14:textId="77777777" w:rsidR="00EB01FF" w:rsidRPr="00EB01FF" w:rsidRDefault="00EB01FF" w:rsidP="00EB01FF">
      <w:pPr>
        <w:adjustRightInd w:val="0"/>
        <w:snapToGrid w:val="0"/>
        <w:spacing w:after="0" w:line="240" w:lineRule="auto"/>
        <w:jc w:val="center"/>
        <w:rPr>
          <w:rFonts w:ascii="Arial" w:hAnsi="Arial"/>
          <w:color w:val="000000" w:themeColor="text1"/>
          <w:sz w:val="20"/>
        </w:rPr>
      </w:pPr>
    </w:p>
    <w:tbl>
      <w:tblPr>
        <w:tblW w:w="5000" w:type="pct"/>
        <w:tblCellMar>
          <w:left w:w="10" w:type="dxa"/>
          <w:right w:w="10" w:type="dxa"/>
        </w:tblCellMar>
        <w:tblLook w:val="07E0" w:firstRow="1" w:lastRow="1" w:firstColumn="1" w:lastColumn="1" w:noHBand="1" w:noVBand="1"/>
      </w:tblPr>
      <w:tblGrid>
        <w:gridCol w:w="4513"/>
        <w:gridCol w:w="4513"/>
      </w:tblGrid>
      <w:tr w:rsidR="00EB01FF" w:rsidRPr="00EB01FF" w14:paraId="4CBF6378" w14:textId="77777777" w:rsidTr="002B3434">
        <w:tc>
          <w:tcPr>
            <w:tcW w:w="2500" w:type="pct"/>
          </w:tcPr>
          <w:p w14:paraId="2EBABE01" w14:textId="32ED6BE9" w:rsidR="00875C9A" w:rsidRPr="00EB01FF" w:rsidRDefault="00000000" w:rsidP="00CB7E75">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VĂN PHÒNG QUỐC HỘI</w:t>
            </w:r>
            <w:r w:rsidR="00CB7E75">
              <w:rPr>
                <w:rFonts w:ascii="Arial" w:hAnsi="Arial"/>
                <w:b/>
                <w:color w:val="000000" w:themeColor="text1"/>
                <w:sz w:val="20"/>
              </w:rPr>
              <w:br/>
            </w:r>
            <w:r w:rsidR="00CB7E75" w:rsidRPr="00CB7E75">
              <w:rPr>
                <w:rFonts w:ascii="Arial" w:hAnsi="Arial"/>
                <w:bCs/>
                <w:color w:val="000000" w:themeColor="text1"/>
                <w:sz w:val="20"/>
                <w:vertAlign w:val="superscript"/>
              </w:rPr>
              <w:t>__________</w:t>
            </w:r>
            <w:r w:rsidR="00EB01FF" w:rsidRPr="00EB01FF">
              <w:rPr>
                <w:rFonts w:ascii="Arial" w:hAnsi="Arial"/>
                <w:color w:val="000000" w:themeColor="text1"/>
                <w:sz w:val="20"/>
              </w:rPr>
              <w:br/>
            </w:r>
            <w:r w:rsidRPr="00EB01FF">
              <w:rPr>
                <w:rFonts w:ascii="Arial" w:hAnsi="Arial"/>
                <w:color w:val="000000" w:themeColor="text1"/>
                <w:sz w:val="20"/>
              </w:rPr>
              <w:t>Số: 112/VBHN-VPQH</w:t>
            </w:r>
          </w:p>
        </w:tc>
        <w:tc>
          <w:tcPr>
            <w:tcW w:w="2500" w:type="pct"/>
          </w:tcPr>
          <w:p w14:paraId="2E56A331" w14:textId="292AFE0D" w:rsidR="00875C9A" w:rsidRPr="00EB01FF" w:rsidRDefault="00000000" w:rsidP="00CB7E75">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XÁC THỰC VĂN BẢN HỢP NHẤT</w:t>
            </w:r>
            <w:r w:rsidR="00CB7E75">
              <w:rPr>
                <w:rFonts w:ascii="Arial" w:hAnsi="Arial"/>
                <w:b/>
                <w:color w:val="000000" w:themeColor="text1"/>
                <w:sz w:val="20"/>
              </w:rPr>
              <w:br/>
            </w:r>
            <w:r w:rsidR="00EB01FF" w:rsidRPr="00EB01FF">
              <w:rPr>
                <w:rFonts w:ascii="Arial" w:hAnsi="Arial"/>
                <w:color w:val="000000" w:themeColor="text1"/>
                <w:sz w:val="20"/>
              </w:rPr>
              <w:br/>
            </w:r>
            <w:r w:rsidRPr="00EB01FF">
              <w:rPr>
                <w:rFonts w:ascii="Arial" w:hAnsi="Arial"/>
                <w:i/>
                <w:color w:val="000000" w:themeColor="text1"/>
                <w:sz w:val="20"/>
              </w:rPr>
              <w:t>Hà Nội, ngày 20 tháng 5 năm 2026</w:t>
            </w:r>
            <w:r w:rsidR="00CB7E75">
              <w:rPr>
                <w:rFonts w:ascii="Arial" w:hAnsi="Arial"/>
                <w:i/>
                <w:color w:val="000000" w:themeColor="text1"/>
                <w:sz w:val="20"/>
              </w:rPr>
              <w:br/>
            </w:r>
          </w:p>
        </w:tc>
      </w:tr>
      <w:tr w:rsidR="00EB01FF" w:rsidRPr="00EB01FF" w14:paraId="689D2B29" w14:textId="77777777" w:rsidTr="002B3434">
        <w:tc>
          <w:tcPr>
            <w:tcW w:w="2500" w:type="pct"/>
          </w:tcPr>
          <w:p w14:paraId="7E6EFF5D" w14:textId="139F82A7" w:rsidR="00875C9A" w:rsidRPr="00EB01FF" w:rsidRDefault="00000000" w:rsidP="00EB01FF">
            <w:pPr>
              <w:adjustRightInd w:val="0"/>
              <w:snapToGrid w:val="0"/>
              <w:spacing w:after="0" w:line="240" w:lineRule="auto"/>
              <w:rPr>
                <w:rFonts w:ascii="Arial" w:hAnsi="Arial"/>
                <w:color w:val="000000" w:themeColor="text1"/>
                <w:sz w:val="20"/>
              </w:rPr>
            </w:pPr>
            <w:r w:rsidRPr="00EB01FF">
              <w:rPr>
                <w:rFonts w:ascii="Arial" w:hAnsi="Arial"/>
                <w:b/>
                <w:i/>
                <w:color w:val="000000" w:themeColor="text1"/>
                <w:sz w:val="20"/>
              </w:rPr>
              <w:t>Nơi nhận:</w:t>
            </w:r>
            <w:r w:rsidR="00EB01FF" w:rsidRPr="00EB01FF">
              <w:rPr>
                <w:rFonts w:ascii="Arial" w:hAnsi="Arial"/>
                <w:color w:val="000000" w:themeColor="text1"/>
                <w:sz w:val="20"/>
              </w:rPr>
              <w:br/>
            </w:r>
            <w:r w:rsidRPr="00EB01FF">
              <w:rPr>
                <w:rFonts w:ascii="Arial" w:hAnsi="Arial"/>
                <w:color w:val="000000" w:themeColor="text1"/>
                <w:sz w:val="20"/>
              </w:rPr>
              <w:t>- Văn phòng Chính phủ (để đăng Công báo);</w:t>
            </w:r>
            <w:r w:rsidR="00EB01FF" w:rsidRPr="00EB01FF">
              <w:rPr>
                <w:rFonts w:ascii="Arial" w:hAnsi="Arial"/>
                <w:color w:val="000000" w:themeColor="text1"/>
                <w:sz w:val="20"/>
              </w:rPr>
              <w:br/>
            </w:r>
            <w:r w:rsidRPr="00EB01FF">
              <w:rPr>
                <w:rFonts w:ascii="Arial" w:hAnsi="Arial"/>
                <w:color w:val="000000" w:themeColor="text1"/>
                <w:sz w:val="20"/>
              </w:rPr>
              <w:t>- Cục KTVB và TCTHPL, Bộ Tư pháp (để đăng trên CSDL Quốc gia về PL);</w:t>
            </w:r>
            <w:r w:rsidR="00EB01FF" w:rsidRPr="00EB01FF">
              <w:rPr>
                <w:rFonts w:ascii="Arial" w:hAnsi="Arial"/>
                <w:color w:val="000000" w:themeColor="text1"/>
                <w:sz w:val="20"/>
              </w:rPr>
              <w:br/>
            </w:r>
            <w:r w:rsidRPr="00EB01FF">
              <w:rPr>
                <w:rFonts w:ascii="Arial" w:hAnsi="Arial"/>
                <w:color w:val="000000" w:themeColor="text1"/>
                <w:sz w:val="20"/>
              </w:rPr>
              <w:t xml:space="preserve">- Cục Quản trị, VPQH (để đăng trên </w:t>
            </w:r>
            <w:r w:rsidR="007A2688">
              <w:rPr>
                <w:rFonts w:ascii="Arial" w:hAnsi="Arial"/>
                <w:color w:val="000000" w:themeColor="text1"/>
                <w:sz w:val="20"/>
              </w:rPr>
              <w:t>C</w:t>
            </w:r>
            <w:r w:rsidRPr="00EB01FF">
              <w:rPr>
                <w:rFonts w:ascii="Arial" w:hAnsi="Arial"/>
                <w:color w:val="000000" w:themeColor="text1"/>
                <w:sz w:val="20"/>
              </w:rPr>
              <w:t>ổng thông tin điện tử của Quốc hội);</w:t>
            </w:r>
            <w:r w:rsidR="00EB01FF" w:rsidRPr="00EB01FF">
              <w:rPr>
                <w:rFonts w:ascii="Arial" w:hAnsi="Arial"/>
                <w:color w:val="000000" w:themeColor="text1"/>
                <w:sz w:val="20"/>
              </w:rPr>
              <w:br/>
            </w:r>
            <w:r w:rsidRPr="00EB01FF">
              <w:rPr>
                <w:rFonts w:ascii="Arial" w:hAnsi="Arial"/>
                <w:color w:val="000000" w:themeColor="text1"/>
                <w:sz w:val="20"/>
              </w:rPr>
              <w:t>- Vụ Chuyển đổi số, VPQH (để đăng trên trang thông tin nội bộ Intranet);</w:t>
            </w:r>
            <w:r w:rsidR="00EB01FF" w:rsidRPr="00EB01FF">
              <w:rPr>
                <w:rFonts w:ascii="Arial" w:hAnsi="Arial"/>
                <w:color w:val="000000" w:themeColor="text1"/>
                <w:sz w:val="20"/>
              </w:rPr>
              <w:br/>
            </w:r>
            <w:r w:rsidRPr="00EB01FF">
              <w:rPr>
                <w:rFonts w:ascii="Arial" w:hAnsi="Arial"/>
                <w:color w:val="000000" w:themeColor="text1"/>
                <w:sz w:val="20"/>
              </w:rPr>
              <w:t>- Lưu: HC, TH.</w:t>
            </w:r>
          </w:p>
        </w:tc>
        <w:tc>
          <w:tcPr>
            <w:tcW w:w="2500" w:type="pct"/>
          </w:tcPr>
          <w:p w14:paraId="03477D43" w14:textId="3F3369F8" w:rsidR="00875C9A" w:rsidRPr="00EB01FF" w:rsidRDefault="00000000" w:rsidP="00EB01FF">
            <w:pPr>
              <w:adjustRightInd w:val="0"/>
              <w:snapToGrid w:val="0"/>
              <w:spacing w:after="0" w:line="240" w:lineRule="auto"/>
              <w:jc w:val="center"/>
              <w:rPr>
                <w:rFonts w:ascii="Arial" w:hAnsi="Arial"/>
                <w:color w:val="000000" w:themeColor="text1"/>
                <w:sz w:val="20"/>
              </w:rPr>
            </w:pPr>
            <w:r w:rsidRPr="00EB01FF">
              <w:rPr>
                <w:rFonts w:ascii="Arial" w:hAnsi="Arial"/>
                <w:b/>
                <w:color w:val="000000" w:themeColor="text1"/>
                <w:sz w:val="20"/>
              </w:rPr>
              <w:t>CHỦ NHIỆM</w:t>
            </w:r>
            <w:r w:rsidRPr="00EB01FF">
              <w:rPr>
                <w:rFonts w:ascii="Arial" w:hAnsi="Arial"/>
                <w:color w:val="000000" w:themeColor="text1"/>
                <w:sz w:val="20"/>
              </w:rPr>
              <w:br/>
            </w:r>
            <w:r w:rsidRPr="00EB01FF">
              <w:rPr>
                <w:rFonts w:ascii="Arial" w:hAnsi="Arial"/>
                <w:color w:val="000000" w:themeColor="text1"/>
                <w:sz w:val="20"/>
              </w:rPr>
              <w:br/>
            </w:r>
            <w:r w:rsidRPr="00EB01FF">
              <w:rPr>
                <w:rFonts w:ascii="Arial" w:hAnsi="Arial"/>
                <w:color w:val="000000" w:themeColor="text1"/>
                <w:sz w:val="20"/>
              </w:rPr>
              <w:br/>
            </w:r>
            <w:r w:rsidRPr="00EB01FF">
              <w:rPr>
                <w:rFonts w:ascii="Arial" w:hAnsi="Arial"/>
                <w:color w:val="000000" w:themeColor="text1"/>
                <w:sz w:val="20"/>
              </w:rPr>
              <w:br/>
            </w:r>
            <w:r w:rsidRPr="00EB01FF">
              <w:rPr>
                <w:rFonts w:ascii="Arial" w:hAnsi="Arial"/>
                <w:color w:val="000000" w:themeColor="text1"/>
                <w:sz w:val="20"/>
              </w:rPr>
              <w:br/>
            </w:r>
            <w:r w:rsidRPr="00EB01FF">
              <w:rPr>
                <w:rFonts w:ascii="Arial" w:hAnsi="Arial"/>
                <w:color w:val="000000" w:themeColor="text1"/>
                <w:sz w:val="20"/>
              </w:rPr>
              <w:br/>
            </w:r>
            <w:r w:rsidR="00EB01FF">
              <w:rPr>
                <w:rFonts w:ascii="Arial" w:hAnsi="Arial"/>
                <w:b/>
                <w:color w:val="000000" w:themeColor="text1"/>
                <w:sz w:val="20"/>
              </w:rPr>
              <w:br/>
            </w:r>
            <w:r w:rsidR="00EB01FF">
              <w:rPr>
                <w:rFonts w:ascii="Arial" w:hAnsi="Arial"/>
                <w:b/>
                <w:color w:val="000000" w:themeColor="text1"/>
                <w:sz w:val="20"/>
              </w:rPr>
              <w:br/>
            </w:r>
            <w:r w:rsidRPr="00EB01FF">
              <w:rPr>
                <w:rFonts w:ascii="Arial" w:hAnsi="Arial"/>
                <w:b/>
                <w:color w:val="000000" w:themeColor="text1"/>
                <w:sz w:val="20"/>
              </w:rPr>
              <w:t>Lê Quang Mạnh</w:t>
            </w:r>
          </w:p>
        </w:tc>
      </w:tr>
    </w:tbl>
    <w:p w14:paraId="5DF1146B" w14:textId="77777777" w:rsidR="00EB01FF" w:rsidRPr="00EB01FF" w:rsidRDefault="00EB01FF" w:rsidP="00EB01FF">
      <w:pPr>
        <w:spacing w:after="120" w:line="240" w:lineRule="auto"/>
        <w:ind w:firstLine="720"/>
        <w:jc w:val="both"/>
        <w:rPr>
          <w:rFonts w:ascii="Arial" w:hAnsi="Arial"/>
          <w:color w:val="000000" w:themeColor="text1"/>
          <w:sz w:val="20"/>
          <w:vertAlign w:val="superscript"/>
        </w:rPr>
      </w:pPr>
    </w:p>
    <w:p w14:paraId="6841C5A8" w14:textId="77777777" w:rsidR="00EB01FF" w:rsidRPr="00EB01FF" w:rsidRDefault="00EB01FF" w:rsidP="00EB01FF">
      <w:pPr>
        <w:spacing w:after="120" w:line="240" w:lineRule="auto"/>
        <w:ind w:firstLine="720"/>
        <w:jc w:val="both"/>
        <w:rPr>
          <w:rFonts w:ascii="Arial" w:hAnsi="Arial"/>
          <w:color w:val="000000" w:themeColor="text1"/>
          <w:sz w:val="20"/>
          <w:vertAlign w:val="superscript"/>
        </w:rPr>
      </w:pPr>
    </w:p>
    <w:p w14:paraId="07077D5D" w14:textId="7A7BEEE5" w:rsidR="00EB01FF" w:rsidRPr="00EB01FF" w:rsidRDefault="00EB01FF" w:rsidP="00EB01FF">
      <w:pPr>
        <w:spacing w:after="120" w:line="240" w:lineRule="auto"/>
        <w:ind w:firstLine="720"/>
        <w:jc w:val="both"/>
        <w:rPr>
          <w:rFonts w:ascii="Arial" w:hAnsi="Arial"/>
          <w:color w:val="000000" w:themeColor="text1"/>
          <w:sz w:val="20"/>
          <w:vertAlign w:val="superscript"/>
        </w:rPr>
      </w:pPr>
      <w:r w:rsidRPr="00EB01FF">
        <w:rPr>
          <w:rFonts w:ascii="Arial" w:hAnsi="Arial"/>
          <w:color w:val="000000" w:themeColor="text1"/>
          <w:sz w:val="20"/>
          <w:vertAlign w:val="superscript"/>
        </w:rPr>
        <w:t>___________________________</w:t>
      </w:r>
    </w:p>
    <w:p w14:paraId="708DAA19" w14:textId="3E48B9AA"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vertAlign w:val="superscript"/>
        </w:rPr>
        <w:t>1</w:t>
      </w:r>
      <w:r w:rsidRPr="00EB01FF">
        <w:rPr>
          <w:rFonts w:ascii="Arial" w:hAnsi="Arial"/>
          <w:color w:val="000000" w:themeColor="text1"/>
          <w:sz w:val="20"/>
        </w:rPr>
        <w:t xml:space="preserve"> Luật số 09/2026/QH16 sửa đổi, bổ sung một số điều của Luật Thuế thu nhập cá nhân, Luật Thuế giá trị gia tăng, Luật Thuế thu nhập doanh nghiệp và Luật Thuế tiêu thụ đặc biệt có căn cứ ban hành như sau:</w:t>
      </w:r>
    </w:p>
    <w:p w14:paraId="05C368A3" w14:textId="5A3771F9" w:rsidR="00875C9A" w:rsidRPr="00EB01FF" w:rsidRDefault="00DE18FB" w:rsidP="00EB01FF">
      <w:pPr>
        <w:spacing w:after="120" w:line="240" w:lineRule="auto"/>
        <w:ind w:firstLine="720"/>
        <w:jc w:val="both"/>
        <w:rPr>
          <w:rFonts w:ascii="Arial" w:hAnsi="Arial"/>
          <w:color w:val="000000" w:themeColor="text1"/>
          <w:sz w:val="20"/>
        </w:rPr>
      </w:pPr>
      <w:r>
        <w:rPr>
          <w:rFonts w:ascii="Arial" w:hAnsi="Arial"/>
          <w:i/>
          <w:color w:val="000000" w:themeColor="text1"/>
          <w:sz w:val="20"/>
        </w:rPr>
        <w:t>“</w:t>
      </w:r>
      <w:r w:rsidRPr="00EB01FF">
        <w:rPr>
          <w:rFonts w:ascii="Arial" w:hAnsi="Arial"/>
          <w:i/>
          <w:color w:val="000000" w:themeColor="text1"/>
          <w:sz w:val="20"/>
        </w:rPr>
        <w:t>Căn cứ hiến pháp nước Cộng hoà xã hội chủ nghĩa Việt Nam đã được sửa đổi, bổ sung một số điều theo Nghị quyết số 203/2025/QH15:</w:t>
      </w:r>
    </w:p>
    <w:p w14:paraId="3491E9E4" w14:textId="4C6E36C0"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i/>
          <w:color w:val="000000" w:themeColor="text1"/>
          <w:sz w:val="20"/>
        </w:rPr>
        <w:t>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 thụ đặc biệt số 66/2025/QH15.</w:t>
      </w:r>
      <w:r w:rsidR="00DE18FB">
        <w:rPr>
          <w:rFonts w:ascii="Arial" w:hAnsi="Arial"/>
          <w:i/>
          <w:color w:val="000000" w:themeColor="text1"/>
          <w:sz w:val="20"/>
        </w:rPr>
        <w:t>”</w:t>
      </w:r>
      <w:r w:rsidRPr="00EB01FF">
        <w:rPr>
          <w:rFonts w:ascii="Arial" w:hAnsi="Arial"/>
          <w:i/>
          <w:color w:val="000000" w:themeColor="text1"/>
          <w:sz w:val="20"/>
        </w:rPr>
        <w:t>.</w:t>
      </w:r>
    </w:p>
    <w:p w14:paraId="5CC69DE7"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vertAlign w:val="superscript"/>
        </w:rPr>
        <w:t>2</w:t>
      </w:r>
      <w:r w:rsidRPr="00EB01FF">
        <w:rPr>
          <w:rFonts w:ascii="Arial" w:hAnsi="Arial"/>
          <w:color w:val="000000" w:themeColor="text1"/>
          <w:sz w:val="20"/>
        </w:rPr>
        <w:t xml:space="preserve"> Khoản này được sửa đổi, bổ sung theo quy định tại Điều 1 của Luật số 09/2026/QH16 sửa đổi, bổ sung một số điều của Luật Thuế thu nhập cá nhân, Luật Thuế giá trị gia tăng, Luật Thuế thu nhập doanh nghiệp và Luật Thuế tiêu thụ đặc biệt, có hiệu lực kể từ ngày 01 tháng 01 năm 2026.</w:t>
      </w:r>
    </w:p>
    <w:p w14:paraId="4AA48B19"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color w:val="000000" w:themeColor="text1"/>
          <w:sz w:val="20"/>
          <w:vertAlign w:val="superscript"/>
        </w:rPr>
        <w:t>3</w:t>
      </w:r>
      <w:r w:rsidRPr="00EB01FF">
        <w:rPr>
          <w:rFonts w:ascii="Arial" w:hAnsi="Arial"/>
          <w:color w:val="000000" w:themeColor="text1"/>
          <w:sz w:val="20"/>
        </w:rPr>
        <w:t xml:space="preserve"> Điều 5 của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 quy định như sau:</w:t>
      </w:r>
    </w:p>
    <w:p w14:paraId="2579124E" w14:textId="50EF4DAA" w:rsidR="00875C9A" w:rsidRPr="00EB01FF" w:rsidRDefault="00DE18FB" w:rsidP="00EB01FF">
      <w:pPr>
        <w:spacing w:after="120" w:line="240" w:lineRule="auto"/>
        <w:ind w:firstLine="720"/>
        <w:jc w:val="both"/>
        <w:rPr>
          <w:rFonts w:ascii="Arial" w:hAnsi="Arial"/>
          <w:color w:val="000000" w:themeColor="text1"/>
          <w:sz w:val="20"/>
        </w:rPr>
      </w:pPr>
      <w:r>
        <w:rPr>
          <w:rFonts w:ascii="Arial" w:hAnsi="Arial"/>
          <w:b/>
          <w:i/>
          <w:color w:val="000000" w:themeColor="text1"/>
          <w:sz w:val="20"/>
        </w:rPr>
        <w:t>“</w:t>
      </w:r>
      <w:r w:rsidRPr="00EB01FF">
        <w:rPr>
          <w:rFonts w:ascii="Arial" w:hAnsi="Arial"/>
          <w:b/>
          <w:i/>
          <w:color w:val="000000" w:themeColor="text1"/>
          <w:sz w:val="20"/>
        </w:rPr>
        <w:t>Điều 5. Hiệu lực thi hành</w:t>
      </w:r>
    </w:p>
    <w:p w14:paraId="30BFF41B" w14:textId="77777777" w:rsidR="00875C9A" w:rsidRPr="00EB01FF" w:rsidRDefault="00000000" w:rsidP="00EB01FF">
      <w:pPr>
        <w:spacing w:after="120" w:line="240" w:lineRule="auto"/>
        <w:ind w:firstLine="720"/>
        <w:jc w:val="both"/>
        <w:rPr>
          <w:rFonts w:ascii="Arial" w:hAnsi="Arial"/>
          <w:color w:val="000000" w:themeColor="text1"/>
          <w:sz w:val="20"/>
        </w:rPr>
      </w:pPr>
      <w:r w:rsidRPr="00EB01FF">
        <w:rPr>
          <w:rFonts w:ascii="Arial" w:hAnsi="Arial"/>
          <w:i/>
          <w:color w:val="000000" w:themeColor="text1"/>
          <w:sz w:val="20"/>
        </w:rPr>
        <w:t>1. Luật này có hiệu lực thi hành từ ngày được thông qua, trừ quy định tại khoản 2 Điều này.</w:t>
      </w:r>
    </w:p>
    <w:p w14:paraId="4F048B5F" w14:textId="52FEBCAD" w:rsidR="00875C9A" w:rsidRDefault="00000000" w:rsidP="00EB01FF">
      <w:pPr>
        <w:spacing w:after="120" w:line="240" w:lineRule="auto"/>
        <w:ind w:firstLine="720"/>
        <w:jc w:val="both"/>
        <w:rPr>
          <w:rFonts w:ascii="Arial" w:hAnsi="Arial"/>
          <w:i/>
          <w:color w:val="000000" w:themeColor="text1"/>
          <w:sz w:val="20"/>
        </w:rPr>
      </w:pPr>
      <w:r w:rsidRPr="00EB01FF">
        <w:rPr>
          <w:rFonts w:ascii="Arial" w:hAnsi="Arial"/>
          <w:i/>
          <w:color w:val="000000" w:themeColor="text1"/>
          <w:sz w:val="20"/>
        </w:rPr>
        <w:lastRenderedPageBreak/>
        <w:t>2. Quy định tại các điều 1, 2 và 3 của Luật này có hiệu lực thi hành từ ngày 01 tháng 01 năm 2026.</w:t>
      </w:r>
      <w:r w:rsidR="00DE18FB">
        <w:rPr>
          <w:rFonts w:ascii="Arial" w:hAnsi="Arial"/>
          <w:i/>
          <w:color w:val="000000" w:themeColor="text1"/>
          <w:sz w:val="20"/>
        </w:rPr>
        <w:t>”</w:t>
      </w:r>
    </w:p>
    <w:p w14:paraId="332BFA55" w14:textId="77777777" w:rsidR="00CB7E75" w:rsidRPr="00EB01FF" w:rsidRDefault="00CB7E75" w:rsidP="00EB01FF">
      <w:pPr>
        <w:spacing w:after="120" w:line="240" w:lineRule="auto"/>
        <w:ind w:firstLine="720"/>
        <w:jc w:val="both"/>
        <w:rPr>
          <w:rFonts w:ascii="Arial" w:hAnsi="Arial"/>
          <w:color w:val="000000" w:themeColor="text1"/>
          <w:sz w:val="20"/>
        </w:rPr>
      </w:pPr>
    </w:p>
    <w:sectPr w:rsidR="00CB7E75" w:rsidRPr="00EB01FF" w:rsidSect="00EB01FF">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35193" w14:textId="77777777" w:rsidR="00AF248A" w:rsidRDefault="00AF248A">
      <w:pPr>
        <w:spacing w:after="0" w:line="240" w:lineRule="auto"/>
      </w:pPr>
      <w:r>
        <w:separator/>
      </w:r>
    </w:p>
  </w:endnote>
  <w:endnote w:type="continuationSeparator" w:id="0">
    <w:p w14:paraId="6EC8926F" w14:textId="77777777" w:rsidR="00AF248A" w:rsidRDefault="00AF2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406A" w14:textId="406A23F5" w:rsidR="004A5097" w:rsidRDefault="004A5097">
    <w:pPr>
      <w:pStyle w:val="Footer"/>
    </w:pPr>
    <w:r>
      <w:rPr>
        <w:noProof/>
      </w:rPr>
      <w:drawing>
        <wp:inline distT="0" distB="0" distL="0" distR="0" wp14:anchorId="42F23C27" wp14:editId="61FA8F50">
          <wp:extent cx="5723809" cy="580952"/>
          <wp:effectExtent l="0" t="0" r="0" b="0"/>
          <wp:docPr id="70103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1825"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F825" w14:textId="77777777" w:rsidR="00AF248A" w:rsidRDefault="00AF248A">
      <w:pPr>
        <w:spacing w:after="0" w:line="240" w:lineRule="auto"/>
      </w:pPr>
      <w:r>
        <w:separator/>
      </w:r>
    </w:p>
  </w:footnote>
  <w:footnote w:type="continuationSeparator" w:id="0">
    <w:p w14:paraId="0144F68E" w14:textId="77777777" w:rsidR="00AF248A" w:rsidRDefault="00AF24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9A"/>
    <w:rsid w:val="001556EC"/>
    <w:rsid w:val="001745A4"/>
    <w:rsid w:val="001B6A45"/>
    <w:rsid w:val="002B3434"/>
    <w:rsid w:val="003B79D1"/>
    <w:rsid w:val="003C24C9"/>
    <w:rsid w:val="004A5097"/>
    <w:rsid w:val="004C28E7"/>
    <w:rsid w:val="006569E1"/>
    <w:rsid w:val="006C3304"/>
    <w:rsid w:val="007A2688"/>
    <w:rsid w:val="00875C9A"/>
    <w:rsid w:val="009F6E81"/>
    <w:rsid w:val="00AB1DF0"/>
    <w:rsid w:val="00AD100A"/>
    <w:rsid w:val="00AF248A"/>
    <w:rsid w:val="00CB7E75"/>
    <w:rsid w:val="00CF0A4E"/>
    <w:rsid w:val="00DE18FB"/>
    <w:rsid w:val="00EB01FF"/>
    <w:rsid w:val="00FE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F63BE"/>
  <w15:docId w15:val="{A67DFC8C-FC17-47A0-B298-C8B55F91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0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1FF"/>
  </w:style>
  <w:style w:type="paragraph" w:styleId="Footer">
    <w:name w:val="footer"/>
    <w:basedOn w:val="Normal"/>
    <w:link w:val="FooterChar"/>
    <w:uiPriority w:val="99"/>
    <w:unhideWhenUsed/>
    <w:rsid w:val="00EB0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4767</Words>
  <Characters>27175</Characters>
  <Application>Microsoft Office Word</Application>
  <DocSecurity>0</DocSecurity>
  <Lines>226</Lines>
  <Paragraphs>63</Paragraphs>
  <ScaleCrop>false</ScaleCrop>
  <Company/>
  <LinksUpToDate>false</LinksUpToDate>
  <CharactersWithSpaces>31879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2026-05-26T07:26:00Z</dcterms:created>
  <dcterms:modified xsi:type="dcterms:W3CDTF">2026-05-26T07:46:00Z</dcterms:modified>
</cp:coreProperties>
</file>