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KIỂM TOÁN NHÀ NƯỚC</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08/2026/TT-KTNN</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15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BÃI BỎ TOÀN BỘ HAI VĂN BẢN QUY PHẠM PHÁP LUẬT DO TỔNG KIỂM TOÁN NHÀ NƯỚC BAN HÀNH</w:t>
      </w:r>
      <w:bookmarkEnd w:id="1"/>
    </w:p>
    <w:p>
      <w:pPr>
        <w:bidi w:val="0"/>
        <w:spacing w:before="120" w:beforeAutospacing="0" w:after="280" w:afterAutospacing="1"/>
      </w:pPr>
      <w:r>
        <w:rPr>
          <w:i/>
          <w:iCs/>
          <w:rtl w:val="0"/>
        </w:rPr>
        <w:t xml:space="preserve">Căn cứ </w:t>
      </w:r>
      <w:bookmarkStart w:id="2" w:name="tvpllink_btpildzobg"/>
      <w:r>
        <w:rPr>
          <w:i/>
          <w:iCs/>
          <w:rtl w:val="0"/>
        </w:rPr>
        <w:t>Luật Kiểm toán nhà nước số 81/2015/QH13</w:t>
      </w:r>
      <w:bookmarkEnd w:id="2"/>
      <w:r>
        <w:rPr>
          <w:i/>
          <w:iCs/>
          <w:rtl w:val="0"/>
        </w:rPr>
        <w:t xml:space="preserve"> được sửa đổi, bổ sung bởi Luật số </w:t>
      </w:r>
      <w:bookmarkStart w:id="3" w:name="tvpllink_sunuamybmx"/>
      <w:r>
        <w:rPr>
          <w:i/>
          <w:iCs/>
          <w:rtl w:val="0"/>
        </w:rPr>
        <w:t>55/2019/QH14</w:t>
      </w:r>
      <w:bookmarkEnd w:id="3"/>
      <w:r>
        <w:rPr>
          <w:i/>
          <w:iCs/>
          <w:rtl w:val="0"/>
        </w:rPr>
        <w:t>;</w:t>
      </w:r>
    </w:p>
    <w:p>
      <w:pPr>
        <w:bidi w:val="0"/>
        <w:spacing w:before="120" w:beforeAutospacing="0" w:after="280" w:afterAutospacing="1"/>
      </w:pPr>
      <w:r>
        <w:rPr>
          <w:i/>
          <w:iCs/>
          <w:rtl w:val="0"/>
        </w:rPr>
        <w:t xml:space="preserve">Căn cứ </w:t>
      </w:r>
      <w:bookmarkStart w:id="4" w:name="tvpllink_wmctndtokn"/>
      <w:r>
        <w:rPr>
          <w:i/>
          <w:iCs/>
          <w:rtl w:val="0"/>
        </w:rPr>
        <w:t>Luật Ban hành văn bản quy phạm pháp luật số 64/2025/QH15</w:t>
      </w:r>
      <w:bookmarkEnd w:id="4"/>
      <w:r>
        <w:rPr>
          <w:i/>
          <w:iCs/>
          <w:rtl w:val="0"/>
        </w:rPr>
        <w:t xml:space="preserve"> được sửa đổi, bổ sung bởi Luật số </w:t>
      </w:r>
      <w:bookmarkStart w:id="5" w:name="tvpllink_bpqnxsxopt"/>
      <w:r>
        <w:rPr>
          <w:i/>
          <w:iCs/>
          <w:rtl w:val="0"/>
        </w:rPr>
        <w:t>87/2025/QH15</w:t>
      </w:r>
      <w:bookmarkEnd w:id="5"/>
      <w:r>
        <w:rPr>
          <w:i/>
          <w:iCs/>
          <w:rtl w:val="0"/>
        </w:rPr>
        <w:t>;</w:t>
      </w:r>
    </w:p>
    <w:p>
      <w:pPr>
        <w:bidi w:val="0"/>
        <w:spacing w:before="120" w:beforeAutospacing="0" w:after="280" w:afterAutospacing="1"/>
      </w:pPr>
      <w:r>
        <w:rPr>
          <w:i/>
          <w:iCs/>
          <w:rtl w:val="0"/>
        </w:rPr>
        <w:t xml:space="preserve">Căn cứ Nghị định số </w:t>
      </w:r>
      <w:bookmarkStart w:id="6" w:name="tvpllink_qfilsybyzh"/>
      <w:r>
        <w:rPr>
          <w:i/>
          <w:iCs/>
          <w:rtl w:val="0"/>
        </w:rPr>
        <w:t>78/2025/NĐ-CP</w:t>
      </w:r>
      <w:bookmarkEnd w:id="6"/>
      <w:r>
        <w:rPr>
          <w:i/>
          <w:iCs/>
          <w:rtl w:val="0"/>
        </w:rPr>
        <w:t xml:space="preserve"> ngày 01 tháng 4 năm 2025 của Chính phủ quy định chi tiết một số điều và biện pháp để tổ chức, hướng dẫn thi hành </w:t>
      </w:r>
      <w:bookmarkStart w:id="7" w:name="tvpllink_wmctndtokn_1"/>
      <w:r>
        <w:rPr>
          <w:i/>
          <w:iCs/>
          <w:rtl w:val="0"/>
        </w:rPr>
        <w:t>Luật Ban hành văn bản quy phạm pháp luật</w:t>
      </w:r>
      <w:bookmarkEnd w:id="7"/>
      <w:r>
        <w:rPr>
          <w:i/>
          <w:iCs/>
          <w:rtl w:val="0"/>
        </w:rPr>
        <w:t xml:space="preserve"> được sửa đổi, bổ sung bởi Nghị định số </w:t>
      </w:r>
      <w:bookmarkStart w:id="8" w:name="tvpllink_ylujkvtwfh"/>
      <w:r>
        <w:rPr>
          <w:i/>
          <w:iCs/>
          <w:rtl w:val="0"/>
        </w:rPr>
        <w:t>187/2025/NĐ-CP</w:t>
      </w:r>
      <w:bookmarkEnd w:id="8"/>
      <w:r>
        <w:rPr>
          <w:i/>
          <w:iCs/>
          <w:rtl w:val="0"/>
        </w:rPr>
        <w:t>;</w:t>
      </w:r>
    </w:p>
    <w:p>
      <w:pPr>
        <w:bidi w:val="0"/>
        <w:spacing w:before="120" w:beforeAutospacing="0" w:after="280" w:afterAutospacing="1"/>
      </w:pPr>
      <w:r>
        <w:rPr>
          <w:i/>
          <w:iCs/>
          <w:rtl w:val="0"/>
        </w:rPr>
        <w:t>Theo đề nghị của Vụ trưởng Vụ Pháp chế;</w:t>
      </w:r>
    </w:p>
    <w:p>
      <w:pPr>
        <w:bidi w:val="0"/>
        <w:spacing w:before="120" w:beforeAutospacing="0" w:after="280" w:afterAutospacing="1"/>
      </w:pPr>
      <w:r>
        <w:rPr>
          <w:i/>
          <w:iCs/>
          <w:rtl w:val="0"/>
        </w:rPr>
        <w:t>Tổng Kiểm toán nhà nước ban hành Thông tư bãi bỏ toàn bộ hai văn bản quy phạm pháp luật do Tổng Kiểm toán nhà nước ban hành.</w:t>
      </w:r>
    </w:p>
    <w:p>
      <w:pPr>
        <w:bidi w:val="0"/>
        <w:spacing w:before="120" w:beforeAutospacing="0" w:after="280" w:afterAutospacing="1"/>
      </w:pPr>
      <w:bookmarkStart w:id="9" w:name="dieu_1"/>
      <w:r>
        <w:rPr>
          <w:b/>
          <w:bCs/>
          <w:rtl w:val="0"/>
        </w:rPr>
        <w:t>Điều 1. Bãi bỏ toàn bộ hai văn bản quy phạm pháp luật do Tổng Kiểm toán nhà nước ban hành</w:t>
      </w:r>
      <w:bookmarkEnd w:id="9"/>
    </w:p>
    <w:p>
      <w:pPr>
        <w:bidi w:val="0"/>
        <w:spacing w:before="120" w:beforeAutospacing="0" w:after="280" w:afterAutospacing="1"/>
      </w:pPr>
      <w:r>
        <w:rPr>
          <w:rtl w:val="0"/>
        </w:rPr>
        <w:t>Bãi bỏ toàn bộ hai văn bản quy phạm pháp luật do Tổng Kiểm toán nhà nước ban hành sau đây:</w:t>
      </w:r>
    </w:p>
    <w:p>
      <w:pPr>
        <w:bidi w:val="0"/>
        <w:spacing w:before="120" w:beforeAutospacing="0" w:after="280" w:afterAutospacing="1"/>
      </w:pPr>
      <w:r>
        <w:rPr>
          <w:rtl w:val="0"/>
        </w:rPr>
        <w:t xml:space="preserve">1. Quyết định số </w:t>
      </w:r>
      <w:bookmarkStart w:id="10" w:name="tvpllink_sunbveofez"/>
      <w:r>
        <w:rPr>
          <w:rtl w:val="0"/>
        </w:rPr>
        <w:t>01/2023/QĐ-KTNN</w:t>
      </w:r>
      <w:bookmarkEnd w:id="10"/>
      <w:r>
        <w:rPr>
          <w:rtl w:val="0"/>
        </w:rPr>
        <w:t xml:space="preserve"> ngày 10 tháng 01 năm 2023 của Tổng Kiểm toán nhà nước ban hành Hệ thống mẫu biểu hồ sơ kiểm toán.</w:t>
      </w:r>
    </w:p>
    <w:p>
      <w:pPr>
        <w:bidi w:val="0"/>
        <w:spacing w:before="120" w:beforeAutospacing="0" w:after="280" w:afterAutospacing="1"/>
      </w:pPr>
      <w:r>
        <w:rPr>
          <w:rtl w:val="0"/>
        </w:rPr>
        <w:t xml:space="preserve">2. Quyết định số </w:t>
      </w:r>
      <w:bookmarkStart w:id="11" w:name="tvpllink_bzgezrdpfj"/>
      <w:r>
        <w:rPr>
          <w:rtl w:val="0"/>
        </w:rPr>
        <w:t>09/2023/QĐ-KTNN</w:t>
      </w:r>
      <w:bookmarkEnd w:id="11"/>
      <w:r>
        <w:rPr>
          <w:rtl w:val="0"/>
        </w:rPr>
        <w:t xml:space="preserve"> ngày 02 tháng 6 năm 2023 của Tổng Kiểm toán nhà nước sửa đổi, bổ sung một số điều của một số văn bản quy phạm do Tổng Kiểm toán nhà nước ban hành.</w:t>
      </w:r>
    </w:p>
    <w:p>
      <w:pPr>
        <w:bidi w:val="0"/>
        <w:spacing w:before="120" w:beforeAutospacing="0" w:after="280" w:afterAutospacing="1"/>
      </w:pPr>
      <w:bookmarkStart w:id="12" w:name="dieu_2"/>
      <w:r>
        <w:rPr>
          <w:b/>
          <w:bCs/>
          <w:rtl w:val="0"/>
        </w:rPr>
        <w:t>Điều 2. Điều khoản thi hành</w:t>
      </w:r>
      <w:bookmarkEnd w:id="12"/>
    </w:p>
    <w:p>
      <w:pPr>
        <w:bidi w:val="0"/>
        <w:spacing w:before="120" w:beforeAutospacing="0" w:after="280" w:afterAutospacing="1"/>
      </w:pPr>
      <w:r>
        <w:rPr>
          <w:rtl w:val="0"/>
        </w:rPr>
        <w:t>1. Thông tư này có hiệu lực thi hành kể từ ngày 01 tháng 7 năm 2026.</w:t>
      </w:r>
    </w:p>
    <w:p>
      <w:pPr>
        <w:bidi w:val="0"/>
        <w:spacing w:before="120" w:beforeAutospacing="0" w:after="280" w:afterAutospacing="1"/>
      </w:pPr>
      <w:r>
        <w:rPr>
          <w:rtl w:val="0"/>
        </w:rPr>
        <w:t>2. Vụ trưởng Vụ Pháp chế, Thủ trưởng các đơn vị trực thuộc Kiểm toán nhà nước và các tổ chức,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Chủ tịch Quốc hội, các Phó Chủ tịch Quốc hội;</w:t>
            </w:r>
            <w:r>
              <w:rPr>
                <w:sz w:val="16"/>
                <w:rtl w:val="0"/>
              </w:rPr>
              <w:br/>
            </w:r>
            <w:r>
              <w:rPr>
                <w:sz w:val="16"/>
                <w:rtl w:val="0"/>
              </w:rPr>
              <w:t>- Chủ tịch nước, Phó Chủ tịch nước;</w:t>
            </w:r>
            <w:r>
              <w:rPr>
                <w:sz w:val="16"/>
                <w:rtl w:val="0"/>
              </w:rPr>
              <w:br/>
            </w:r>
            <w:r>
              <w:rPr>
                <w:sz w:val="16"/>
                <w:rtl w:val="0"/>
              </w:rPr>
              <w:t>- Thủ tướng, các Phó Thủ tướng Chính phủ;</w:t>
            </w:r>
            <w:r>
              <w:rPr>
                <w:sz w:val="16"/>
                <w:rtl w:val="0"/>
              </w:rPr>
              <w:br/>
            </w:r>
            <w:r>
              <w:rPr>
                <w:sz w:val="16"/>
                <w:rtl w:val="0"/>
              </w:rPr>
              <w:t>- Ủy ban Thường vụ Quốc hội;</w:t>
            </w:r>
            <w:r>
              <w:rPr>
                <w:sz w:val="16"/>
                <w:rtl w:val="0"/>
              </w:rPr>
              <w:br/>
            </w:r>
            <w:r>
              <w:rPr>
                <w:sz w:val="16"/>
                <w:rtl w:val="0"/>
              </w:rPr>
              <w:t>- Văn phòng Trung ương và các Ban của Đảng;</w:t>
            </w:r>
            <w:r>
              <w:rPr>
                <w:sz w:val="16"/>
                <w:rtl w:val="0"/>
              </w:rPr>
              <w:br/>
            </w:r>
            <w:r>
              <w:rPr>
                <w:sz w:val="16"/>
                <w:rtl w:val="0"/>
              </w:rPr>
              <w:t>- Văn phòng Chính phủ;</w:t>
            </w:r>
            <w:r>
              <w:rPr>
                <w:sz w:val="16"/>
                <w:rtl w:val="0"/>
              </w:rPr>
              <w:br/>
            </w:r>
            <w:r>
              <w:rPr>
                <w:sz w:val="16"/>
                <w:rtl w:val="0"/>
              </w:rPr>
              <w:t>- Hội đồng Dân tộc và các Ủy ban của Quốc hội;</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Viện KSND tối cao, Tòa án nhân dân tối cao;</w:t>
            </w:r>
            <w:r>
              <w:rPr>
                <w:sz w:val="16"/>
                <w:rtl w:val="0"/>
              </w:rPr>
              <w:br/>
            </w:r>
            <w:r>
              <w:rPr>
                <w:sz w:val="16"/>
                <w:rtl w:val="0"/>
              </w:rPr>
              <w:t>- Bộ Tư pháp (Cục Kiểm tra VBQPPL);</w:t>
            </w:r>
            <w:r>
              <w:rPr>
                <w:sz w:val="16"/>
                <w:rtl w:val="0"/>
              </w:rPr>
              <w:br/>
            </w:r>
            <w:r>
              <w:rPr>
                <w:sz w:val="16"/>
                <w:rtl w:val="0"/>
              </w:rPr>
              <w:t>- Công báo;</w:t>
            </w:r>
            <w:r>
              <w:rPr>
                <w:sz w:val="16"/>
                <w:rtl w:val="0"/>
              </w:rPr>
              <w:br/>
            </w:r>
            <w:r>
              <w:rPr>
                <w:sz w:val="16"/>
                <w:rtl w:val="0"/>
              </w:rPr>
              <w:t>- Lãnh đạo KTNN; các đơn vị trực thuộc KTNN;</w:t>
            </w:r>
            <w:r>
              <w:rPr>
                <w:sz w:val="16"/>
                <w:rtl w:val="0"/>
              </w:rPr>
              <w:br/>
            </w:r>
            <w:r>
              <w:rPr>
                <w:sz w:val="16"/>
                <w:rtl w:val="0"/>
              </w:rPr>
              <w:t>- Lưu: VT, Vụ PC, PL.</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rPr>
              <w:t>TỔNG KIỂM TOÁN NHÀ NƯỚC</w:t>
            </w:r>
            <w:r>
              <w:rPr>
                <w:b/>
                <w:bCs/>
                <w:rtl w:val="0"/>
              </w:rPr>
              <w:br/>
            </w:r>
            <w:r>
              <w:rPr>
                <w:b/>
                <w:bCs/>
                <w:rtl w:val="0"/>
              </w:rPr>
              <w:br/>
            </w:r>
            <w:r>
              <w:rPr>
                <w:b/>
                <w:bCs/>
                <w:rtl w:val="0"/>
              </w:rPr>
              <w:br/>
            </w:r>
            <w:r>
              <w:rPr>
                <w:b/>
                <w:bCs/>
                <w:rtl w:val="0"/>
              </w:rPr>
              <w:br/>
            </w:r>
            <w:r>
              <w:rPr>
                <w:b/>
                <w:bCs/>
                <w:rtl w:val="0"/>
              </w:rPr>
              <w:br/>
            </w:r>
            <w:r>
              <w:rPr>
                <w:b/>
                <w:bCs/>
                <w:rtl w:val="0"/>
              </w:rPr>
              <w:t>Nguyễn Hữu Nghĩa</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