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169E" w:rsidRDefault="0093169E">
      <w:pPr>
        <w:widowControl w:val="0"/>
        <w:pBdr>
          <w:top w:val="nil"/>
          <w:left w:val="nil"/>
          <w:bottom w:val="nil"/>
          <w:right w:val="nil"/>
          <w:between w:val="nil"/>
        </w:pBdr>
        <w:spacing w:after="0" w:line="276" w:lineRule="auto"/>
        <w:rPr>
          <w:rFonts w:ascii="Arial" w:eastAsia="Arial" w:hAnsi="Arial" w:cs="Arial"/>
          <w:color w:val="000000"/>
          <w:sz w:val="22"/>
          <w:szCs w:val="22"/>
        </w:rPr>
      </w:pPr>
    </w:p>
    <w:tbl>
      <w:tblPr>
        <w:tblStyle w:val="a"/>
        <w:tblW w:w="9214" w:type="dxa"/>
        <w:tblLayout w:type="fixed"/>
        <w:tblLook w:val="0400" w:firstRow="0" w:lastRow="0" w:firstColumn="0" w:lastColumn="0" w:noHBand="0" w:noVBand="1"/>
      </w:tblPr>
      <w:tblGrid>
        <w:gridCol w:w="3348"/>
        <w:gridCol w:w="5866"/>
      </w:tblGrid>
      <w:tr w:rsidR="0093169E">
        <w:trPr>
          <w:trHeight w:val="709"/>
        </w:trPr>
        <w:tc>
          <w:tcPr>
            <w:tcW w:w="3348" w:type="dxa"/>
            <w:shd w:val="clear" w:color="auto" w:fill="FFFFFF"/>
            <w:tcMar>
              <w:top w:w="0" w:type="dxa"/>
              <w:left w:w="108" w:type="dxa"/>
              <w:bottom w:w="0" w:type="dxa"/>
              <w:right w:w="108" w:type="dxa"/>
            </w:tcMar>
          </w:tcPr>
          <w:p w:rsidR="0093169E" w:rsidRDefault="00C70254">
            <w:pPr>
              <w:spacing w:before="120" w:after="120"/>
              <w:jc w:val="center"/>
              <w:rPr>
                <w:color w:val="000000"/>
              </w:rPr>
            </w:pPr>
            <w:r>
              <w:rPr>
                <w:b/>
                <w:noProof/>
                <w:color w:val="000000"/>
                <w:sz w:val="26"/>
                <w:szCs w:val="26"/>
                <w:lang w:val="en-US"/>
              </w:rPr>
              <mc:AlternateContent>
                <mc:Choice Requires="wps">
                  <w:drawing>
                    <wp:anchor distT="0" distB="0" distL="114300" distR="114300" simplePos="0" relativeHeight="251660288" behindDoc="0" locked="0" layoutInCell="1" allowOverlap="1">
                      <wp:simplePos x="0" y="0"/>
                      <wp:positionH relativeFrom="column">
                        <wp:posOffset>518160</wp:posOffset>
                      </wp:positionH>
                      <wp:positionV relativeFrom="paragraph">
                        <wp:posOffset>312420</wp:posOffset>
                      </wp:positionV>
                      <wp:extent cx="914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8E1504"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0.8pt,24.6pt" to="112.8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" strokecolor="black [3200]" strokeweight=".5pt">
                      <v:stroke joinstyle="miter"/>
                    </v:line>
                  </w:pict>
                </mc:Fallback>
              </mc:AlternateContent>
            </w:r>
            <w:r w:rsidR="005B0D7E">
              <w:rPr>
                <w:b/>
                <w:color w:val="000000"/>
                <w:sz w:val="26"/>
                <w:szCs w:val="26"/>
              </w:rPr>
              <w:t>BỘ TƯ PHÁP</w:t>
            </w:r>
            <w:r w:rsidR="005B0D7E">
              <w:rPr>
                <w:b/>
                <w:color w:val="000000"/>
              </w:rPr>
              <w:br/>
            </w:r>
            <w:r w:rsidR="005B0D7E">
              <w:rPr>
                <w:noProof/>
                <w:lang w:val="en-US"/>
              </w:rPr>
              <mc:AlternateContent>
                <mc:Choice Requires="wps">
                  <w:drawing>
                    <wp:anchor distT="4294967294" distB="4294967294" distL="114300" distR="114300" simplePos="0" relativeHeight="251658240" behindDoc="0" locked="0" layoutInCell="1" hidden="0" allowOverlap="1">
                      <wp:simplePos x="0" y="0"/>
                      <wp:positionH relativeFrom="column">
                        <wp:posOffset>673100</wp:posOffset>
                      </wp:positionH>
                      <wp:positionV relativeFrom="paragraph">
                        <wp:posOffset>360695</wp:posOffset>
                      </wp:positionV>
                      <wp:extent cx="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5041200" y="3780000"/>
                                <a:ext cx="6096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4294967294" distT="4294967294" distL="114300" distR="114300" hidden="0" layoutInCell="1" locked="0" relativeHeight="0" simplePos="0">
                      <wp:simplePos x="0" y="0"/>
                      <wp:positionH relativeFrom="column">
                        <wp:posOffset>673100</wp:posOffset>
                      </wp:positionH>
                      <wp:positionV relativeFrom="paragraph">
                        <wp:posOffset>360695</wp:posOffset>
                      </wp:positionV>
                      <wp:extent cx="0" cy="12700"/>
                      <wp:effectExtent b="0" l="0" r="0" t="0"/>
                      <wp:wrapNone/>
                      <wp:docPr id="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W w:w="5866" w:type="dxa"/>
            <w:shd w:val="clear" w:color="auto" w:fill="FFFFFF"/>
            <w:tcMar>
              <w:top w:w="0" w:type="dxa"/>
              <w:left w:w="108" w:type="dxa"/>
              <w:bottom w:w="0" w:type="dxa"/>
              <w:right w:w="108" w:type="dxa"/>
            </w:tcMar>
          </w:tcPr>
          <w:p w:rsidR="0093169E" w:rsidRDefault="00C70254">
            <w:pPr>
              <w:spacing w:before="120" w:after="120"/>
              <w:jc w:val="center"/>
              <w:rPr>
                <w:color w:val="000000"/>
              </w:rPr>
            </w:pPr>
            <w:r>
              <w:rPr>
                <w:b/>
                <w:noProof/>
                <w:color w:val="000000"/>
                <w:sz w:val="26"/>
                <w:szCs w:val="26"/>
                <w:lang w:val="en-US"/>
              </w:rPr>
              <mc:AlternateContent>
                <mc:Choice Requires="wps">
                  <w:drawing>
                    <wp:anchor distT="0" distB="0" distL="114300" distR="114300" simplePos="0" relativeHeight="251661312" behindDoc="0" locked="0" layoutInCell="1" allowOverlap="1">
                      <wp:simplePos x="0" y="0"/>
                      <wp:positionH relativeFrom="column">
                        <wp:posOffset>725805</wp:posOffset>
                      </wp:positionH>
                      <wp:positionV relativeFrom="paragraph">
                        <wp:posOffset>531495</wp:posOffset>
                      </wp:positionV>
                      <wp:extent cx="21145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2EF38F"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7.15pt,41.85pt" to="223.65pt,4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" strokecolor="black [3200]" strokeweight=".5pt">
                      <v:stroke joinstyle="miter"/>
                    </v:line>
                  </w:pict>
                </mc:Fallback>
              </mc:AlternateContent>
            </w:r>
            <w:r w:rsidR="005B0D7E">
              <w:rPr>
                <w:b/>
                <w:color w:val="000000"/>
                <w:sz w:val="26"/>
                <w:szCs w:val="26"/>
              </w:rPr>
              <w:t>CỘNG HÒA XÃ HỘI CHỦ NGHĨA VIỆT NAM</w:t>
            </w:r>
            <w:r w:rsidR="005B0D7E">
              <w:rPr>
                <w:b/>
                <w:color w:val="000000"/>
              </w:rPr>
              <w:br/>
              <w:t>Độc lập - Tự do - Hạnh phúc</w:t>
            </w:r>
            <w:r w:rsidR="005B0D7E">
              <w:rPr>
                <w:noProof/>
                <w:lang w:val="en-US"/>
              </w:rPr>
              <mc:AlternateContent>
                <mc:Choice Requires="wps">
                  <w:drawing>
                    <wp:anchor distT="4294967294" distB="4294967294" distL="114300" distR="114300" simplePos="0" relativeHeight="251659264" behindDoc="0" locked="0" layoutInCell="1" hidden="0" allowOverlap="1">
                      <wp:simplePos x="0" y="0"/>
                      <wp:positionH relativeFrom="column">
                        <wp:posOffset>825500</wp:posOffset>
                      </wp:positionH>
                      <wp:positionV relativeFrom="paragraph">
                        <wp:posOffset>500395</wp:posOffset>
                      </wp:positionV>
                      <wp:extent cx="0"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4355400" y="3780000"/>
                                <a:ext cx="19812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4294967294" distT="4294967294" distL="114300" distR="114300" hidden="0" layoutInCell="1" locked="0" relativeHeight="0" simplePos="0">
                      <wp:simplePos x="0" y="0"/>
                      <wp:positionH relativeFrom="column">
                        <wp:posOffset>825500</wp:posOffset>
                      </wp:positionH>
                      <wp:positionV relativeFrom="paragraph">
                        <wp:posOffset>500395</wp:posOffset>
                      </wp:positionV>
                      <wp:extent cx="0" cy="12700"/>
                      <wp:effectExtent b="0" l="0" r="0" t="0"/>
                      <wp:wrapNone/>
                      <wp:docPr id="4"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r w:rsidR="0093169E">
        <w:tc>
          <w:tcPr>
            <w:tcW w:w="3348" w:type="dxa"/>
            <w:shd w:val="clear" w:color="auto" w:fill="FFFFFF"/>
            <w:tcMar>
              <w:top w:w="0" w:type="dxa"/>
              <w:left w:w="108" w:type="dxa"/>
              <w:bottom w:w="0" w:type="dxa"/>
              <w:right w:w="108" w:type="dxa"/>
            </w:tcMar>
          </w:tcPr>
          <w:p w:rsidR="0093169E" w:rsidRDefault="005B0D7E" w:rsidP="00BA50BD">
            <w:pPr>
              <w:spacing w:before="120" w:after="120"/>
              <w:jc w:val="center"/>
              <w:rPr>
                <w:color w:val="000000"/>
              </w:rPr>
            </w:pPr>
            <w:r>
              <w:rPr>
                <w:color w:val="000000"/>
              </w:rPr>
              <w:t>Số:</w:t>
            </w:r>
            <w:r w:rsidR="00BA50BD">
              <w:rPr>
                <w:color w:val="000000"/>
              </w:rPr>
              <w:t xml:space="preserve"> 11</w:t>
            </w:r>
            <w:r>
              <w:rPr>
                <w:color w:val="000000"/>
              </w:rPr>
              <w:t>/2025/TT-BTP</w:t>
            </w:r>
          </w:p>
        </w:tc>
        <w:tc>
          <w:tcPr>
            <w:tcW w:w="5866" w:type="dxa"/>
            <w:shd w:val="clear" w:color="auto" w:fill="FFFFFF"/>
            <w:tcMar>
              <w:top w:w="0" w:type="dxa"/>
              <w:left w:w="108" w:type="dxa"/>
              <w:bottom w:w="0" w:type="dxa"/>
              <w:right w:w="108" w:type="dxa"/>
            </w:tcMar>
          </w:tcPr>
          <w:p w:rsidR="0093169E" w:rsidRDefault="005B0D7E" w:rsidP="00BA50BD">
            <w:pPr>
              <w:spacing w:before="120" w:after="120"/>
              <w:jc w:val="right"/>
              <w:rPr>
                <w:color w:val="000000"/>
              </w:rPr>
            </w:pPr>
            <w:r>
              <w:rPr>
                <w:i/>
                <w:color w:val="000000"/>
              </w:rPr>
              <w:t xml:space="preserve">Hà Nội, ngày </w:t>
            </w:r>
            <w:r w:rsidR="00BA50BD">
              <w:rPr>
                <w:i/>
                <w:color w:val="000000"/>
              </w:rPr>
              <w:t xml:space="preserve">25 </w:t>
            </w:r>
            <w:r>
              <w:rPr>
                <w:i/>
                <w:color w:val="000000"/>
              </w:rPr>
              <w:t>tháng 6 năm 2025</w:t>
            </w:r>
          </w:p>
        </w:tc>
      </w:tr>
    </w:tbl>
    <w:p w:rsidR="0093169E" w:rsidRDefault="005B0D7E">
      <w:pPr>
        <w:spacing w:before="240" w:after="240"/>
        <w:jc w:val="center"/>
        <w:rPr>
          <w:color w:val="000000"/>
        </w:rPr>
      </w:pPr>
      <w:bookmarkStart w:id="0" w:name="bookmark=id.9g4qjicvs0r5" w:colFirst="0" w:colLast="0"/>
      <w:bookmarkEnd w:id="0"/>
      <w:r>
        <w:rPr>
          <w:b/>
          <w:color w:val="000000"/>
        </w:rPr>
        <w:t>THÔNG TƯ</w:t>
      </w:r>
    </w:p>
    <w:p w:rsidR="0093169E" w:rsidRDefault="005B0D7E">
      <w:pPr>
        <w:spacing w:after="0"/>
        <w:ind w:left="720"/>
        <w:jc w:val="center"/>
        <w:rPr>
          <w:b/>
          <w:color w:val="000000"/>
        </w:rPr>
      </w:pPr>
      <w:r>
        <w:rPr>
          <w:b/>
          <w:color w:val="000000"/>
        </w:rPr>
        <w:t xml:space="preserve">Sửa đổi, bổ sung, bãi bỏ một số điều của các thông tư thuộc lĩnh vực </w:t>
      </w:r>
    </w:p>
    <w:p w:rsidR="0093169E" w:rsidRDefault="005B0D7E">
      <w:pPr>
        <w:spacing w:after="0"/>
        <w:ind w:left="720"/>
        <w:jc w:val="center"/>
        <w:rPr>
          <w:b/>
          <w:color w:val="000000"/>
        </w:rPr>
      </w:pPr>
      <w:r>
        <w:rPr>
          <w:b/>
          <w:color w:val="000000"/>
        </w:rPr>
        <w:t>quản lý nhà nước của Bộ Tư pháp</w:t>
      </w:r>
    </w:p>
    <w:p w:rsidR="0093169E" w:rsidRDefault="0093169E">
      <w:pPr>
        <w:spacing w:after="0"/>
        <w:ind w:firstLine="567"/>
        <w:rPr>
          <w:i/>
          <w:color w:val="000000"/>
        </w:rPr>
      </w:pPr>
    </w:p>
    <w:p w:rsidR="0093169E" w:rsidRDefault="005B0D7E" w:rsidP="008935F7">
      <w:pPr>
        <w:tabs>
          <w:tab w:val="right" w:pos="0"/>
          <w:tab w:val="left" w:pos="567"/>
        </w:tabs>
        <w:spacing w:before="120" w:after="120" w:line="380" w:lineRule="atLeast"/>
        <w:ind w:firstLine="709"/>
        <w:jc w:val="both"/>
        <w:rPr>
          <w:i/>
          <w:color w:val="000000"/>
        </w:rPr>
      </w:pPr>
      <w:r>
        <w:rPr>
          <w:i/>
          <w:color w:val="000000"/>
        </w:rPr>
        <w:t>Căn cứ Luật Tổ chức Chính phủ năm 2025;</w:t>
      </w:r>
    </w:p>
    <w:p w:rsidR="0093169E" w:rsidRDefault="005B0D7E" w:rsidP="008935F7">
      <w:pPr>
        <w:tabs>
          <w:tab w:val="right" w:pos="0"/>
          <w:tab w:val="left" w:pos="567"/>
        </w:tabs>
        <w:spacing w:before="120" w:after="120" w:line="380" w:lineRule="atLeast"/>
        <w:ind w:firstLine="709"/>
        <w:jc w:val="both"/>
        <w:rPr>
          <w:i/>
          <w:color w:val="000000"/>
        </w:rPr>
      </w:pPr>
      <w:r>
        <w:rPr>
          <w:i/>
          <w:color w:val="000000"/>
        </w:rPr>
        <w:t>Căn cứ Luật Tổ chức chính quyền địa phương</w:t>
      </w:r>
      <w:r>
        <w:rPr>
          <w:color w:val="000000"/>
        </w:rPr>
        <w:t xml:space="preserve"> </w:t>
      </w:r>
      <w:r>
        <w:rPr>
          <w:i/>
          <w:color w:val="000000"/>
        </w:rPr>
        <w:t>năm 2025;</w:t>
      </w:r>
    </w:p>
    <w:p w:rsidR="0093169E" w:rsidRPr="000545C7" w:rsidRDefault="005B0D7E" w:rsidP="008935F7">
      <w:pPr>
        <w:tabs>
          <w:tab w:val="right" w:pos="0"/>
          <w:tab w:val="left" w:pos="567"/>
        </w:tabs>
        <w:spacing w:before="120" w:after="120" w:line="380" w:lineRule="atLeast"/>
        <w:ind w:firstLine="709"/>
        <w:jc w:val="both"/>
        <w:rPr>
          <w:rFonts w:ascii="Times New Roman Italic" w:hAnsi="Times New Roman Italic"/>
          <w:i/>
          <w:color w:val="000000"/>
          <w:spacing w:val="-6"/>
        </w:rPr>
      </w:pPr>
      <w:r w:rsidRPr="000545C7">
        <w:rPr>
          <w:rFonts w:ascii="Times New Roman Italic" w:hAnsi="Times New Roman Italic"/>
          <w:i/>
          <w:color w:val="000000"/>
          <w:spacing w:val="-6"/>
        </w:rPr>
        <w:t>Căn cứ Nghị quyết số 190/2025/QH15 ngày 19 tháng 02 năm 2025 của Quốc hội quy định về xử lý một số vấn đề liên quan đến sắp xếp tổ chức bộ máy nhà nước;</w:t>
      </w:r>
    </w:p>
    <w:p w:rsidR="0093169E" w:rsidRPr="000545C7" w:rsidRDefault="005B0D7E" w:rsidP="008935F7">
      <w:pPr>
        <w:tabs>
          <w:tab w:val="right" w:pos="0"/>
          <w:tab w:val="left" w:pos="567"/>
        </w:tabs>
        <w:spacing w:before="120" w:after="120" w:line="380" w:lineRule="atLeast"/>
        <w:ind w:firstLine="709"/>
        <w:jc w:val="both"/>
        <w:rPr>
          <w:rFonts w:ascii="Times New Roman Italic" w:hAnsi="Times New Roman Italic"/>
          <w:i/>
          <w:color w:val="000000"/>
          <w:spacing w:val="-6"/>
        </w:rPr>
      </w:pPr>
      <w:r w:rsidRPr="000545C7">
        <w:rPr>
          <w:rFonts w:ascii="Times New Roman Italic" w:hAnsi="Times New Roman Italic"/>
          <w:i/>
          <w:color w:val="000000"/>
          <w:spacing w:val="-6"/>
        </w:rPr>
        <w:t xml:space="preserve">Căn cứ Nghị định số 112/2025/NĐ-CP ngày 29 tháng 5 năm 2025 của Chính phủ </w:t>
      </w:r>
      <w:r w:rsidRPr="000545C7">
        <w:rPr>
          <w:rFonts w:ascii="Times New Roman Italic" w:hAnsi="Times New Roman Italic"/>
          <w:i/>
          <w:color w:val="000000"/>
          <w:spacing w:val="-6"/>
          <w:highlight w:val="white"/>
        </w:rPr>
        <w:t>sửa đổi, bổ sung một số điều của các Nghị địn</w:t>
      </w:r>
      <w:r w:rsidR="00076B52">
        <w:rPr>
          <w:rFonts w:ascii="Times New Roman Italic" w:hAnsi="Times New Roman Italic"/>
          <w:i/>
          <w:color w:val="000000"/>
          <w:spacing w:val="-6"/>
          <w:highlight w:val="white"/>
        </w:rPr>
        <w:t>h thuộc lĩnh vực bổ trợ tư pháp;</w:t>
      </w:r>
    </w:p>
    <w:p w:rsidR="0093169E" w:rsidRDefault="005B0D7E" w:rsidP="008935F7">
      <w:pPr>
        <w:tabs>
          <w:tab w:val="right" w:pos="0"/>
          <w:tab w:val="left" w:pos="567"/>
        </w:tabs>
        <w:spacing w:before="120" w:after="120" w:line="380" w:lineRule="atLeast"/>
        <w:ind w:firstLine="709"/>
        <w:jc w:val="both"/>
        <w:rPr>
          <w:i/>
          <w:color w:val="000000"/>
        </w:rPr>
      </w:pPr>
      <w:r>
        <w:rPr>
          <w:i/>
          <w:color w:val="000000"/>
        </w:rPr>
        <w:t>Căn cứ Nghị định số 120/2025/NĐ-CP ngày 11 tháng 6 năm 2025 của Chính phủ quy định về phân định thẩm quyền của chính quyền địa phương 02 cấp trong lĩnh vực quản lý nhà nước của Bộ Tư pháp;</w:t>
      </w:r>
    </w:p>
    <w:p w:rsidR="0093169E" w:rsidRDefault="005B0D7E" w:rsidP="008935F7">
      <w:pPr>
        <w:tabs>
          <w:tab w:val="right" w:pos="0"/>
          <w:tab w:val="left" w:pos="567"/>
        </w:tabs>
        <w:spacing w:before="120" w:after="120" w:line="380" w:lineRule="atLeast"/>
        <w:ind w:firstLine="709"/>
        <w:jc w:val="both"/>
        <w:rPr>
          <w:i/>
          <w:color w:val="000000"/>
        </w:rPr>
      </w:pPr>
      <w:r>
        <w:rPr>
          <w:i/>
          <w:color w:val="000000"/>
        </w:rPr>
        <w:t xml:space="preserve">Căn cứ Nghị định số 121/2025/NĐ-CP ngày 11 tháng 6 năm 2025 của Chính phủ quy định về phân quyền, phân cấp trong lĩnh vực quản lý nhà nước của Bộ Tư pháp; </w:t>
      </w:r>
    </w:p>
    <w:p w:rsidR="0093169E" w:rsidRPr="000545C7" w:rsidRDefault="005B0D7E" w:rsidP="008935F7">
      <w:pPr>
        <w:spacing w:before="120" w:after="120" w:line="380" w:lineRule="atLeast"/>
        <w:ind w:firstLine="709"/>
        <w:jc w:val="both"/>
        <w:rPr>
          <w:color w:val="000000"/>
          <w:spacing w:val="-4"/>
        </w:rPr>
      </w:pPr>
      <w:r w:rsidRPr="000545C7">
        <w:rPr>
          <w:i/>
          <w:color w:val="000000"/>
          <w:spacing w:val="-4"/>
        </w:rPr>
        <w:t>Căn cứ Nghị định số </w:t>
      </w:r>
      <w:bookmarkStart w:id="1" w:name="bookmark=id.5khrxl4bxxmv" w:colFirst="0" w:colLast="0"/>
      <w:bookmarkEnd w:id="1"/>
      <w:r w:rsidRPr="000545C7">
        <w:rPr>
          <w:spacing w:val="-4"/>
        </w:rPr>
        <w:fldChar w:fldCharType="begin"/>
      </w:r>
      <w:r w:rsidRPr="000545C7">
        <w:rPr>
          <w:spacing w:val="-4"/>
        </w:rPr>
        <w:instrText xml:space="preserve"> HYPERLINK "https://thuvienphapluat.vn/van-ban/Bo-may-hanh-chinh/Nghi-dinh-98-2022-ND-CP-chuc-nang-nhiem-vu-quyen-han-co-cau-to-chuc-cua-Bo-Tu-phap-541775.aspx" \h </w:instrText>
      </w:r>
      <w:r w:rsidRPr="000545C7">
        <w:rPr>
          <w:spacing w:val="-4"/>
        </w:rPr>
        <w:fldChar w:fldCharType="separate"/>
      </w:r>
      <w:r w:rsidRPr="000545C7">
        <w:rPr>
          <w:i/>
          <w:spacing w:val="-4"/>
        </w:rPr>
        <w:t>39/2025/NĐ-CP</w:t>
      </w:r>
      <w:r w:rsidRPr="000545C7">
        <w:rPr>
          <w:i/>
          <w:spacing w:val="-4"/>
        </w:rPr>
        <w:fldChar w:fldCharType="end"/>
      </w:r>
      <w:r w:rsidRPr="000545C7">
        <w:rPr>
          <w:i/>
          <w:color w:val="000000"/>
          <w:spacing w:val="-4"/>
        </w:rPr>
        <w:t> ngày 26 tháng 02 năm 2025 của Chính phủ quy định chức năng, nhiệm vụ, quyền hạn và cơ cấu tổ chức của Bộ Tư pháp;</w:t>
      </w:r>
    </w:p>
    <w:p w:rsidR="0093169E" w:rsidRPr="000545C7" w:rsidRDefault="005B0D7E" w:rsidP="008935F7">
      <w:pPr>
        <w:spacing w:before="120" w:after="120" w:line="380" w:lineRule="atLeast"/>
        <w:ind w:firstLine="709"/>
        <w:jc w:val="both"/>
        <w:rPr>
          <w:rFonts w:ascii="Times New Roman Italic" w:hAnsi="Times New Roman Italic"/>
          <w:color w:val="000000"/>
          <w:spacing w:val="-8"/>
        </w:rPr>
      </w:pPr>
      <w:r w:rsidRPr="000545C7">
        <w:rPr>
          <w:rFonts w:ascii="Times New Roman Italic" w:hAnsi="Times New Roman Italic"/>
          <w:i/>
          <w:color w:val="000000"/>
          <w:spacing w:val="-8"/>
        </w:rPr>
        <w:t>Theo đề nghị của Vụ trưởng Vụ Công tác xây dựng văn bản quy phạm pháp luật;</w:t>
      </w:r>
    </w:p>
    <w:p w:rsidR="0093169E" w:rsidRDefault="005B0D7E" w:rsidP="008935F7">
      <w:pPr>
        <w:spacing w:before="120" w:after="120" w:line="380" w:lineRule="atLeast"/>
        <w:ind w:firstLine="709"/>
        <w:jc w:val="both"/>
        <w:rPr>
          <w:i/>
          <w:color w:val="000000"/>
        </w:rPr>
      </w:pPr>
      <w:r>
        <w:rPr>
          <w:i/>
          <w:color w:val="000000"/>
        </w:rPr>
        <w:t xml:space="preserve">Bộ trưởng Bộ Tư pháp ban hành Thông tư </w:t>
      </w:r>
      <w:bookmarkStart w:id="2" w:name="bookmark=id.7b9mck9a6sfk" w:colFirst="0" w:colLast="0"/>
      <w:bookmarkEnd w:id="2"/>
      <w:r>
        <w:rPr>
          <w:i/>
          <w:color w:val="000000"/>
        </w:rPr>
        <w:t>sửa đổi, bổ sung, bãi bỏ một số điều của các thông tư thuộc lĩnh vực quản lý nhà nước của Bộ Tư pháp.</w:t>
      </w:r>
    </w:p>
    <w:p w:rsidR="0093169E" w:rsidRPr="000545C7" w:rsidRDefault="005B0D7E" w:rsidP="008935F7">
      <w:pPr>
        <w:spacing w:before="120" w:after="120" w:line="380" w:lineRule="atLeast"/>
        <w:ind w:firstLine="709"/>
        <w:jc w:val="both"/>
        <w:rPr>
          <w:rFonts w:ascii="Times New Roman Bold" w:hAnsi="Times New Roman Bold"/>
          <w:b/>
          <w:color w:val="000000"/>
          <w:spacing w:val="-6"/>
        </w:rPr>
      </w:pPr>
      <w:r w:rsidRPr="000545C7">
        <w:rPr>
          <w:rFonts w:ascii="Times New Roman Bold" w:hAnsi="Times New Roman Bold"/>
          <w:b/>
          <w:color w:val="000000"/>
          <w:spacing w:val="-6"/>
        </w:rPr>
        <w:t xml:space="preserve">Điều 1. Sửa đổi, bổ sung một số điều của Thông tư số 05/2022/TT-BTP ngày 05 tháng 9 năm 2022 của Bộ trưởng Bộ Tư pháp quy định mã số, tiêu chuẩn và xếp lương đối với chức danh nghề nghiệp viên chức trợ giúp viên pháp lý </w:t>
      </w:r>
    </w:p>
    <w:p w:rsidR="0093169E" w:rsidRDefault="005B0D7E" w:rsidP="008935F7">
      <w:pPr>
        <w:spacing w:before="120" w:after="120" w:line="380" w:lineRule="atLeast"/>
        <w:ind w:firstLine="709"/>
        <w:jc w:val="both"/>
      </w:pPr>
      <w:r>
        <w:rPr>
          <w:color w:val="000000"/>
        </w:rPr>
        <w:t>1.</w:t>
      </w:r>
      <w:r>
        <w:rPr>
          <w:b/>
          <w:color w:val="000000"/>
        </w:rPr>
        <w:t xml:space="preserve"> </w:t>
      </w:r>
      <w:r>
        <w:t>Sửa đổi điểm d khoản 2 Điều 5 như sau:</w:t>
      </w:r>
    </w:p>
    <w:p w:rsidR="0093169E" w:rsidRPr="00BA50BD" w:rsidRDefault="005B0D7E" w:rsidP="008935F7">
      <w:pPr>
        <w:spacing w:before="120" w:after="120" w:line="380" w:lineRule="atLeast"/>
        <w:ind w:firstLine="709"/>
        <w:jc w:val="both"/>
        <w:rPr>
          <w:spacing w:val="4"/>
        </w:rPr>
      </w:pPr>
      <w:r w:rsidRPr="00BA50BD">
        <w:rPr>
          <w:spacing w:val="4"/>
        </w:rPr>
        <w:t xml:space="preserve">“d) Được Sở Tư pháp xác nhận đã thực hiện ít nhất 02 vụ việc tham gia tố tụng thành công tại Tòa án </w:t>
      </w:r>
      <w:r w:rsidR="00E81CB7" w:rsidRPr="00BA50BD">
        <w:rPr>
          <w:spacing w:val="4"/>
          <w:lang w:val="vi-VN"/>
        </w:rPr>
        <w:t>nhân dân</w:t>
      </w:r>
      <w:r w:rsidR="00650883" w:rsidRPr="00BA50BD">
        <w:rPr>
          <w:spacing w:val="4"/>
          <w:lang w:val="en-US"/>
        </w:rPr>
        <w:t xml:space="preserve"> cấp tỉnh</w:t>
      </w:r>
      <w:r w:rsidRPr="00BA50BD">
        <w:rPr>
          <w:spacing w:val="4"/>
        </w:rPr>
        <w:t>, Tòa án quân sự Trung ương trở lên</w:t>
      </w:r>
      <w:r w:rsidR="00C6243B">
        <w:rPr>
          <w:spacing w:val="4"/>
        </w:rPr>
        <w:t>;</w:t>
      </w:r>
      <w:r w:rsidRPr="00BA50BD">
        <w:rPr>
          <w:spacing w:val="4"/>
        </w:rPr>
        <w:t xml:space="preserve">”. </w:t>
      </w:r>
    </w:p>
    <w:p w:rsidR="0093169E" w:rsidRDefault="005B0D7E" w:rsidP="008935F7">
      <w:pPr>
        <w:spacing w:before="120" w:after="120" w:line="380" w:lineRule="atLeast"/>
        <w:ind w:firstLine="709"/>
        <w:jc w:val="both"/>
      </w:pPr>
      <w:r>
        <w:t xml:space="preserve">2. Sửa đổi điểm d khoản 2 Điều 6 như sau: </w:t>
      </w:r>
    </w:p>
    <w:p w:rsidR="0093169E" w:rsidRDefault="005B0D7E" w:rsidP="008935F7">
      <w:pPr>
        <w:spacing w:before="120" w:after="120" w:line="380" w:lineRule="atLeast"/>
        <w:ind w:firstLine="709"/>
        <w:jc w:val="both"/>
      </w:pPr>
      <w:r>
        <w:lastRenderedPageBreak/>
        <w:t>“d) Được Sở Tư pháp xác nhận đã thực hiện ít nhất 01 vụ việc tham gia tố tụng thành công</w:t>
      </w:r>
      <w:r w:rsidR="00C6243B">
        <w:t>;</w:t>
      </w:r>
      <w:r>
        <w:t>”.</w:t>
      </w:r>
    </w:p>
    <w:p w:rsidR="0093169E" w:rsidRDefault="005B0D7E" w:rsidP="008935F7">
      <w:pPr>
        <w:spacing w:before="120" w:after="120" w:line="380" w:lineRule="atLeast"/>
        <w:ind w:firstLine="709"/>
        <w:jc w:val="both"/>
        <w:rPr>
          <w:b/>
        </w:rPr>
      </w:pPr>
      <w:r>
        <w:rPr>
          <w:b/>
        </w:rPr>
        <w:t xml:space="preserve">Điều 2. Sửa đổi Điều 5 của Thông tư số 09/2024/TT-BTP ngày 06 tháng 9 năm 2024 của Bộ trưởng Bộ Tư pháp quy định tiêu chuẩn, điều kiện xét thăng hạng chức danh nghề nghiệp viên chức trợ giúp viên pháp lý </w:t>
      </w:r>
    </w:p>
    <w:p w:rsidR="0093169E" w:rsidRDefault="005B0D7E" w:rsidP="008935F7">
      <w:pPr>
        <w:spacing w:before="120" w:after="120" w:line="380" w:lineRule="atLeast"/>
        <w:ind w:firstLine="709"/>
        <w:jc w:val="both"/>
      </w:pPr>
      <w:r>
        <w:t>“</w:t>
      </w:r>
      <w:r>
        <w:rPr>
          <w:b/>
        </w:rPr>
        <w:t>Điều 5. Xác nhận vụ việc tham gia tố tụng thành công</w:t>
      </w:r>
    </w:p>
    <w:p w:rsidR="0093169E" w:rsidRDefault="005B0D7E" w:rsidP="008935F7">
      <w:pPr>
        <w:spacing w:before="120" w:after="120" w:line="380" w:lineRule="atLeast"/>
        <w:ind w:firstLine="709"/>
        <w:jc w:val="both"/>
      </w:pPr>
      <w:r>
        <w:t>Trung tâm trợ giúp pháp lý nhà nước gửi công văn đề nghị Sở Tư pháp xác nhận vụ việc tham gia tố tụng thành công và bản sao hồ sơ vụ việc gồm các giấy tờ theo quy định tại khoản 2 Điều 11 Thông tư số 12/2018/TT-BTP ngày 28</w:t>
      </w:r>
      <w:r w:rsidR="00650883">
        <w:t xml:space="preserve"> tháng </w:t>
      </w:r>
      <w:r>
        <w:t>8</w:t>
      </w:r>
      <w:r w:rsidR="00650883">
        <w:t xml:space="preserve"> năm </w:t>
      </w:r>
      <w:r>
        <w:t>2018 của Bộ trưởng Bộ Tư pháp hướng dẫn một số hoạt động nghiệp vụ trợ giúp pháp lý và quản lý chất lượng vụ việc trợ giúp pháp lý.</w:t>
      </w:r>
    </w:p>
    <w:p w:rsidR="0093169E" w:rsidRDefault="005B0D7E" w:rsidP="008935F7">
      <w:pPr>
        <w:spacing w:before="120" w:after="120" w:line="380" w:lineRule="atLeast"/>
        <w:ind w:firstLine="709"/>
        <w:jc w:val="both"/>
      </w:pPr>
      <w:r>
        <w:t>Trong thời hạn 15 ngày kể từ ngày nhận được yêu cầu xác nhận vụ việc tham gia tố tụng thành công của Trung tâm trợ giúp pháp lý nhà nước, Sở Tư pháp xác nhận vụ việc tham gia tố tụng thành công theo Mẫu số 02-TP-TGPL ban hành tại Phụ lục kèm theo Thông tư này.</w:t>
      </w:r>
    </w:p>
    <w:p w:rsidR="0093169E" w:rsidRDefault="005B0D7E" w:rsidP="008935F7">
      <w:pPr>
        <w:spacing w:before="120" w:after="120" w:line="380" w:lineRule="atLeast"/>
        <w:ind w:firstLine="709"/>
        <w:jc w:val="both"/>
      </w:pPr>
      <w:r>
        <w:t>Trường hợp không đáp ứng yêu cầu, Sở Tư pháp trả lời bằng văn bản và nêu rõ lý do</w:t>
      </w:r>
      <w:r w:rsidR="00076B52">
        <w:t>.</w:t>
      </w:r>
      <w:r>
        <w:t>”.</w:t>
      </w:r>
    </w:p>
    <w:p w:rsidR="0093169E" w:rsidRDefault="005B0D7E" w:rsidP="008935F7">
      <w:pPr>
        <w:spacing w:before="120" w:after="120" w:line="380" w:lineRule="atLeast"/>
        <w:ind w:firstLine="709"/>
        <w:jc w:val="both"/>
        <w:rPr>
          <w:b/>
          <w:color w:val="000000"/>
        </w:rPr>
      </w:pPr>
      <w:r>
        <w:rPr>
          <w:b/>
        </w:rPr>
        <w:t xml:space="preserve">Điều 3. </w:t>
      </w:r>
      <w:r w:rsidR="008C0C82">
        <w:rPr>
          <w:b/>
        </w:rPr>
        <w:t>Thay thế</w:t>
      </w:r>
      <w:r>
        <w:rPr>
          <w:b/>
        </w:rPr>
        <w:t xml:space="preserve"> </w:t>
      </w:r>
      <w:r w:rsidR="00FE7611" w:rsidRPr="00FE7611">
        <w:rPr>
          <w:b/>
        </w:rPr>
        <w:t>Mẫu số 01-TP-TGPL</w:t>
      </w:r>
      <w:r w:rsidR="00FE7611">
        <w:rPr>
          <w:b/>
        </w:rPr>
        <w:t xml:space="preserve"> </w:t>
      </w:r>
      <w:r w:rsidR="007C5FA0" w:rsidRPr="007C5FA0">
        <w:rPr>
          <w:b/>
        </w:rPr>
        <w:t>ban hành kèm theo</w:t>
      </w:r>
      <w:r>
        <w:rPr>
          <w:b/>
        </w:rPr>
        <w:t xml:space="preserve"> T</w:t>
      </w:r>
      <w:r>
        <w:rPr>
          <w:b/>
          <w:color w:val="000000"/>
        </w:rPr>
        <w:t>hông tư số 12/2018/TT-BTP</w:t>
      </w:r>
      <w:r>
        <w:rPr>
          <w:i/>
          <w:color w:val="000000"/>
          <w:highlight w:val="white"/>
        </w:rPr>
        <w:t xml:space="preserve"> </w:t>
      </w:r>
      <w:r>
        <w:rPr>
          <w:b/>
          <w:color w:val="000000"/>
          <w:highlight w:val="white"/>
        </w:rPr>
        <w:t>ngày 28 tháng 8 năm 2018</w:t>
      </w:r>
      <w:r>
        <w:rPr>
          <w:b/>
          <w:i/>
          <w:color w:val="000000"/>
          <w:highlight w:val="white"/>
        </w:rPr>
        <w:t xml:space="preserve"> </w:t>
      </w:r>
      <w:r w:rsidR="00C6243B">
        <w:rPr>
          <w:b/>
        </w:rPr>
        <w:t xml:space="preserve">của Bộ trưởng Bộ Tư pháp </w:t>
      </w:r>
      <w:r>
        <w:rPr>
          <w:b/>
          <w:color w:val="000000"/>
        </w:rPr>
        <w:t xml:space="preserve">hướng dẫn một số hoạt động nghiệp vụ trợ giúp pháp lý và quản lý chất lượng vụ việc trợ giúp pháp lý </w:t>
      </w:r>
    </w:p>
    <w:p w:rsidR="0093169E" w:rsidRDefault="00273320" w:rsidP="008935F7">
      <w:pPr>
        <w:spacing w:before="120" w:after="120" w:line="380" w:lineRule="atLeast"/>
        <w:ind w:firstLine="709"/>
        <w:jc w:val="both"/>
        <w:rPr>
          <w:color w:val="000000"/>
        </w:rPr>
      </w:pPr>
      <w:r>
        <w:t xml:space="preserve">Thay thế Mẫu số 01-TP-TGPL </w:t>
      </w:r>
      <w:r w:rsidRPr="00273320">
        <w:t>ban hành kèm theo Thông tư số 12/2018/TT-BTP</w:t>
      </w:r>
      <w:r>
        <w:t xml:space="preserve"> bằng Mẫu số 01-TP-TGPL tại Phụ lục </w:t>
      </w:r>
      <w:r w:rsidR="007C5FA0">
        <w:t xml:space="preserve">ban hành </w:t>
      </w:r>
      <w:r w:rsidR="005B0D7E">
        <w:t>kèm theo Thông tư này</w:t>
      </w:r>
      <w:r w:rsidR="00F8173A">
        <w:rPr>
          <w:color w:val="000000"/>
        </w:rPr>
        <w:t>.</w:t>
      </w:r>
    </w:p>
    <w:p w:rsidR="0093169E" w:rsidRDefault="005B0D7E" w:rsidP="008935F7">
      <w:pPr>
        <w:spacing w:before="120" w:after="120" w:line="380" w:lineRule="atLeast"/>
        <w:ind w:firstLine="709"/>
        <w:jc w:val="both"/>
        <w:rPr>
          <w:b/>
        </w:rPr>
      </w:pPr>
      <w:r>
        <w:rPr>
          <w:b/>
        </w:rPr>
        <w:t xml:space="preserve">Điều 4. </w:t>
      </w:r>
      <w:r w:rsidR="00E33F75" w:rsidRPr="00E33F75">
        <w:rPr>
          <w:b/>
        </w:rPr>
        <w:t>Thay thế Mẫu số 12-TP-TGPL ban hành kèm theo</w:t>
      </w:r>
      <w:r w:rsidR="00E33F75" w:rsidRPr="00273320">
        <w:t xml:space="preserve"> </w:t>
      </w:r>
      <w:r>
        <w:rPr>
          <w:b/>
        </w:rPr>
        <w:t>T</w:t>
      </w:r>
      <w:r>
        <w:rPr>
          <w:b/>
          <w:color w:val="000000"/>
        </w:rPr>
        <w:t>hông tư số 03/2021/TT-BTP ngày 25 tháng 5 </w:t>
      </w:r>
      <w:r>
        <w:rPr>
          <w:b/>
        </w:rPr>
        <w:t xml:space="preserve">năm 2021 của Bộ trưởng Bộ Tư pháp </w:t>
      </w:r>
      <w:bookmarkStart w:id="3" w:name="bookmark=id.74kcbzxfrwmb" w:colFirst="0" w:colLast="0"/>
      <w:bookmarkEnd w:id="3"/>
      <w:r>
        <w:rPr>
          <w:b/>
        </w:rPr>
        <w:t>sửa đổi, bổ sung một số điều của Thông tư số </w:t>
      </w:r>
      <w:bookmarkStart w:id="4" w:name="bookmark=id.1cjj5763oinq" w:colFirst="0" w:colLast="0"/>
      <w:bookmarkEnd w:id="4"/>
      <w:r>
        <w:fldChar w:fldCharType="begin"/>
      </w:r>
      <w:r>
        <w:instrText xml:space="preserve"> HYPERLINK "https://thuvienphapluat.vn/van-ban/dich-vu-phap-ly/thong-tu-08-2017-tt-btp-huong-dan-luat-tro-giup-phap-ly-giay-to-tro-giup-phap-ly-371153.aspx" \h </w:instrText>
      </w:r>
      <w:r>
        <w:fldChar w:fldCharType="separate"/>
      </w:r>
      <w:r>
        <w:rPr>
          <w:b/>
          <w:color w:val="000000"/>
        </w:rPr>
        <w:t>08/2017/TT-BTP</w:t>
      </w:r>
      <w:r>
        <w:rPr>
          <w:b/>
          <w:color w:val="000000"/>
        </w:rPr>
        <w:fldChar w:fldCharType="end"/>
      </w:r>
      <w:r>
        <w:rPr>
          <w:b/>
        </w:rPr>
        <w:t> ngày 15 tháng 11 năm 2017 của Bộ trưởng Bộ Tư pháp quy định chi tiết một số điều của Luật Trợ giúp pháp lý và hướng dẫn giấy tờ trong hoạt động trợ giúp pháp lý; Thông tư số </w:t>
      </w:r>
      <w:bookmarkStart w:id="5" w:name="bookmark=id.bemtk6g0dsz3" w:colFirst="0" w:colLast="0"/>
      <w:bookmarkEnd w:id="5"/>
      <w:r>
        <w:fldChar w:fldCharType="begin"/>
      </w:r>
      <w:r>
        <w:instrText xml:space="preserve"> HYPERLINK "https://thuvienphapluat.vn/van-ban/Dich-vu-phap-ly/Thong-tu-12-2018-TT-BTP-huong-dan-hoat-dong-nghiep-vu-quan-ly-chat-luong-vu-viec-tro-giup-phap-ly-381312.aspx" \h </w:instrText>
      </w:r>
      <w:r>
        <w:fldChar w:fldCharType="separate"/>
      </w:r>
      <w:r>
        <w:rPr>
          <w:b/>
          <w:color w:val="000000"/>
        </w:rPr>
        <w:t>12/2018/TT-BTP</w:t>
      </w:r>
      <w:r>
        <w:rPr>
          <w:b/>
          <w:color w:val="000000"/>
        </w:rPr>
        <w:fldChar w:fldCharType="end"/>
      </w:r>
      <w:r>
        <w:rPr>
          <w:b/>
        </w:rPr>
        <w:t xml:space="preserve"> ngày 28 tháng 8 năm 2018 của Bộ trưởng Bộ Tư pháp hướng dẫn một số hoạt động nghiệp vụ trợ giúp pháp lý và quản lý chất lượng vụ việc trợ giúp pháp lý </w:t>
      </w:r>
    </w:p>
    <w:p w:rsidR="001706A4" w:rsidRDefault="008A6416" w:rsidP="008935F7">
      <w:pPr>
        <w:spacing w:before="120" w:after="120" w:line="380" w:lineRule="atLeast"/>
        <w:ind w:firstLine="709"/>
        <w:jc w:val="both"/>
      </w:pPr>
      <w:bookmarkStart w:id="6" w:name="bookmark=id.gpgy4jfpy0sc" w:colFirst="0" w:colLast="0"/>
      <w:bookmarkEnd w:id="6"/>
      <w:r>
        <w:t>Thay thế Mẫu số 12-TP-TGPL</w:t>
      </w:r>
      <w:r w:rsidRPr="00273320">
        <w:t xml:space="preserve"> ban hành kèm theo</w:t>
      </w:r>
      <w:r w:rsidR="00E33F75">
        <w:t xml:space="preserve"> </w:t>
      </w:r>
      <w:r w:rsidR="00E33F75" w:rsidRPr="00E33F75">
        <w:t>T</w:t>
      </w:r>
      <w:r w:rsidR="00E33F75" w:rsidRPr="00E33F75">
        <w:rPr>
          <w:color w:val="000000"/>
        </w:rPr>
        <w:t>hông tư số 03/2021/TT-BTP</w:t>
      </w:r>
      <w:r w:rsidRPr="00273320">
        <w:t xml:space="preserve"> </w:t>
      </w:r>
      <w:r>
        <w:t xml:space="preserve">bằng Mẫu số 12-TP-TGPL tại Phụ lục </w:t>
      </w:r>
      <w:r w:rsidR="00E33F75">
        <w:t xml:space="preserve">ban hành </w:t>
      </w:r>
      <w:r>
        <w:t>kèm theo Thông tư này</w:t>
      </w:r>
      <w:r w:rsidR="001706A4">
        <w:t>.</w:t>
      </w:r>
    </w:p>
    <w:p w:rsidR="0093169E" w:rsidRDefault="005B0D7E" w:rsidP="008935F7">
      <w:pPr>
        <w:spacing w:before="120" w:after="120" w:line="380" w:lineRule="atLeast"/>
        <w:ind w:firstLine="709"/>
        <w:jc w:val="both"/>
        <w:rPr>
          <w:sz w:val="23"/>
          <w:szCs w:val="23"/>
          <w:highlight w:val="white"/>
        </w:rPr>
      </w:pPr>
      <w:r>
        <w:rPr>
          <w:b/>
        </w:rPr>
        <w:t>Điều 5. Sửa đổi, bổ sung một số khoản Điều 33 của Thông tư số 08/2017/TT-BTP ngày 15 tháng 11 năm 2017 của Bộ trưởng Bộ Tư pháp</w:t>
      </w:r>
      <w:r>
        <w:rPr>
          <w:b/>
          <w:i/>
          <w:highlight w:val="white"/>
        </w:rPr>
        <w:t xml:space="preserve"> </w:t>
      </w:r>
      <w:r>
        <w:rPr>
          <w:b/>
        </w:rPr>
        <w:t xml:space="preserve">quy </w:t>
      </w:r>
      <w:r>
        <w:rPr>
          <w:b/>
        </w:rPr>
        <w:lastRenderedPageBreak/>
        <w:t>định chi tiết một số điều của </w:t>
      </w:r>
      <w:hyperlink r:id="rId8">
        <w:r>
          <w:rPr>
            <w:b/>
            <w:color w:val="000000"/>
          </w:rPr>
          <w:t>Luật Trợ giúp pháp lý</w:t>
        </w:r>
      </w:hyperlink>
      <w:r>
        <w:rPr>
          <w:b/>
        </w:rPr>
        <w:t> và hướng dẫn giấy tờ trong hoạt động trợ giúp pháp lý</w:t>
      </w:r>
      <w:r>
        <w:rPr>
          <w:sz w:val="23"/>
          <w:szCs w:val="23"/>
          <w:highlight w:val="white"/>
        </w:rPr>
        <w:t xml:space="preserve"> </w:t>
      </w:r>
    </w:p>
    <w:p w:rsidR="0093169E" w:rsidRDefault="005B0D7E" w:rsidP="008935F7">
      <w:pPr>
        <w:spacing w:before="120" w:after="120" w:line="380" w:lineRule="atLeast"/>
        <w:ind w:firstLine="709"/>
        <w:jc w:val="both"/>
        <w:rPr>
          <w:highlight w:val="white"/>
        </w:rPr>
      </w:pPr>
      <w:r>
        <w:rPr>
          <w:highlight w:val="white"/>
        </w:rPr>
        <w:t xml:space="preserve">1. Sửa đổi điểm a khoản 3 Điều 33 như sau: </w:t>
      </w:r>
    </w:p>
    <w:p w:rsidR="0093169E" w:rsidRDefault="005B0D7E" w:rsidP="008935F7">
      <w:pPr>
        <w:spacing w:before="120" w:after="120" w:line="380" w:lineRule="atLeast"/>
        <w:ind w:firstLine="709"/>
        <w:jc w:val="both"/>
        <w:rPr>
          <w:highlight w:val="white"/>
        </w:rPr>
      </w:pPr>
      <w:r>
        <w:rPr>
          <w:highlight w:val="white"/>
        </w:rPr>
        <w:t>“a) Giấy khai sinh, hộ chiếu;”</w:t>
      </w:r>
    </w:p>
    <w:p w:rsidR="0093169E" w:rsidRDefault="005B0D7E" w:rsidP="008935F7">
      <w:pPr>
        <w:spacing w:before="120" w:after="120" w:line="380" w:lineRule="atLeast"/>
        <w:ind w:firstLine="709"/>
        <w:jc w:val="both"/>
        <w:rPr>
          <w:highlight w:val="white"/>
        </w:rPr>
      </w:pPr>
      <w:r>
        <w:rPr>
          <w:highlight w:val="white"/>
        </w:rPr>
        <w:t>2. Sửa đổi, bổ sung khoản 5 Điều 33 như sau:</w:t>
      </w:r>
    </w:p>
    <w:p w:rsidR="0093169E" w:rsidRDefault="005B0D7E" w:rsidP="008935F7">
      <w:pPr>
        <w:spacing w:before="120" w:after="120" w:line="380" w:lineRule="atLeast"/>
        <w:ind w:firstLine="709"/>
        <w:jc w:val="both"/>
        <w:rPr>
          <w:highlight w:val="white"/>
        </w:rPr>
      </w:pPr>
      <w:r>
        <w:rPr>
          <w:highlight w:val="white"/>
        </w:rPr>
        <w:t>“5. Giấy tờ chứng minh người từ đủ 16 tuổi đến dưới 18 tuổi là người bị tố giác, người bị kiến nghị khởi tố, người bị giữ trong trường hợp khẩn cấp, người bị buộc tội, bị hại, người làm chứng, người chấp hành biện pháp xử lý chuyển hướng, phạm nhân là văn bản của cơ quan, người có thẩm quyền xác định người đó thuộc một trong những diện người này</w:t>
      </w:r>
      <w:r w:rsidR="00076B52">
        <w:rPr>
          <w:highlight w:val="white"/>
        </w:rPr>
        <w:t>.</w:t>
      </w:r>
      <w:r>
        <w:rPr>
          <w:highlight w:val="white"/>
        </w:rPr>
        <w:t>”.</w:t>
      </w:r>
    </w:p>
    <w:p w:rsidR="0093169E" w:rsidRDefault="005B0D7E" w:rsidP="008935F7">
      <w:pPr>
        <w:spacing w:before="120" w:after="120" w:line="380" w:lineRule="atLeast"/>
        <w:ind w:firstLine="709"/>
        <w:jc w:val="both"/>
        <w:rPr>
          <w:highlight w:val="white"/>
        </w:rPr>
      </w:pPr>
      <w:r>
        <w:rPr>
          <w:highlight w:val="white"/>
        </w:rPr>
        <w:t xml:space="preserve">3. Sửa đổi, bổ sung khoản 13 Điều 33 như sau: </w:t>
      </w:r>
    </w:p>
    <w:p w:rsidR="0093169E" w:rsidRDefault="005B0D7E" w:rsidP="008935F7">
      <w:pPr>
        <w:spacing w:before="120" w:after="120" w:line="380" w:lineRule="atLeast"/>
        <w:ind w:firstLine="709"/>
        <w:jc w:val="both"/>
        <w:rPr>
          <w:highlight w:val="white"/>
        </w:rPr>
      </w:pPr>
      <w:r>
        <w:rPr>
          <w:highlight w:val="white"/>
        </w:rPr>
        <w:t>“13. Giấy tờ, tài liệu chứng minh là nạn nhân, người đang trong quá trình xác định là nạn nhân của hành vi mua bán người và người dưới 18 tuổi đi cùng theo quy định của Luật Phòng, chống mua bán người là văn bản của cơ quan, người có thẩm quyền theo quy định của pháp luật phòng, chống mua bán người xác định người đó thuộc một trong những diện người này</w:t>
      </w:r>
      <w:r w:rsidR="00076B52">
        <w:rPr>
          <w:highlight w:val="white"/>
        </w:rPr>
        <w:t>.</w:t>
      </w:r>
      <w:r>
        <w:rPr>
          <w:highlight w:val="white"/>
        </w:rPr>
        <w:t>”.</w:t>
      </w:r>
    </w:p>
    <w:p w:rsidR="0093169E" w:rsidRDefault="005B0D7E" w:rsidP="008935F7">
      <w:pPr>
        <w:spacing w:before="120" w:after="120" w:line="380" w:lineRule="atLeast"/>
        <w:ind w:firstLine="709"/>
        <w:jc w:val="both"/>
        <w:rPr>
          <w:b/>
        </w:rPr>
      </w:pPr>
      <w:r>
        <w:rPr>
          <w:b/>
        </w:rPr>
        <w:t>Điều 6. Sửa đổi</w:t>
      </w:r>
      <w:r w:rsidR="00650883">
        <w:rPr>
          <w:b/>
        </w:rPr>
        <w:t xml:space="preserve"> một số điểm, khoản tại</w:t>
      </w:r>
      <w:r>
        <w:rPr>
          <w:b/>
        </w:rPr>
        <w:t xml:space="preserve"> Điều 7 của Thông tư số 10/2016/TT-BTP ngày 22 tháng 7 năm 2016 của Bộ trưởng Bộ Tư pháp quy định về báo cáo viên pháp luật, tuyên truyền viên pháp luật</w:t>
      </w:r>
    </w:p>
    <w:p w:rsidR="00650883" w:rsidRPr="00650883" w:rsidRDefault="00650883" w:rsidP="008935F7">
      <w:pPr>
        <w:spacing w:before="120" w:after="120" w:line="380" w:lineRule="atLeast"/>
        <w:ind w:firstLine="709"/>
        <w:jc w:val="both"/>
        <w:rPr>
          <w:highlight w:val="white"/>
        </w:rPr>
      </w:pPr>
      <w:r w:rsidRPr="00650883">
        <w:rPr>
          <w:highlight w:val="white"/>
        </w:rPr>
        <w:t xml:space="preserve">1. Sửa đổi điểm d khoản 1 Điều 7 như sau: </w:t>
      </w:r>
    </w:p>
    <w:p w:rsidR="009843BB" w:rsidRPr="00650883" w:rsidRDefault="009843BB" w:rsidP="008935F7">
      <w:pPr>
        <w:spacing w:before="120" w:after="120" w:line="380" w:lineRule="atLeast"/>
        <w:ind w:firstLine="709"/>
        <w:jc w:val="both"/>
        <w:rPr>
          <w:highlight w:val="white"/>
        </w:rPr>
      </w:pPr>
      <w:r w:rsidRPr="00650883">
        <w:rPr>
          <w:highlight w:val="white"/>
        </w:rPr>
        <w:t xml:space="preserve">“d) Định kỳ 06 tháng, hằng năm hoặc đột xuất, báo cáo Bộ Tư pháp (đối với Bộ, ngành, đoàn thể Trung ương), Sở Tư pháp (đối với cơ quan, tổ chức cấp tỉnh, Ủy ban nhân dân cấp xã) về kết quả xây dựng, </w:t>
      </w:r>
      <w:r>
        <w:rPr>
          <w:highlight w:val="white"/>
        </w:rPr>
        <w:t xml:space="preserve">quản lý, tập huấn </w:t>
      </w:r>
      <w:r w:rsidRPr="00650883">
        <w:rPr>
          <w:highlight w:val="white"/>
        </w:rPr>
        <w:t>và</w:t>
      </w:r>
      <w:r>
        <w:rPr>
          <w:highlight w:val="white"/>
        </w:rPr>
        <w:t xml:space="preserve"> triển khai các giải pháp</w:t>
      </w:r>
      <w:r w:rsidRPr="00650883">
        <w:rPr>
          <w:highlight w:val="white"/>
        </w:rPr>
        <w:t xml:space="preserve"> nâng cao chất lượng</w:t>
      </w:r>
      <w:r>
        <w:rPr>
          <w:highlight w:val="white"/>
        </w:rPr>
        <w:t>, hiệu quả hoạt động của</w:t>
      </w:r>
      <w:r w:rsidRPr="00650883">
        <w:rPr>
          <w:highlight w:val="white"/>
        </w:rPr>
        <w:t xml:space="preserve"> đội ngũ báo cáo viên pháp luật, tuyên truyền viên pháp luật thuộc phạm vi quản lý</w:t>
      </w:r>
      <w:r w:rsidR="00C6243B">
        <w:rPr>
          <w:highlight w:val="white"/>
        </w:rPr>
        <w:t>.</w:t>
      </w:r>
      <w:r w:rsidRPr="00650883">
        <w:rPr>
          <w:highlight w:val="white"/>
        </w:rPr>
        <w:t>”.</w:t>
      </w:r>
    </w:p>
    <w:p w:rsidR="00650883" w:rsidRPr="00650883" w:rsidRDefault="00650883" w:rsidP="008935F7">
      <w:pPr>
        <w:spacing w:before="120" w:after="120" w:line="380" w:lineRule="atLeast"/>
        <w:ind w:firstLine="709"/>
        <w:jc w:val="both"/>
        <w:rPr>
          <w:highlight w:val="white"/>
        </w:rPr>
      </w:pPr>
      <w:r w:rsidRPr="00650883">
        <w:rPr>
          <w:highlight w:val="white"/>
        </w:rPr>
        <w:t>2. Sửa đổi khoản 3 Điều 7 như sau:</w:t>
      </w:r>
    </w:p>
    <w:p w:rsidR="0093169E" w:rsidRDefault="005B0D7E" w:rsidP="008935F7">
      <w:pPr>
        <w:spacing w:before="120" w:after="120" w:line="380" w:lineRule="atLeast"/>
        <w:ind w:firstLine="709"/>
        <w:jc w:val="both"/>
        <w:rPr>
          <w:b/>
          <w:i/>
        </w:rPr>
      </w:pPr>
      <w:r>
        <w:rPr>
          <w:highlight w:val="white"/>
        </w:rPr>
        <w:t>“</w:t>
      </w:r>
      <w:r>
        <w:t>3. Sở Tư pháp, Ủy ban nhân dân cấp xã có trách nhiệm hướng dẫn cơ quan, tổ chức cùng cấp thực hiện trách nhiệm quy định tại khoản 1 Điều này và có nhiệm vụ sau đây:</w:t>
      </w:r>
    </w:p>
    <w:p w:rsidR="0093169E" w:rsidRDefault="005B0D7E" w:rsidP="008935F7">
      <w:pPr>
        <w:pBdr>
          <w:top w:val="nil"/>
          <w:left w:val="nil"/>
          <w:bottom w:val="nil"/>
          <w:right w:val="nil"/>
          <w:between w:val="nil"/>
        </w:pBdr>
        <w:spacing w:before="120" w:after="120" w:line="380" w:lineRule="atLeast"/>
        <w:ind w:firstLine="709"/>
        <w:jc w:val="both"/>
        <w:rPr>
          <w:color w:val="000000"/>
        </w:rPr>
      </w:pPr>
      <w:r>
        <w:rPr>
          <w:color w:val="000000"/>
        </w:rPr>
        <w:t>a) Chủ trì tổ chức tập huấn, bồi dưỡng, cập nhật kiến thức pháp luật, kỹ năng, nghiệp vụ phổ biến, giáo dục pháp luật cho báo cáo viên pháp luật, tuyên truyền viên pháp luật thuộc phạm vi quản lý;</w:t>
      </w:r>
    </w:p>
    <w:p w:rsidR="0093169E" w:rsidRDefault="005B0D7E" w:rsidP="008935F7">
      <w:pPr>
        <w:pBdr>
          <w:top w:val="nil"/>
          <w:left w:val="nil"/>
          <w:bottom w:val="nil"/>
          <w:right w:val="nil"/>
          <w:between w:val="nil"/>
        </w:pBdr>
        <w:spacing w:before="120" w:after="120" w:line="380" w:lineRule="atLeast"/>
        <w:ind w:firstLine="709"/>
        <w:jc w:val="both"/>
        <w:rPr>
          <w:color w:val="000000"/>
        </w:rPr>
      </w:pPr>
      <w:r>
        <w:rPr>
          <w:color w:val="000000"/>
        </w:rPr>
        <w:lastRenderedPageBreak/>
        <w:t>b) Chỉ đạo, hướng dẫn việc tổ chức tập huấn, bồi dưỡng, cập nhật kiến thức pháp luật, kỹ năng, nghiệp vụ phổ biến, giáo dục pháp luật cho báo cáo viên pháp luật, tuyên truyền viên pháp luật thuộc phạm vi quản lý;</w:t>
      </w:r>
    </w:p>
    <w:p w:rsidR="0093169E" w:rsidRDefault="005B0D7E" w:rsidP="008935F7">
      <w:pPr>
        <w:spacing w:before="120" w:after="120" w:line="380" w:lineRule="atLeast"/>
        <w:ind w:firstLine="709"/>
        <w:jc w:val="both"/>
      </w:pPr>
      <w:r>
        <w:rPr>
          <w:highlight w:val="white"/>
        </w:rPr>
        <w:t>c) Định kỳ 6 tháng, hằng năm hoặc đột xuất, Sở Tư pháp báo cáo Ủy ban nhân dân cấp tỉnh và Bộ Tư pháp về kết quả xây dựng, quản lý, tập huấn và triển khai các giải pháp nâng cao chất lượng, hiệu quả hoạt động của đội ngũ báo cáo viên pháp luật, tuyên truyền viên pháp luật tại địa phương; Ủy ban nhân dân cấp xã báo cáo Sở Tư pháp về kết quả xây dựng, tập huấn, quản lý và sử dụng có hiệu quả đội ngũ tuyên truyền viên pháp luật tại địa phương</w:t>
      </w:r>
      <w:r w:rsidR="00076B52">
        <w:rPr>
          <w:highlight w:val="white"/>
        </w:rPr>
        <w:t>.</w:t>
      </w:r>
      <w:r>
        <w:rPr>
          <w:highlight w:val="white"/>
        </w:rPr>
        <w:t>”.</w:t>
      </w:r>
    </w:p>
    <w:p w:rsidR="0093169E" w:rsidRDefault="005B0D7E" w:rsidP="008935F7">
      <w:pPr>
        <w:pBdr>
          <w:top w:val="nil"/>
          <w:left w:val="nil"/>
          <w:bottom w:val="nil"/>
          <w:right w:val="nil"/>
          <w:between w:val="nil"/>
        </w:pBdr>
        <w:spacing w:before="120" w:after="120" w:line="380" w:lineRule="atLeast"/>
        <w:ind w:firstLine="709"/>
        <w:jc w:val="both"/>
        <w:rPr>
          <w:b/>
          <w:color w:val="000000"/>
        </w:rPr>
      </w:pPr>
      <w:r>
        <w:rPr>
          <w:b/>
          <w:color w:val="000000"/>
        </w:rPr>
        <w:t>Điều 7. Sửa đổi một số</w:t>
      </w:r>
      <w:r w:rsidR="00E8600D">
        <w:rPr>
          <w:b/>
          <w:color w:val="000000"/>
        </w:rPr>
        <w:t xml:space="preserve"> khoản tại Điều 24 và thay thế</w:t>
      </w:r>
      <w:r>
        <w:rPr>
          <w:b/>
          <w:color w:val="000000"/>
        </w:rPr>
        <w:t xml:space="preserve"> </w:t>
      </w:r>
      <w:r w:rsidR="00E8600D">
        <w:rPr>
          <w:b/>
          <w:color w:val="000000"/>
        </w:rPr>
        <w:t xml:space="preserve">một số </w:t>
      </w:r>
      <w:r>
        <w:rPr>
          <w:b/>
          <w:color w:val="000000"/>
        </w:rPr>
        <w:t xml:space="preserve">biểu mẫu </w:t>
      </w:r>
      <w:r w:rsidR="00E8600D">
        <w:rPr>
          <w:b/>
          <w:color w:val="000000"/>
        </w:rPr>
        <w:t>ban hành</w:t>
      </w:r>
      <w:r>
        <w:rPr>
          <w:b/>
          <w:color w:val="000000"/>
        </w:rPr>
        <w:t xml:space="preserve"> </w:t>
      </w:r>
      <w:r w:rsidR="00E8600D">
        <w:rPr>
          <w:b/>
          <w:color w:val="000000"/>
        </w:rPr>
        <w:t xml:space="preserve">kèm theo </w:t>
      </w:r>
      <w:r>
        <w:rPr>
          <w:b/>
          <w:color w:val="000000"/>
        </w:rPr>
        <w:t>Thông tư số 05/2025/TT-BTP ngày 15 tháng 5 năm 2025 của Bộ trưởng Bộ Tư pháp quy định chi tiết một số điều và biện pháp thi hành Luật Công chứng</w:t>
      </w:r>
    </w:p>
    <w:p w:rsidR="0093169E" w:rsidRDefault="005B0D7E" w:rsidP="008935F7">
      <w:pPr>
        <w:spacing w:before="120" w:after="120" w:line="380" w:lineRule="atLeast"/>
        <w:ind w:firstLine="709"/>
        <w:jc w:val="both"/>
      </w:pPr>
      <w:r>
        <w:t>1. Sửa đổi khoản 1, 2, 3 và 4 Điều 24 như sau:</w:t>
      </w:r>
    </w:p>
    <w:p w:rsidR="0093169E" w:rsidRDefault="005B0D7E" w:rsidP="008935F7">
      <w:pPr>
        <w:spacing w:before="120" w:after="120" w:line="380" w:lineRule="atLeast"/>
        <w:ind w:firstLine="709"/>
        <w:jc w:val="both"/>
      </w:pPr>
      <w:r>
        <w:t xml:space="preserve">“1. </w:t>
      </w:r>
      <w:r>
        <w:rPr>
          <w:color w:val="000000"/>
          <w:highlight w:val="white"/>
        </w:rPr>
        <w:t>Văn bản đề nghị công nhận tương đương đào tạo nghề công chứng</w:t>
      </w:r>
      <w:r>
        <w:t xml:space="preserve"> (Mẫu TP-CC-01).</w:t>
      </w:r>
    </w:p>
    <w:p w:rsidR="0093169E" w:rsidRDefault="005B0D7E" w:rsidP="008935F7">
      <w:pPr>
        <w:spacing w:before="120" w:after="120" w:line="380" w:lineRule="atLeast"/>
        <w:ind w:firstLine="709"/>
        <w:jc w:val="both"/>
      </w:pPr>
      <w:r>
        <w:t xml:space="preserve">2. </w:t>
      </w:r>
      <w:r>
        <w:rPr>
          <w:color w:val="000000"/>
          <w:highlight w:val="white"/>
        </w:rPr>
        <w:t>Văn bản đề nghị bổ nhiệm công chứng viên</w:t>
      </w:r>
      <w:r>
        <w:t xml:space="preserve"> (Mẫu TP-CC-02). </w:t>
      </w:r>
    </w:p>
    <w:p w:rsidR="0093169E" w:rsidRDefault="005B0D7E" w:rsidP="008935F7">
      <w:pPr>
        <w:spacing w:before="120" w:after="120" w:line="380" w:lineRule="atLeast"/>
        <w:ind w:firstLine="709"/>
        <w:jc w:val="both"/>
      </w:pPr>
      <w:r>
        <w:t xml:space="preserve">3. </w:t>
      </w:r>
      <w:r>
        <w:rPr>
          <w:color w:val="000000"/>
          <w:highlight w:val="white"/>
        </w:rPr>
        <w:t>Văn bản đề nghị miễn nhiệm công chứng viên</w:t>
      </w:r>
      <w:r>
        <w:t xml:space="preserve"> (Mẫu TP-CC-03). </w:t>
      </w:r>
    </w:p>
    <w:p w:rsidR="0093169E" w:rsidRDefault="005B0D7E" w:rsidP="008935F7">
      <w:pPr>
        <w:spacing w:before="120" w:after="120" w:line="380" w:lineRule="atLeast"/>
        <w:ind w:firstLine="709"/>
        <w:jc w:val="both"/>
      </w:pPr>
      <w:r>
        <w:t xml:space="preserve">4. </w:t>
      </w:r>
      <w:r>
        <w:rPr>
          <w:color w:val="000000"/>
          <w:highlight w:val="white"/>
        </w:rPr>
        <w:t>Văn bản đề nghị bổ nhiệm lại công chứng viên (</w:t>
      </w:r>
      <w:r>
        <w:t>Mẫu TP-CC-04).”</w:t>
      </w:r>
      <w:r w:rsidR="00C6243B">
        <w:t>.</w:t>
      </w:r>
      <w:bookmarkStart w:id="7" w:name="_GoBack"/>
      <w:bookmarkEnd w:id="7"/>
    </w:p>
    <w:p w:rsidR="00C350D8" w:rsidRDefault="005B0D7E" w:rsidP="008935F7">
      <w:pPr>
        <w:spacing w:before="120" w:after="120" w:line="380" w:lineRule="atLeast"/>
        <w:ind w:firstLine="709"/>
        <w:jc w:val="both"/>
      </w:pPr>
      <w:r>
        <w:t xml:space="preserve">2. </w:t>
      </w:r>
      <w:r w:rsidR="00C350D8">
        <w:t xml:space="preserve">Thay thế </w:t>
      </w:r>
      <w:r w:rsidR="00E33F75">
        <w:t>c</w:t>
      </w:r>
      <w:r w:rsidR="00C350D8">
        <w:t>ác mẫu</w:t>
      </w:r>
      <w:r w:rsidR="00C350D8" w:rsidRPr="00C350D8">
        <w:t xml:space="preserve"> </w:t>
      </w:r>
      <w:r w:rsidR="00C350D8">
        <w:t>Mẫu TP-CC-01, Mẫu TP-CC-02,</w:t>
      </w:r>
      <w:r w:rsidR="00C350D8" w:rsidRPr="00C350D8">
        <w:t xml:space="preserve"> </w:t>
      </w:r>
      <w:r w:rsidR="00C350D8">
        <w:t>Mẫu TP-CC-03,</w:t>
      </w:r>
      <w:r w:rsidR="00C350D8" w:rsidRPr="00C350D8">
        <w:t xml:space="preserve"> </w:t>
      </w:r>
      <w:r w:rsidR="00C350D8">
        <w:t xml:space="preserve">Mẫu TP-CC-04 ban hành kèm theo Thông tư </w:t>
      </w:r>
      <w:r w:rsidR="00C350D8" w:rsidRPr="00C350D8">
        <w:rPr>
          <w:color w:val="000000"/>
        </w:rPr>
        <w:t>số 05/2025/TT-BTP</w:t>
      </w:r>
      <w:r w:rsidR="00C350D8">
        <w:rPr>
          <w:color w:val="000000"/>
        </w:rPr>
        <w:t xml:space="preserve"> bằng các mẫu </w:t>
      </w:r>
      <w:r w:rsidR="00C350D8">
        <w:t>Mẫu TP-CC-01, Mẫu TP-CC-02,</w:t>
      </w:r>
      <w:r w:rsidR="00C350D8" w:rsidRPr="00C350D8">
        <w:t xml:space="preserve"> </w:t>
      </w:r>
      <w:r w:rsidR="00C350D8">
        <w:t>Mẫu TP-CC-03,</w:t>
      </w:r>
      <w:r w:rsidR="00C350D8" w:rsidRPr="00C350D8">
        <w:t xml:space="preserve"> </w:t>
      </w:r>
      <w:r w:rsidR="00C350D8">
        <w:t>Mẫu TP-CC-04 tại Phụ lục</w:t>
      </w:r>
      <w:r w:rsidR="00E8600D">
        <w:t xml:space="preserve"> ban hành</w:t>
      </w:r>
      <w:r w:rsidR="00C350D8">
        <w:t xml:space="preserve"> kèm theo Thông tư này.</w:t>
      </w:r>
    </w:p>
    <w:p w:rsidR="0093169E" w:rsidRDefault="005B0D7E" w:rsidP="008935F7">
      <w:pPr>
        <w:spacing w:before="120" w:after="120" w:line="380" w:lineRule="atLeast"/>
        <w:ind w:firstLine="709"/>
        <w:jc w:val="both"/>
        <w:rPr>
          <w:b/>
          <w:color w:val="000000"/>
          <w:highlight w:val="white"/>
        </w:rPr>
      </w:pPr>
      <w:r>
        <w:rPr>
          <w:b/>
        </w:rPr>
        <w:tab/>
        <w:t xml:space="preserve">Điều 8. </w:t>
      </w:r>
      <w:r w:rsidR="00E8600D">
        <w:rPr>
          <w:b/>
          <w:color w:val="000000"/>
        </w:rPr>
        <w:t xml:space="preserve">Thay thế, bổ sung một số biểu mẫu ban hành kèm theo </w:t>
      </w:r>
      <w:r>
        <w:rPr>
          <w:b/>
        </w:rPr>
        <w:t xml:space="preserve">Thông tư số 03/2024/TT-BTP ngày 15 tháng 5 năm 2024 của Bộ trưởng Bộ Tư pháp </w:t>
      </w:r>
      <w:r>
        <w:rPr>
          <w:b/>
          <w:color w:val="000000"/>
          <w:highlight w:val="white"/>
        </w:rPr>
        <w:t>sửa đổi, bổ sung 08 thông tư liên quan đến thủ tục hành chính trong lĩnh vực bổ trợ tư pháp</w:t>
      </w:r>
    </w:p>
    <w:p w:rsidR="007E521A" w:rsidRDefault="00E8600D" w:rsidP="008935F7">
      <w:pPr>
        <w:spacing w:before="120" w:after="120" w:line="380" w:lineRule="atLeast"/>
        <w:ind w:firstLine="709"/>
        <w:jc w:val="both"/>
      </w:pPr>
      <w:r>
        <w:t xml:space="preserve">1. </w:t>
      </w:r>
      <w:r w:rsidR="007E521A" w:rsidRPr="007E521A">
        <w:t xml:space="preserve">Thay thế </w:t>
      </w:r>
      <w:r w:rsidR="005F695C">
        <w:t>c</w:t>
      </w:r>
      <w:r w:rsidR="007E521A" w:rsidRPr="007E521A">
        <w:t>ác mẫu</w:t>
      </w:r>
      <w:r w:rsidR="005F695C">
        <w:t>:</w:t>
      </w:r>
      <w:r w:rsidR="007E521A" w:rsidRPr="007E521A">
        <w:t xml:space="preserve"> Mẫu TP-HGTM-01-sđ, Mẫu TP-HGTM-02-</w:t>
      </w:r>
      <w:r w:rsidR="00076B52">
        <w:t>sđ, Mẫu TP-HGTM-03-sđ, Mẫu TP-</w:t>
      </w:r>
      <w:r w:rsidR="007E521A" w:rsidRPr="007E521A">
        <w:t>HGTM-04-sđ, Mẫu</w:t>
      </w:r>
      <w:r w:rsidR="00076B52">
        <w:t xml:space="preserve"> </w:t>
      </w:r>
      <w:r w:rsidR="007E521A" w:rsidRPr="007E521A">
        <w:t>TP-HGTM-05-sđ, Mẫu TP- HGTM-06-sđ, Mẫu TP-HGTM-07-sđ, Mẫu TP-</w:t>
      </w:r>
      <w:r w:rsidR="00076B52">
        <w:t>HGTM-08-sđ, Mẫu TP-H</w:t>
      </w:r>
      <w:r w:rsidR="007E521A" w:rsidRPr="007E521A">
        <w:t>GTM-09-sđ, Mẫu TP-HGTM-10-sđ, Mẫu TP-HGTM-11-sđ, Mẫu TP-HGTM-12-sđ, Mẫu TP-HGTM-13-sđ, Mẫu TP-HGTM-14-sđ, Mẫu TP-HGTM-15-sđ, Mẫu TP</w:t>
      </w:r>
      <w:r w:rsidR="00076B52">
        <w:t>-</w:t>
      </w:r>
      <w:r w:rsidR="007E521A" w:rsidRPr="007E521A">
        <w:t xml:space="preserve">HGTM-16-sđ, Mẫu TP-HGTM-19-sđ, Mẫu TP-HGTM-20-sđ ban hành kèm theo Thông tư số 03/2024/TT-BTP </w:t>
      </w:r>
      <w:r w:rsidR="007E521A" w:rsidRPr="007E521A">
        <w:rPr>
          <w:color w:val="000000"/>
        </w:rPr>
        <w:t xml:space="preserve">bằng các </w:t>
      </w:r>
      <w:r w:rsidR="005F695C">
        <w:rPr>
          <w:color w:val="000000"/>
        </w:rPr>
        <w:t xml:space="preserve">mẫu: </w:t>
      </w:r>
      <w:r w:rsidR="007E521A" w:rsidRPr="007E521A">
        <w:t>Mẫu TP-HGTM-01, Mẫu TP- HGTM-02, Mẫu TP-HGTM-03, Mẫu TP-HGTM-04 Mẫu TP-</w:t>
      </w:r>
      <w:r w:rsidR="00076B52">
        <w:t xml:space="preserve">HGTM-05, Mẫu </w:t>
      </w:r>
      <w:r w:rsidR="00076B52">
        <w:lastRenderedPageBreak/>
        <w:t>TP-</w:t>
      </w:r>
      <w:r w:rsidR="007E521A" w:rsidRPr="007E521A">
        <w:t>HG</w:t>
      </w:r>
      <w:r w:rsidR="00076B52">
        <w:t>TM-06, Mẫu TP-</w:t>
      </w:r>
      <w:r w:rsidR="007E521A" w:rsidRPr="007E521A">
        <w:t>HGTM-07, Mẫu TP-</w:t>
      </w:r>
      <w:r w:rsidR="00076B52">
        <w:t>HGTM-08, Mẫu TP-</w:t>
      </w:r>
      <w:r w:rsidR="007E521A" w:rsidRPr="007E521A">
        <w:t>HG</w:t>
      </w:r>
      <w:r w:rsidR="00076B52">
        <w:t>TM-09, Mẫu TP-HGTM-10, Mẫu TP-</w:t>
      </w:r>
      <w:r w:rsidR="007E521A" w:rsidRPr="007E521A">
        <w:t>HG</w:t>
      </w:r>
      <w:r w:rsidR="00076B52">
        <w:t>TM-11, Mẫu TP-HGTM-12, Mẫu TP-HGTM-13, Mẫu TP-</w:t>
      </w:r>
      <w:r w:rsidR="007E521A" w:rsidRPr="007E521A">
        <w:t>HG</w:t>
      </w:r>
      <w:r w:rsidR="00076B52">
        <w:t>TM-14, Mẫu TP-HGTM-15, Mẫu TP-</w:t>
      </w:r>
      <w:r w:rsidR="007E521A" w:rsidRPr="007E521A">
        <w:t>HGTM-16, Mẫu TP-</w:t>
      </w:r>
      <w:r w:rsidR="00076B52">
        <w:t>HGTM-19, Mẫu TP-</w:t>
      </w:r>
      <w:r w:rsidR="007E521A" w:rsidRPr="007E521A">
        <w:t xml:space="preserve">HGTM-20 tại Phụ lục </w:t>
      </w:r>
      <w:r>
        <w:t xml:space="preserve">ban hành </w:t>
      </w:r>
      <w:r w:rsidR="007E521A" w:rsidRPr="007E521A">
        <w:t>kèm theo Thông tư này.</w:t>
      </w:r>
    </w:p>
    <w:p w:rsidR="0093169E" w:rsidRDefault="00E8600D" w:rsidP="008935F7">
      <w:pPr>
        <w:spacing w:before="120" w:after="120" w:line="380" w:lineRule="atLeast"/>
        <w:ind w:firstLine="709"/>
        <w:jc w:val="both"/>
      </w:pPr>
      <w:r>
        <w:t>2</w:t>
      </w:r>
      <w:r w:rsidR="006117A9">
        <w:t xml:space="preserve">. Bổ sung các mẫu </w:t>
      </w:r>
      <w:r w:rsidR="006117A9" w:rsidRPr="00F56350">
        <w:rPr>
          <w:spacing w:val="-4"/>
        </w:rPr>
        <w:t>Mẫu TP-HGTM-25</w:t>
      </w:r>
      <w:r w:rsidR="006117A9">
        <w:rPr>
          <w:spacing w:val="-4"/>
        </w:rPr>
        <w:t>,</w:t>
      </w:r>
      <w:r w:rsidR="006117A9" w:rsidRPr="006117A9">
        <w:rPr>
          <w:spacing w:val="-4"/>
        </w:rPr>
        <w:t xml:space="preserve"> </w:t>
      </w:r>
      <w:r w:rsidR="006117A9" w:rsidRPr="00F56350">
        <w:rPr>
          <w:spacing w:val="-4"/>
        </w:rPr>
        <w:t>Mẫu TP-HGTM-2</w:t>
      </w:r>
      <w:r w:rsidR="006117A9">
        <w:rPr>
          <w:spacing w:val="-4"/>
        </w:rPr>
        <w:t xml:space="preserve">6 </w:t>
      </w:r>
      <w:r w:rsidR="005B0D7E">
        <w:t>tại Phụ luc ban hành</w:t>
      </w:r>
      <w:r w:rsidR="006117A9">
        <w:t xml:space="preserve"> kèm theo Thông tư này vào Thông tư số </w:t>
      </w:r>
      <w:r w:rsidR="006117A9" w:rsidRPr="006117A9">
        <w:t>03/2024/TT-BTP</w:t>
      </w:r>
      <w:r w:rsidR="006117A9">
        <w:t>.</w:t>
      </w:r>
    </w:p>
    <w:p w:rsidR="003D28E3" w:rsidRDefault="003D28E3" w:rsidP="008935F7">
      <w:pPr>
        <w:spacing w:before="120" w:after="120" w:line="380" w:lineRule="atLeast"/>
        <w:ind w:firstLine="709"/>
        <w:jc w:val="both"/>
        <w:rPr>
          <w:b/>
          <w:color w:val="000000"/>
          <w:highlight w:val="white"/>
        </w:rPr>
      </w:pPr>
      <w:r>
        <w:rPr>
          <w:b/>
        </w:rPr>
        <w:tab/>
        <w:t xml:space="preserve">Điều 9. </w:t>
      </w:r>
      <w:r>
        <w:rPr>
          <w:b/>
          <w:color w:val="000000"/>
        </w:rPr>
        <w:t xml:space="preserve">Thay thế một số biểu mẫu ban hành kèm theo </w:t>
      </w:r>
      <w:r>
        <w:rPr>
          <w:b/>
        </w:rPr>
        <w:t xml:space="preserve">Thông tư số 08/2025/TT-BTP ngày 12 tháng 6 năm 2025 của Bộ trưởng Bộ Tư pháp </w:t>
      </w:r>
      <w:r w:rsidRPr="003D28E3">
        <w:rPr>
          <w:b/>
          <w:color w:val="000000"/>
        </w:rPr>
        <w:t>quy định về phân định thẩm quyền của chính quyền địa phương 02 cấp và phân cấp trong lĩnh vực quản lý nhà nước của Bộ Tư pháp</w:t>
      </w:r>
    </w:p>
    <w:p w:rsidR="003D28E3" w:rsidRDefault="003D28E3" w:rsidP="008935F7">
      <w:pPr>
        <w:spacing w:before="120" w:after="120" w:line="380" w:lineRule="atLeast"/>
        <w:ind w:firstLine="709"/>
        <w:jc w:val="both"/>
      </w:pPr>
      <w:r>
        <w:t>Thay thế</w:t>
      </w:r>
      <w:r w:rsidR="008935F7">
        <w:t xml:space="preserve"> các mẫu: </w:t>
      </w:r>
      <w:r w:rsidR="008935F7" w:rsidRPr="006F4678">
        <w:rPr>
          <w:iCs/>
          <w:color w:val="000000"/>
        </w:rPr>
        <w:t>Mẫu số 01-PLII-CT</w:t>
      </w:r>
      <w:r w:rsidR="008935F7">
        <w:rPr>
          <w:iCs/>
          <w:color w:val="000000"/>
        </w:rPr>
        <w:t xml:space="preserve">, </w:t>
      </w:r>
      <w:r w:rsidR="008935F7" w:rsidRPr="006F4678">
        <w:rPr>
          <w:iCs/>
          <w:color w:val="000000"/>
        </w:rPr>
        <w:t>Mẫu số 03-PLII-CT</w:t>
      </w:r>
      <w:r w:rsidR="008935F7">
        <w:rPr>
          <w:iCs/>
          <w:color w:val="000000"/>
        </w:rPr>
        <w:t>,</w:t>
      </w:r>
      <w:r w:rsidR="008935F7">
        <w:rPr>
          <w:iCs/>
          <w:color w:val="000000"/>
          <w:lang w:val="vi-VN"/>
        </w:rPr>
        <w:t xml:space="preserve"> </w:t>
      </w:r>
      <w:r w:rsidR="008935F7" w:rsidRPr="006F4678">
        <w:t>Mẫu số 05-PLII-CT</w:t>
      </w:r>
      <w:r w:rsidR="008935F7">
        <w:t xml:space="preserve">, </w:t>
      </w:r>
      <w:r w:rsidR="008935F7" w:rsidRPr="006F4678">
        <w:rPr>
          <w:iCs/>
          <w:color w:val="000000"/>
        </w:rPr>
        <w:t>Mẫu số 08-PLII-CT</w:t>
      </w:r>
      <w:r w:rsidR="008935F7">
        <w:rPr>
          <w:iCs/>
          <w:color w:val="000000"/>
        </w:rPr>
        <w:t xml:space="preserve">, </w:t>
      </w:r>
      <w:r w:rsidR="008935F7" w:rsidRPr="006F4678">
        <w:rPr>
          <w:iCs/>
          <w:color w:val="000000"/>
        </w:rPr>
        <w:t>Mẫu số 09-PLII-CT</w:t>
      </w:r>
      <w:r w:rsidR="008935F7">
        <w:rPr>
          <w:iCs/>
          <w:color w:val="000000"/>
        </w:rPr>
        <w:t xml:space="preserve">, </w:t>
      </w:r>
      <w:r w:rsidR="008935F7" w:rsidRPr="006F4678">
        <w:rPr>
          <w:iCs/>
          <w:color w:val="000000"/>
        </w:rPr>
        <w:t>Mẫu số 10-PLII-CT</w:t>
      </w:r>
      <w:r w:rsidR="008935F7">
        <w:rPr>
          <w:iCs/>
          <w:color w:val="000000"/>
        </w:rPr>
        <w:t xml:space="preserve">, </w:t>
      </w:r>
      <w:r w:rsidR="008935F7" w:rsidRPr="006F4678">
        <w:rPr>
          <w:iCs/>
          <w:color w:val="000000"/>
        </w:rPr>
        <w:t>Mẫu số 11-PLII-CT</w:t>
      </w:r>
      <w:r w:rsidR="008935F7">
        <w:rPr>
          <w:iCs/>
          <w:color w:val="000000"/>
        </w:rPr>
        <w:t xml:space="preserve">, </w:t>
      </w:r>
      <w:r w:rsidR="008935F7" w:rsidRPr="006F4678">
        <w:rPr>
          <w:iCs/>
          <w:color w:val="000000"/>
        </w:rPr>
        <w:t>Mẫu số 12-PLII-CT</w:t>
      </w:r>
      <w:r w:rsidR="008935F7">
        <w:rPr>
          <w:iCs/>
          <w:color w:val="000000"/>
        </w:rPr>
        <w:t xml:space="preserve">, </w:t>
      </w:r>
      <w:r w:rsidR="008935F7" w:rsidRPr="006F4678">
        <w:rPr>
          <w:shd w:val="clear" w:color="auto" w:fill="FFFFFF"/>
        </w:rPr>
        <w:t>Mẫu số 13-PLII-CT</w:t>
      </w:r>
      <w:r w:rsidR="008935F7">
        <w:rPr>
          <w:shd w:val="clear" w:color="auto" w:fill="FFFFFF"/>
        </w:rPr>
        <w:t xml:space="preserve">, </w:t>
      </w:r>
      <w:r w:rsidR="008935F7" w:rsidRPr="006F4678">
        <w:rPr>
          <w:shd w:val="clear" w:color="auto" w:fill="FFFFFF"/>
        </w:rPr>
        <w:t>Mẫu số 14-PLII-CT</w:t>
      </w:r>
      <w:r w:rsidR="008935F7">
        <w:rPr>
          <w:shd w:val="clear" w:color="auto" w:fill="FFFFFF"/>
        </w:rPr>
        <w:t xml:space="preserve">, </w:t>
      </w:r>
      <w:r w:rsidR="008935F7" w:rsidRPr="006F4678">
        <w:rPr>
          <w:shd w:val="clear" w:color="auto" w:fill="FFFFFF"/>
        </w:rPr>
        <w:t>Mẫu số 15-PLII-CT</w:t>
      </w:r>
      <w:r w:rsidR="008935F7">
        <w:rPr>
          <w:shd w:val="clear" w:color="auto" w:fill="FFFFFF"/>
        </w:rPr>
        <w:t xml:space="preserve">, </w:t>
      </w:r>
      <w:r w:rsidR="008935F7" w:rsidRPr="006F4678">
        <w:rPr>
          <w:shd w:val="clear" w:color="auto" w:fill="FFFFFF"/>
        </w:rPr>
        <w:t>Mẫu số 16-PLII-CT</w:t>
      </w:r>
      <w:r w:rsidR="008935F7">
        <w:rPr>
          <w:shd w:val="clear" w:color="auto" w:fill="FFFFFF"/>
        </w:rPr>
        <w:t xml:space="preserve">, </w:t>
      </w:r>
      <w:r w:rsidR="008935F7" w:rsidRPr="006F4678">
        <w:rPr>
          <w:shd w:val="clear" w:color="auto" w:fill="FFFFFF"/>
        </w:rPr>
        <w:t>Mẫu số 17-PLII-CT</w:t>
      </w:r>
      <w:r w:rsidR="008935F7">
        <w:rPr>
          <w:shd w:val="clear" w:color="auto" w:fill="FFFFFF"/>
        </w:rPr>
        <w:t xml:space="preserve">, </w:t>
      </w:r>
      <w:r w:rsidR="008935F7" w:rsidRPr="006F4678">
        <w:rPr>
          <w:shd w:val="clear" w:color="auto" w:fill="FFFFFF"/>
        </w:rPr>
        <w:t>Mẫu số 18-PLII-CT</w:t>
      </w:r>
      <w:r w:rsidR="008935F7">
        <w:rPr>
          <w:shd w:val="clear" w:color="auto" w:fill="FFFFFF"/>
        </w:rPr>
        <w:t xml:space="preserve">, </w:t>
      </w:r>
      <w:r w:rsidR="008935F7" w:rsidRPr="006F4678">
        <w:rPr>
          <w:iCs/>
          <w:color w:val="000000"/>
        </w:rPr>
        <w:t>Mẫu số 19-PLII-CT</w:t>
      </w:r>
      <w:r w:rsidR="008935F7">
        <w:rPr>
          <w:iCs/>
          <w:color w:val="000000"/>
        </w:rPr>
        <w:t xml:space="preserve">, </w:t>
      </w:r>
      <w:r w:rsidR="008935F7" w:rsidRPr="006F4678">
        <w:rPr>
          <w:iCs/>
          <w:color w:val="000000"/>
        </w:rPr>
        <w:t>Mẫu số 20-PLII-CT</w:t>
      </w:r>
      <w:r w:rsidR="008935F7">
        <w:rPr>
          <w:iCs/>
          <w:color w:val="000000"/>
        </w:rPr>
        <w:t xml:space="preserve">, </w:t>
      </w:r>
      <w:r w:rsidR="008935F7" w:rsidRPr="006F4678">
        <w:rPr>
          <w:shd w:val="clear" w:color="auto" w:fill="FFFFFF"/>
        </w:rPr>
        <w:t>Mẫu số 21-PLII-CT</w:t>
      </w:r>
      <w:r w:rsidR="008935F7">
        <w:rPr>
          <w:shd w:val="clear" w:color="auto" w:fill="FFFFFF"/>
        </w:rPr>
        <w:t xml:space="preserve">, </w:t>
      </w:r>
      <w:r w:rsidR="008935F7" w:rsidRPr="006F4678">
        <w:rPr>
          <w:shd w:val="clear" w:color="auto" w:fill="FFFFFF"/>
        </w:rPr>
        <w:t>Mẫu số 22-PLII-CT</w:t>
      </w:r>
      <w:r w:rsidR="008935F7">
        <w:rPr>
          <w:shd w:val="clear" w:color="auto" w:fill="FFFFFF"/>
        </w:rPr>
        <w:t xml:space="preserve">, </w:t>
      </w:r>
      <w:r w:rsidR="008935F7" w:rsidRPr="006F4678">
        <w:rPr>
          <w:shd w:val="clear" w:color="auto" w:fill="FFFFFF"/>
        </w:rPr>
        <w:t>Mẫu số 26-PLII-CT</w:t>
      </w:r>
      <w:r w:rsidR="008935F7">
        <w:rPr>
          <w:shd w:val="clear" w:color="auto" w:fill="FFFFFF"/>
        </w:rPr>
        <w:t xml:space="preserve"> </w:t>
      </w:r>
      <w:r w:rsidR="008935F7" w:rsidRPr="007E521A">
        <w:t>ban hành kèm theo Thông tư số 0</w:t>
      </w:r>
      <w:r w:rsidR="008935F7">
        <w:t>8</w:t>
      </w:r>
      <w:r w:rsidR="008935F7" w:rsidRPr="007E521A">
        <w:t>/202</w:t>
      </w:r>
      <w:r w:rsidR="008935F7">
        <w:t>5</w:t>
      </w:r>
      <w:r w:rsidR="008935F7" w:rsidRPr="007E521A">
        <w:t xml:space="preserve">/TT-BTP </w:t>
      </w:r>
      <w:r w:rsidR="008935F7" w:rsidRPr="007E521A">
        <w:rPr>
          <w:color w:val="000000"/>
        </w:rPr>
        <w:t xml:space="preserve">bằng các </w:t>
      </w:r>
      <w:r w:rsidR="008935F7">
        <w:rPr>
          <w:color w:val="000000"/>
        </w:rPr>
        <w:t xml:space="preserve">mẫu: </w:t>
      </w:r>
      <w:r w:rsidR="008935F7" w:rsidRPr="006F4678">
        <w:rPr>
          <w:iCs/>
          <w:color w:val="000000"/>
        </w:rPr>
        <w:t>Mẫu số 01-PLII-CT</w:t>
      </w:r>
      <w:r w:rsidR="008935F7">
        <w:rPr>
          <w:iCs/>
          <w:color w:val="000000"/>
        </w:rPr>
        <w:t xml:space="preserve">, </w:t>
      </w:r>
      <w:r w:rsidR="008935F7" w:rsidRPr="006F4678">
        <w:rPr>
          <w:iCs/>
          <w:color w:val="000000"/>
        </w:rPr>
        <w:t>Mẫu số 03-PLII-CT</w:t>
      </w:r>
      <w:r w:rsidR="008935F7">
        <w:rPr>
          <w:iCs/>
          <w:color w:val="000000"/>
        </w:rPr>
        <w:t>,</w:t>
      </w:r>
      <w:r w:rsidR="008935F7">
        <w:rPr>
          <w:iCs/>
          <w:color w:val="000000"/>
          <w:lang w:val="vi-VN"/>
        </w:rPr>
        <w:t xml:space="preserve"> </w:t>
      </w:r>
      <w:r w:rsidR="008935F7" w:rsidRPr="006F4678">
        <w:t>Mẫu số 05-PLII-CT</w:t>
      </w:r>
      <w:r w:rsidR="008935F7">
        <w:t xml:space="preserve">, </w:t>
      </w:r>
      <w:r w:rsidR="008935F7" w:rsidRPr="006F4678">
        <w:rPr>
          <w:iCs/>
          <w:color w:val="000000"/>
        </w:rPr>
        <w:t>Mẫu số 08-PLII-CT</w:t>
      </w:r>
      <w:r w:rsidR="008935F7">
        <w:rPr>
          <w:iCs/>
          <w:color w:val="000000"/>
        </w:rPr>
        <w:t xml:space="preserve">, </w:t>
      </w:r>
      <w:r w:rsidR="008935F7" w:rsidRPr="006F4678">
        <w:rPr>
          <w:iCs/>
          <w:color w:val="000000"/>
        </w:rPr>
        <w:t>Mẫu số 09-PLII-CT</w:t>
      </w:r>
      <w:r w:rsidR="008935F7">
        <w:rPr>
          <w:iCs/>
          <w:color w:val="000000"/>
        </w:rPr>
        <w:t xml:space="preserve">, </w:t>
      </w:r>
      <w:r w:rsidR="008935F7" w:rsidRPr="006F4678">
        <w:rPr>
          <w:iCs/>
          <w:color w:val="000000"/>
        </w:rPr>
        <w:t>Mẫu số 10-PLII-CT</w:t>
      </w:r>
      <w:r w:rsidR="008935F7">
        <w:rPr>
          <w:iCs/>
          <w:color w:val="000000"/>
        </w:rPr>
        <w:t xml:space="preserve">, </w:t>
      </w:r>
      <w:r w:rsidR="008935F7" w:rsidRPr="006F4678">
        <w:rPr>
          <w:iCs/>
          <w:color w:val="000000"/>
        </w:rPr>
        <w:t>Mẫu số 11-PLII-CT</w:t>
      </w:r>
      <w:r w:rsidR="008935F7">
        <w:rPr>
          <w:iCs/>
          <w:color w:val="000000"/>
        </w:rPr>
        <w:t xml:space="preserve">, </w:t>
      </w:r>
      <w:r w:rsidR="008935F7" w:rsidRPr="006F4678">
        <w:rPr>
          <w:iCs/>
          <w:color w:val="000000"/>
        </w:rPr>
        <w:t>Mẫu số 12-PLII-CT</w:t>
      </w:r>
      <w:r w:rsidR="008935F7">
        <w:rPr>
          <w:iCs/>
          <w:color w:val="000000"/>
        </w:rPr>
        <w:t xml:space="preserve">, </w:t>
      </w:r>
      <w:r w:rsidR="008935F7" w:rsidRPr="006F4678">
        <w:rPr>
          <w:shd w:val="clear" w:color="auto" w:fill="FFFFFF"/>
        </w:rPr>
        <w:t>Mẫu số 13-PLII-CT</w:t>
      </w:r>
      <w:r w:rsidR="008935F7">
        <w:rPr>
          <w:shd w:val="clear" w:color="auto" w:fill="FFFFFF"/>
        </w:rPr>
        <w:t xml:space="preserve">, </w:t>
      </w:r>
      <w:r w:rsidR="008935F7" w:rsidRPr="006F4678">
        <w:rPr>
          <w:shd w:val="clear" w:color="auto" w:fill="FFFFFF"/>
        </w:rPr>
        <w:t>Mẫu số 14-PLII-CT</w:t>
      </w:r>
      <w:r w:rsidR="008935F7">
        <w:rPr>
          <w:shd w:val="clear" w:color="auto" w:fill="FFFFFF"/>
        </w:rPr>
        <w:t xml:space="preserve">, </w:t>
      </w:r>
      <w:r w:rsidR="008935F7" w:rsidRPr="006F4678">
        <w:rPr>
          <w:shd w:val="clear" w:color="auto" w:fill="FFFFFF"/>
        </w:rPr>
        <w:t>Mẫu số 15-PLII-CT</w:t>
      </w:r>
      <w:r w:rsidR="008935F7">
        <w:rPr>
          <w:shd w:val="clear" w:color="auto" w:fill="FFFFFF"/>
        </w:rPr>
        <w:t xml:space="preserve">, </w:t>
      </w:r>
      <w:r w:rsidR="008935F7" w:rsidRPr="006F4678">
        <w:rPr>
          <w:shd w:val="clear" w:color="auto" w:fill="FFFFFF"/>
        </w:rPr>
        <w:t>Mẫu số 16-PLII-CT</w:t>
      </w:r>
      <w:r w:rsidR="008935F7">
        <w:rPr>
          <w:shd w:val="clear" w:color="auto" w:fill="FFFFFF"/>
        </w:rPr>
        <w:t xml:space="preserve">, </w:t>
      </w:r>
      <w:r w:rsidR="008935F7" w:rsidRPr="006F4678">
        <w:rPr>
          <w:shd w:val="clear" w:color="auto" w:fill="FFFFFF"/>
        </w:rPr>
        <w:t>Mẫu số 17-PLII-CT</w:t>
      </w:r>
      <w:r w:rsidR="008935F7">
        <w:rPr>
          <w:shd w:val="clear" w:color="auto" w:fill="FFFFFF"/>
        </w:rPr>
        <w:t xml:space="preserve">, </w:t>
      </w:r>
      <w:r w:rsidR="008935F7" w:rsidRPr="006F4678">
        <w:rPr>
          <w:shd w:val="clear" w:color="auto" w:fill="FFFFFF"/>
        </w:rPr>
        <w:t>Mẫu số 18-PLII-CT</w:t>
      </w:r>
      <w:r w:rsidR="008935F7">
        <w:rPr>
          <w:shd w:val="clear" w:color="auto" w:fill="FFFFFF"/>
        </w:rPr>
        <w:t xml:space="preserve">, </w:t>
      </w:r>
      <w:r w:rsidR="008935F7" w:rsidRPr="006F4678">
        <w:rPr>
          <w:iCs/>
          <w:color w:val="000000"/>
        </w:rPr>
        <w:t>Mẫu số 19-PLII-CT</w:t>
      </w:r>
      <w:r w:rsidR="008935F7">
        <w:rPr>
          <w:iCs/>
          <w:color w:val="000000"/>
        </w:rPr>
        <w:t xml:space="preserve">, </w:t>
      </w:r>
      <w:r w:rsidR="008935F7" w:rsidRPr="006F4678">
        <w:rPr>
          <w:iCs/>
          <w:color w:val="000000"/>
        </w:rPr>
        <w:t>Mẫu số 20-PLII-CT</w:t>
      </w:r>
      <w:r w:rsidR="008935F7">
        <w:rPr>
          <w:iCs/>
          <w:color w:val="000000"/>
        </w:rPr>
        <w:t xml:space="preserve">, </w:t>
      </w:r>
      <w:r w:rsidR="008935F7" w:rsidRPr="006F4678">
        <w:rPr>
          <w:shd w:val="clear" w:color="auto" w:fill="FFFFFF"/>
        </w:rPr>
        <w:t>Mẫu số 21-PLII-CT</w:t>
      </w:r>
      <w:r w:rsidR="008935F7">
        <w:rPr>
          <w:shd w:val="clear" w:color="auto" w:fill="FFFFFF"/>
        </w:rPr>
        <w:t xml:space="preserve">, </w:t>
      </w:r>
      <w:r w:rsidR="008935F7" w:rsidRPr="006F4678">
        <w:rPr>
          <w:shd w:val="clear" w:color="auto" w:fill="FFFFFF"/>
        </w:rPr>
        <w:t>Mẫu số 22-PLII-CT</w:t>
      </w:r>
      <w:r w:rsidR="008935F7">
        <w:rPr>
          <w:shd w:val="clear" w:color="auto" w:fill="FFFFFF"/>
        </w:rPr>
        <w:t xml:space="preserve">, </w:t>
      </w:r>
      <w:r w:rsidR="008935F7" w:rsidRPr="006F4678">
        <w:rPr>
          <w:shd w:val="clear" w:color="auto" w:fill="FFFFFF"/>
        </w:rPr>
        <w:t>Mẫu số 26-PLII-CT</w:t>
      </w:r>
      <w:r w:rsidR="008935F7">
        <w:rPr>
          <w:shd w:val="clear" w:color="auto" w:fill="FFFFFF"/>
        </w:rPr>
        <w:t xml:space="preserve"> </w:t>
      </w:r>
      <w:r>
        <w:t>tại Phụ lục ban hành kèm theo Thông tư này.</w:t>
      </w:r>
    </w:p>
    <w:p w:rsidR="0093169E" w:rsidRDefault="005B0D7E" w:rsidP="008935F7">
      <w:pPr>
        <w:spacing w:before="120" w:after="120" w:line="380" w:lineRule="atLeast"/>
        <w:ind w:firstLine="709"/>
        <w:jc w:val="both"/>
        <w:rPr>
          <w:b/>
        </w:rPr>
      </w:pPr>
      <w:r>
        <w:rPr>
          <w:b/>
        </w:rPr>
        <w:t xml:space="preserve">Điều </w:t>
      </w:r>
      <w:r w:rsidR="003D28E3">
        <w:rPr>
          <w:b/>
        </w:rPr>
        <w:t>10</w:t>
      </w:r>
      <w:r>
        <w:rPr>
          <w:b/>
        </w:rPr>
        <w:t xml:space="preserve">. Bãi bỏ một số điều tại các thông tư thuộc lĩnh vực quản lý nhà nước của Bộ Tư pháp </w:t>
      </w:r>
    </w:p>
    <w:p w:rsidR="0093169E" w:rsidRDefault="005B0D7E" w:rsidP="008935F7">
      <w:pPr>
        <w:spacing w:before="120" w:after="120" w:line="380" w:lineRule="atLeast"/>
        <w:ind w:firstLine="709"/>
        <w:jc w:val="both"/>
      </w:pPr>
      <w:r>
        <w:rPr>
          <w:b/>
        </w:rPr>
        <w:tab/>
      </w:r>
      <w:r>
        <w:t>1. Bãi bỏ khoản 3 Điều 2, các khoản 1, 2, 3, 4, 5 và 6 Điều 3, các khoản 2, 3, 4, 5 và 6 Điều 4, Điều 5, các khoản 2, 3 và 4 Điều 6 của Thông tư số 10/2016/TT-BTP ngày 22 tháng 7 năm 2016 của Bộ trưởng Bộ Tư pháp quy định về báo cáo viên pháp luật, tuyên truyền viên pháp luật.</w:t>
      </w:r>
    </w:p>
    <w:p w:rsidR="00650883" w:rsidRDefault="005B0D7E" w:rsidP="008935F7">
      <w:pPr>
        <w:spacing w:before="120" w:after="120" w:line="380" w:lineRule="atLeast"/>
        <w:ind w:firstLine="709"/>
        <w:jc w:val="both"/>
        <w:rPr>
          <w:spacing w:val="-2"/>
        </w:rPr>
      </w:pPr>
      <w:r w:rsidRPr="00650883">
        <w:rPr>
          <w:spacing w:val="-2"/>
        </w:rPr>
        <w:t xml:space="preserve">2. </w:t>
      </w:r>
      <w:r w:rsidR="00650883" w:rsidRPr="00650883">
        <w:rPr>
          <w:spacing w:val="-2"/>
        </w:rPr>
        <w:t>Bãi bỏ cụm từ “Phòng Tư pháp (đối với cơ quan, tổ chức cấp huyện)” tại điểm c khoản 1 Điều 7; cụm từ “Phòng Tư pháp” tại khoản 2 Điều 8 và khoản 3 Điều 9; cụm từ “đề nghị” tại điểm b khoản 1 Điều 4, khoản 1 Điều 7 và khoản 1 Điều 8 của Thông tư số 10/2016/TT-BTP ngày 22 tháng 7 năm 2016 của Bộ trưởng Bộ Tư pháp quy định về báo cáo viên pháp luật, tuyên truyền viên pháp luật.</w:t>
      </w:r>
    </w:p>
    <w:p w:rsidR="0093169E" w:rsidRDefault="005B0D7E" w:rsidP="008935F7">
      <w:pPr>
        <w:spacing w:before="120" w:after="120" w:line="380" w:lineRule="atLeast"/>
        <w:ind w:firstLine="709"/>
        <w:jc w:val="both"/>
      </w:pPr>
      <w:r>
        <w:t>3. Bãi bỏ khoản 11 Điều 33 của Thông tư số 08/2017/TT-BTP ngày 15 tháng 11 năm 2017 của Bộ trưởng Bộ Tư pháp</w:t>
      </w:r>
      <w:r>
        <w:rPr>
          <w:i/>
          <w:highlight w:val="white"/>
        </w:rPr>
        <w:t xml:space="preserve"> </w:t>
      </w:r>
      <w:r>
        <w:t>quy định chi tiết một số điều của </w:t>
      </w:r>
      <w:bookmarkStart w:id="8" w:name="bookmark=id.75sg8c2hv6vp" w:colFirst="0" w:colLast="0"/>
      <w:bookmarkEnd w:id="8"/>
      <w:r>
        <w:fldChar w:fldCharType="begin"/>
      </w:r>
      <w:r>
        <w:instrText xml:space="preserve"> HYPERLINK "https://thuvienphapluat.vn/van-ban/Dich-vu-phap-ly/Luat-Tro-giup-phap-ly-2017-322938.aspx" \h </w:instrText>
      </w:r>
      <w:r>
        <w:fldChar w:fldCharType="separate"/>
      </w:r>
      <w:r>
        <w:rPr>
          <w:color w:val="000000"/>
        </w:rPr>
        <w:t>Luật Trợ giúp pháp lý</w:t>
      </w:r>
      <w:r>
        <w:rPr>
          <w:color w:val="000000"/>
        </w:rPr>
        <w:fldChar w:fldCharType="end"/>
      </w:r>
      <w:r>
        <w:t> và hướng dẫn giấy tờ trong hoạt động trợ giúp pháp lý.</w:t>
      </w:r>
    </w:p>
    <w:p w:rsidR="0093169E" w:rsidRDefault="005B0D7E" w:rsidP="008935F7">
      <w:pPr>
        <w:spacing w:before="120" w:after="120" w:line="380" w:lineRule="atLeast"/>
        <w:ind w:firstLine="709"/>
        <w:jc w:val="both"/>
      </w:pPr>
      <w:r>
        <w:lastRenderedPageBreak/>
        <w:t>4. Bãi bỏ khoản 5 Điều 2 của Thông tư số 03/2021/TT-BTP ngày 25 tháng 5 năm 2021 của Bộ trưởng Bộ Tư pháp sửa đổi, bổ sung một số điều của Thông tư số </w:t>
      </w:r>
      <w:hyperlink r:id="rId9">
        <w:r>
          <w:rPr>
            <w:color w:val="000000"/>
          </w:rPr>
          <w:t>08/2017/TT-BTP</w:t>
        </w:r>
      </w:hyperlink>
      <w:r>
        <w:t> ngày 15 tháng 11 năm 2017 của Bộ trưởng Bộ Tư pháp quy định chi tiết một số điều của Luật Trợ giúp pháp lý và hướng dẫn giấy tờ trong hoạt động trợ giúp pháp lý; Thông tư số </w:t>
      </w:r>
      <w:hyperlink r:id="rId10">
        <w:r>
          <w:rPr>
            <w:color w:val="000000"/>
          </w:rPr>
          <w:t>12/2018/TT-BTP</w:t>
        </w:r>
      </w:hyperlink>
      <w:r>
        <w:t> ngày 28 tháng 8 năm 2018 của Bộ trưởng Bộ Tư pháp hướng dẫn một số hoạt động nghiệp vụ trợ giúp pháp lý và quản lý chất lượng vụ việc trợ giúp pháp lý.</w:t>
      </w:r>
    </w:p>
    <w:p w:rsidR="0093169E" w:rsidRDefault="005B0D7E" w:rsidP="008935F7">
      <w:pPr>
        <w:spacing w:before="120" w:after="120" w:line="380" w:lineRule="atLeast"/>
        <w:ind w:firstLine="709"/>
        <w:jc w:val="both"/>
        <w:rPr>
          <w:color w:val="000000"/>
        </w:rPr>
      </w:pPr>
      <w:r>
        <w:t>5. Bãi bỏ các Điều 28, 29 và 30 của Thông tư số 08/2019/</w:t>
      </w:r>
      <w:r>
        <w:rPr>
          <w:color w:val="000000"/>
        </w:rPr>
        <w:t>TT-BTP ngày 10 tháng 12 năm 2019 của Bộ trưởng Bộ Tư pháp quy định biện pháp thực hiện chức năng quản lý nhà nước về công tác bồi thường nhà nước.</w:t>
      </w:r>
    </w:p>
    <w:p w:rsidR="0093169E" w:rsidRPr="00CE3609" w:rsidRDefault="005B0D7E" w:rsidP="008935F7">
      <w:pPr>
        <w:spacing w:before="120" w:after="120" w:line="380" w:lineRule="atLeast"/>
        <w:ind w:firstLine="709"/>
        <w:jc w:val="both"/>
        <w:rPr>
          <w:color w:val="000000"/>
          <w:spacing w:val="-8"/>
        </w:rPr>
      </w:pPr>
      <w:r w:rsidRPr="00CE3609">
        <w:rPr>
          <w:color w:val="000000"/>
          <w:spacing w:val="-8"/>
        </w:rPr>
        <w:t>6. Bãi bỏ các Điều 5, 7 và 8, khoản 3, khoản 5 Điều 14 của Thông tư số 09/2019/TT-BTP ngày 10 tháng 12 năm 2019 của Bộ trưởng Bộ Tư pháp quy định biện pháp hỗ trợ, hướng dẫn người bị thiệt hại thực hiện thủ tục yêu cầu bồi thường nhà nước.</w:t>
      </w:r>
    </w:p>
    <w:p w:rsidR="0093169E" w:rsidRDefault="005B0D7E" w:rsidP="008935F7">
      <w:pPr>
        <w:spacing w:before="240" w:after="120" w:line="380" w:lineRule="atLeast"/>
        <w:ind w:firstLine="709"/>
        <w:jc w:val="both"/>
        <w:rPr>
          <w:b/>
          <w:color w:val="000000"/>
        </w:rPr>
      </w:pPr>
      <w:r>
        <w:rPr>
          <w:b/>
          <w:color w:val="000000"/>
        </w:rPr>
        <w:t>Điều 10. Hiệu lực thi hành</w:t>
      </w:r>
    </w:p>
    <w:p w:rsidR="0093169E" w:rsidRDefault="005B0D7E" w:rsidP="008935F7">
      <w:pPr>
        <w:spacing w:before="120" w:after="120" w:line="380" w:lineRule="atLeast"/>
        <w:ind w:firstLine="709"/>
        <w:jc w:val="both"/>
        <w:rPr>
          <w:color w:val="000000"/>
        </w:rPr>
      </w:pPr>
      <w:r>
        <w:rPr>
          <w:color w:val="000000"/>
        </w:rPr>
        <w:t>1. Thông tư này có hiệu lực thi hành từ ngày 01 tháng 7 năm 2025.</w:t>
      </w:r>
    </w:p>
    <w:p w:rsidR="0093169E" w:rsidRDefault="005B0D7E" w:rsidP="008935F7">
      <w:pPr>
        <w:tabs>
          <w:tab w:val="left" w:pos="567"/>
          <w:tab w:val="right" w:pos="8931"/>
        </w:tabs>
        <w:spacing w:before="120" w:after="120" w:line="380" w:lineRule="atLeast"/>
        <w:ind w:firstLine="709"/>
        <w:jc w:val="both"/>
        <w:rPr>
          <w:color w:val="000000"/>
        </w:rPr>
      </w:pPr>
      <w:r>
        <w:rPr>
          <w:color w:val="000000"/>
        </w:rPr>
        <w:t>2. Thông tư này hết hiệu lực kể từ ngày 01 tháng 3 năm 2027 trừ các trường hợp sau:</w:t>
      </w:r>
    </w:p>
    <w:p w:rsidR="0093169E" w:rsidRDefault="005B0D7E" w:rsidP="008935F7">
      <w:pPr>
        <w:tabs>
          <w:tab w:val="left" w:pos="567"/>
          <w:tab w:val="right" w:pos="8931"/>
        </w:tabs>
        <w:spacing w:before="120" w:after="120" w:line="380" w:lineRule="atLeast"/>
        <w:ind w:firstLine="709"/>
        <w:jc w:val="both"/>
        <w:rPr>
          <w:color w:val="000000"/>
        </w:rPr>
      </w:pPr>
      <w:r>
        <w:rPr>
          <w:color w:val="000000"/>
        </w:rPr>
        <w:t xml:space="preserve">a) Nghị định số 120/2025/NĐ-CP ngày 11 tháng 6 năm 2025 của Chính phủ quy định </w:t>
      </w:r>
      <w:r>
        <w:rPr>
          <w:color w:val="000000"/>
          <w:highlight w:val="white"/>
        </w:rPr>
        <w:t>về phân định thẩm quyền của chính quyền địa phương 02 cấp trong lĩnh vực quản lý nhà nước của Bộ Tư pháp</w:t>
      </w:r>
      <w:r>
        <w:rPr>
          <w:color w:val="000000"/>
        </w:rPr>
        <w:t xml:space="preserve">, Nghị định số 121/2025/NĐ-CP ngày 11 tháng 6 năm 2025 của Chính phủ quy định về phân quyền, phân </w:t>
      </w:r>
      <w:r>
        <w:rPr>
          <w:color w:val="000000"/>
          <w:highlight w:val="white"/>
        </w:rPr>
        <w:t xml:space="preserve">cấp trong lĩnh vực quản lý nhà nước của Bộ Tư pháp </w:t>
      </w:r>
      <w:r>
        <w:rPr>
          <w:color w:val="000000"/>
        </w:rPr>
        <w:t>được kéo dài thời gian áp dụng toàn bộ hoặc một phần thì quy định có liên quan tại Thông tư này được cho phép kéo dài thời gian áp dụng.</w:t>
      </w:r>
    </w:p>
    <w:p w:rsidR="0093169E" w:rsidRDefault="005B0D7E" w:rsidP="008935F7">
      <w:pPr>
        <w:tabs>
          <w:tab w:val="left" w:pos="567"/>
          <w:tab w:val="right" w:pos="8931"/>
        </w:tabs>
        <w:spacing w:before="120" w:after="120" w:line="380" w:lineRule="atLeast"/>
        <w:ind w:firstLine="709"/>
        <w:jc w:val="both"/>
        <w:rPr>
          <w:color w:val="000000"/>
        </w:rPr>
      </w:pPr>
      <w:r>
        <w:rPr>
          <w:color w:val="000000"/>
        </w:rPr>
        <w:t>b) Luật, nghị quyết của Quốc hội, pháp lệnh, nghị quyết của Ủy ban Thường vụ Quốc hội, nghị định, nghị quyết của Chính phủ, quyết định của Thủ tướng Chính phủ, Thông tư khác của Bộ trưởng Bộ Tư pháp có quy định về thẩm quyền, trách nhiệm quản lý nhà nước, trình tự, thủ tục quy định tại Thông tư này được thông qua hoặc ban hành kể từ ngày 01 tháng 7 năm 2025 và có hiệu lực trước ngày 01 tháng 3 năm 2027 thì các quy định tương ứng trong Thông tư này hết hiệu lực tại thời điểm các văn bản quy phạm pháp luật đó có hiệu lực.</w:t>
      </w:r>
    </w:p>
    <w:p w:rsidR="0093169E" w:rsidRDefault="005B0D7E" w:rsidP="008935F7">
      <w:pPr>
        <w:spacing w:before="120" w:after="120" w:line="380" w:lineRule="atLeast"/>
        <w:ind w:firstLine="709"/>
        <w:jc w:val="both"/>
        <w:rPr>
          <w:color w:val="000000"/>
        </w:rPr>
      </w:pPr>
      <w:r>
        <w:rPr>
          <w:color w:val="000000"/>
        </w:rPr>
        <w:t>3. Trong thời gian các quy định của Thông tư này có hiệu lực, quy định về thẩm quyền, trách nhiệm quản lý nhà nước, trình tự, thủ tục trong Thông tư này khác với các văn bản quy phạm pháp luật có liên quan thì thực hiện theo quy định tại Thông tư này.</w:t>
      </w:r>
    </w:p>
    <w:p w:rsidR="0093169E" w:rsidRDefault="005B0D7E" w:rsidP="008935F7">
      <w:pPr>
        <w:spacing w:before="120" w:after="120" w:line="380" w:lineRule="atLeast"/>
        <w:ind w:firstLine="709"/>
        <w:rPr>
          <w:b/>
          <w:color w:val="000000"/>
        </w:rPr>
      </w:pPr>
      <w:r>
        <w:rPr>
          <w:b/>
          <w:color w:val="000000"/>
        </w:rPr>
        <w:lastRenderedPageBreak/>
        <w:t>Điều 11. Điều khoản chuyển tiếp</w:t>
      </w:r>
    </w:p>
    <w:p w:rsidR="0093169E" w:rsidRDefault="005B0D7E" w:rsidP="008935F7">
      <w:pPr>
        <w:spacing w:before="120" w:after="120" w:line="380" w:lineRule="atLeast"/>
        <w:ind w:firstLine="709"/>
        <w:jc w:val="both"/>
      </w:pPr>
      <w:r>
        <w:t xml:space="preserve">Các hồ sơ đề nghị công nhận tương đương đào tạo nghề công chứng, bổ nhiệm công chứng viên, bổ nhiệm lại công chứng viên, miễn nhiệm công chứng viên đã được Bộ Tư pháp tiếp nhận trước ngày 01 tháng 7 năm 2025 thì thực hiện theo quy định </w:t>
      </w:r>
      <w:r>
        <w:rPr>
          <w:color w:val="000000"/>
        </w:rPr>
        <w:t xml:space="preserve">của </w:t>
      </w:r>
      <w:r>
        <w:t>Luật Công chứng năm 2014, Thông tư số 01/2021/TT-BTP ngày 03 tháng 02 năm 2021 của Bộ trưởng Bộ Tư pháp quy định chi tiết một số điều và biện pháp thi hành Luật Công chứng, Thông tư số 03/2024/TT-BTP ngày 15 tháng 5 năm 2024 của Bộ trưởng Bộ Tư pháp sửa đổi, bổ sung 08 Thông tư liên quan đến thủ tục hành chính trong lĩnh vực bổ trợ tư pháp./.</w:t>
      </w:r>
    </w:p>
    <w:tbl>
      <w:tblPr>
        <w:tblStyle w:val="a0"/>
        <w:tblW w:w="9466" w:type="dxa"/>
        <w:tblBorders>
          <w:top w:val="nil"/>
          <w:left w:val="nil"/>
          <w:bottom w:val="nil"/>
          <w:right w:val="nil"/>
          <w:insideH w:val="nil"/>
          <w:insideV w:val="nil"/>
        </w:tblBorders>
        <w:tblLayout w:type="fixed"/>
        <w:tblLook w:val="0400" w:firstRow="0" w:lastRow="0" w:firstColumn="0" w:lastColumn="0" w:noHBand="0" w:noVBand="1"/>
      </w:tblPr>
      <w:tblGrid>
        <w:gridCol w:w="4957"/>
        <w:gridCol w:w="4509"/>
      </w:tblGrid>
      <w:tr w:rsidR="0093169E">
        <w:tc>
          <w:tcPr>
            <w:tcW w:w="4957" w:type="dxa"/>
          </w:tcPr>
          <w:p w:rsidR="0093169E" w:rsidRDefault="005B0D7E">
            <w:pPr>
              <w:pBdr>
                <w:top w:val="nil"/>
                <w:left w:val="nil"/>
                <w:bottom w:val="nil"/>
                <w:right w:val="nil"/>
                <w:between w:val="nil"/>
              </w:pBdr>
              <w:spacing w:before="120" w:after="120"/>
              <w:jc w:val="both"/>
              <w:rPr>
                <w:b/>
                <w:i/>
                <w:color w:val="000000"/>
                <w:sz w:val="24"/>
                <w:szCs w:val="24"/>
              </w:rPr>
            </w:pPr>
            <w:r>
              <w:rPr>
                <w:b/>
                <w:i/>
                <w:color w:val="000000"/>
                <w:sz w:val="24"/>
                <w:szCs w:val="24"/>
              </w:rPr>
              <w:t>Nơi nhận:</w:t>
            </w:r>
          </w:p>
          <w:p w:rsidR="0093169E" w:rsidRDefault="005B0D7E" w:rsidP="00F64E01">
            <w:pPr>
              <w:pBdr>
                <w:top w:val="nil"/>
                <w:left w:val="nil"/>
                <w:bottom w:val="nil"/>
                <w:right w:val="nil"/>
                <w:between w:val="nil"/>
              </w:pBdr>
              <w:spacing w:line="240" w:lineRule="atLeast"/>
              <w:jc w:val="both"/>
              <w:rPr>
                <w:color w:val="000000"/>
                <w:sz w:val="22"/>
                <w:szCs w:val="22"/>
              </w:rPr>
            </w:pPr>
            <w:r>
              <w:rPr>
                <w:color w:val="000000"/>
                <w:sz w:val="22"/>
                <w:szCs w:val="22"/>
              </w:rPr>
              <w:t>- Ban Bí thư Trung ương Đảng;</w:t>
            </w:r>
          </w:p>
          <w:p w:rsidR="0093169E" w:rsidRDefault="005B0D7E" w:rsidP="00F64E01">
            <w:pPr>
              <w:pBdr>
                <w:top w:val="nil"/>
                <w:left w:val="nil"/>
                <w:bottom w:val="nil"/>
                <w:right w:val="nil"/>
                <w:between w:val="nil"/>
              </w:pBdr>
              <w:spacing w:line="240" w:lineRule="atLeast"/>
              <w:jc w:val="both"/>
              <w:rPr>
                <w:color w:val="000000"/>
                <w:sz w:val="22"/>
                <w:szCs w:val="22"/>
              </w:rPr>
            </w:pPr>
            <w:r>
              <w:rPr>
                <w:color w:val="000000"/>
                <w:sz w:val="22"/>
                <w:szCs w:val="22"/>
              </w:rPr>
              <w:t>- Thủ tướng Chính phủ;</w:t>
            </w:r>
          </w:p>
          <w:p w:rsidR="0093169E" w:rsidRDefault="005B0D7E" w:rsidP="00F64E01">
            <w:pPr>
              <w:pBdr>
                <w:top w:val="nil"/>
                <w:left w:val="nil"/>
                <w:bottom w:val="nil"/>
                <w:right w:val="nil"/>
                <w:between w:val="nil"/>
              </w:pBdr>
              <w:spacing w:line="240" w:lineRule="atLeast"/>
              <w:jc w:val="both"/>
              <w:rPr>
                <w:color w:val="000000"/>
                <w:sz w:val="22"/>
                <w:szCs w:val="22"/>
              </w:rPr>
            </w:pPr>
            <w:r>
              <w:rPr>
                <w:color w:val="000000"/>
                <w:sz w:val="22"/>
                <w:szCs w:val="22"/>
              </w:rPr>
              <w:t>- Các Phó Thủ tướng Chính phủ;</w:t>
            </w:r>
          </w:p>
          <w:p w:rsidR="0093169E" w:rsidRDefault="005B0D7E" w:rsidP="00F64E01">
            <w:pPr>
              <w:pBdr>
                <w:top w:val="nil"/>
                <w:left w:val="nil"/>
                <w:bottom w:val="nil"/>
                <w:right w:val="nil"/>
                <w:between w:val="nil"/>
              </w:pBdr>
              <w:spacing w:line="240" w:lineRule="atLeast"/>
              <w:jc w:val="both"/>
              <w:rPr>
                <w:color w:val="000000"/>
                <w:sz w:val="22"/>
                <w:szCs w:val="22"/>
              </w:rPr>
            </w:pPr>
            <w:r>
              <w:rPr>
                <w:color w:val="000000"/>
                <w:sz w:val="22"/>
                <w:szCs w:val="22"/>
              </w:rPr>
              <w:t>- Bộ Tư pháp: Bộ trưởng, các Thứ trưởng;</w:t>
            </w:r>
          </w:p>
          <w:p w:rsidR="0093169E" w:rsidRDefault="005B0D7E" w:rsidP="00F64E01">
            <w:pPr>
              <w:pBdr>
                <w:top w:val="nil"/>
                <w:left w:val="nil"/>
                <w:bottom w:val="nil"/>
                <w:right w:val="nil"/>
                <w:between w:val="nil"/>
              </w:pBdr>
              <w:spacing w:line="240" w:lineRule="atLeast"/>
              <w:jc w:val="both"/>
              <w:rPr>
                <w:color w:val="000000"/>
                <w:sz w:val="22"/>
                <w:szCs w:val="22"/>
              </w:rPr>
            </w:pPr>
            <w:r>
              <w:rPr>
                <w:color w:val="000000"/>
                <w:sz w:val="22"/>
                <w:szCs w:val="22"/>
              </w:rPr>
              <w:t>- Các Bộ, cơ quan ngang Bộ, cơ quan thuộc Chính phủ;</w:t>
            </w:r>
          </w:p>
          <w:p w:rsidR="0093169E" w:rsidRDefault="005B0D7E" w:rsidP="00F64E01">
            <w:pPr>
              <w:pBdr>
                <w:top w:val="nil"/>
                <w:left w:val="nil"/>
                <w:bottom w:val="nil"/>
                <w:right w:val="nil"/>
                <w:between w:val="nil"/>
              </w:pBdr>
              <w:spacing w:line="240" w:lineRule="atLeast"/>
              <w:jc w:val="both"/>
              <w:rPr>
                <w:color w:val="000000"/>
                <w:sz w:val="22"/>
                <w:szCs w:val="22"/>
              </w:rPr>
            </w:pPr>
            <w:r>
              <w:rPr>
                <w:color w:val="000000"/>
                <w:sz w:val="22"/>
                <w:szCs w:val="22"/>
              </w:rPr>
              <w:t>- HĐND, UBND các tỉnh, thành phố;</w:t>
            </w:r>
          </w:p>
          <w:p w:rsidR="0093169E" w:rsidRDefault="005B0D7E" w:rsidP="00F64E01">
            <w:pPr>
              <w:pBdr>
                <w:top w:val="nil"/>
                <w:left w:val="nil"/>
                <w:bottom w:val="nil"/>
                <w:right w:val="nil"/>
                <w:between w:val="nil"/>
              </w:pBdr>
              <w:spacing w:line="240" w:lineRule="atLeast"/>
              <w:jc w:val="both"/>
              <w:rPr>
                <w:color w:val="000000"/>
                <w:sz w:val="22"/>
                <w:szCs w:val="22"/>
              </w:rPr>
            </w:pPr>
            <w:r>
              <w:rPr>
                <w:color w:val="000000"/>
                <w:sz w:val="22"/>
                <w:szCs w:val="22"/>
              </w:rPr>
              <w:t>- Văn phòng Trung ương Đảng và các ban của Đảng;</w:t>
            </w:r>
          </w:p>
          <w:p w:rsidR="0093169E" w:rsidRDefault="005B0D7E" w:rsidP="00F64E01">
            <w:pPr>
              <w:pBdr>
                <w:top w:val="nil"/>
                <w:left w:val="nil"/>
                <w:bottom w:val="nil"/>
                <w:right w:val="nil"/>
                <w:between w:val="nil"/>
              </w:pBdr>
              <w:spacing w:line="240" w:lineRule="atLeast"/>
              <w:jc w:val="both"/>
              <w:rPr>
                <w:color w:val="000000"/>
                <w:sz w:val="22"/>
                <w:szCs w:val="22"/>
              </w:rPr>
            </w:pPr>
            <w:r>
              <w:rPr>
                <w:color w:val="000000"/>
                <w:sz w:val="22"/>
                <w:szCs w:val="22"/>
              </w:rPr>
              <w:t>- Văn phòng Quốc hội;</w:t>
            </w:r>
          </w:p>
          <w:p w:rsidR="0093169E" w:rsidRDefault="005B0D7E" w:rsidP="00F64E01">
            <w:pPr>
              <w:pBdr>
                <w:top w:val="nil"/>
                <w:left w:val="nil"/>
                <w:bottom w:val="nil"/>
                <w:right w:val="nil"/>
                <w:between w:val="nil"/>
              </w:pBdr>
              <w:spacing w:line="240" w:lineRule="atLeast"/>
              <w:jc w:val="both"/>
              <w:rPr>
                <w:color w:val="000000"/>
                <w:sz w:val="22"/>
                <w:szCs w:val="22"/>
              </w:rPr>
            </w:pPr>
            <w:r>
              <w:rPr>
                <w:color w:val="000000"/>
                <w:sz w:val="22"/>
                <w:szCs w:val="22"/>
              </w:rPr>
              <w:t>- Văn phòng Chủ tịch nước;</w:t>
            </w:r>
          </w:p>
          <w:p w:rsidR="0093169E" w:rsidRDefault="005B0D7E" w:rsidP="00F64E01">
            <w:pPr>
              <w:pBdr>
                <w:top w:val="nil"/>
                <w:left w:val="nil"/>
                <w:bottom w:val="nil"/>
                <w:right w:val="nil"/>
                <w:between w:val="nil"/>
              </w:pBdr>
              <w:spacing w:line="240" w:lineRule="atLeast"/>
              <w:jc w:val="both"/>
              <w:rPr>
                <w:color w:val="000000"/>
                <w:sz w:val="22"/>
                <w:szCs w:val="22"/>
              </w:rPr>
            </w:pPr>
            <w:r>
              <w:rPr>
                <w:color w:val="000000"/>
                <w:sz w:val="22"/>
                <w:szCs w:val="22"/>
              </w:rPr>
              <w:t>- Văn phòng Chính phủ;</w:t>
            </w:r>
          </w:p>
          <w:p w:rsidR="0093169E" w:rsidRDefault="005B0D7E" w:rsidP="00F64E01">
            <w:pPr>
              <w:pBdr>
                <w:top w:val="nil"/>
                <w:left w:val="nil"/>
                <w:bottom w:val="nil"/>
                <w:right w:val="nil"/>
                <w:between w:val="nil"/>
              </w:pBdr>
              <w:spacing w:line="240" w:lineRule="atLeast"/>
              <w:jc w:val="both"/>
              <w:rPr>
                <w:color w:val="000000"/>
                <w:sz w:val="22"/>
                <w:szCs w:val="22"/>
              </w:rPr>
            </w:pPr>
            <w:r>
              <w:rPr>
                <w:color w:val="000000"/>
                <w:sz w:val="22"/>
                <w:szCs w:val="22"/>
              </w:rPr>
              <w:t>- Hội đồng Dân tộc và các Ủy ban của Quốc hội;</w:t>
            </w:r>
          </w:p>
          <w:p w:rsidR="0093169E" w:rsidRDefault="005B0D7E" w:rsidP="00F64E01">
            <w:pPr>
              <w:pBdr>
                <w:top w:val="nil"/>
                <w:left w:val="nil"/>
                <w:bottom w:val="nil"/>
                <w:right w:val="nil"/>
                <w:between w:val="nil"/>
              </w:pBdr>
              <w:spacing w:line="240" w:lineRule="atLeast"/>
              <w:jc w:val="both"/>
              <w:rPr>
                <w:color w:val="000000"/>
                <w:sz w:val="22"/>
                <w:szCs w:val="22"/>
              </w:rPr>
            </w:pPr>
            <w:r>
              <w:rPr>
                <w:color w:val="000000"/>
                <w:sz w:val="22"/>
                <w:szCs w:val="22"/>
              </w:rPr>
              <w:t>- Viện kiểm sát nhân dân tối cao;</w:t>
            </w:r>
          </w:p>
          <w:p w:rsidR="0093169E" w:rsidRDefault="005B0D7E" w:rsidP="00F64E01">
            <w:pPr>
              <w:pBdr>
                <w:top w:val="nil"/>
                <w:left w:val="nil"/>
                <w:bottom w:val="nil"/>
                <w:right w:val="nil"/>
                <w:between w:val="nil"/>
              </w:pBdr>
              <w:spacing w:line="240" w:lineRule="atLeast"/>
              <w:jc w:val="both"/>
              <w:rPr>
                <w:color w:val="000000"/>
                <w:sz w:val="22"/>
                <w:szCs w:val="22"/>
              </w:rPr>
            </w:pPr>
            <w:r>
              <w:rPr>
                <w:color w:val="000000"/>
                <w:sz w:val="22"/>
                <w:szCs w:val="22"/>
              </w:rPr>
              <w:t>- Tòa án nhân dân tối cao;</w:t>
            </w:r>
          </w:p>
          <w:p w:rsidR="0093169E" w:rsidRDefault="005B0D7E" w:rsidP="00F64E01">
            <w:pPr>
              <w:pBdr>
                <w:top w:val="nil"/>
                <w:left w:val="nil"/>
                <w:bottom w:val="nil"/>
                <w:right w:val="nil"/>
                <w:between w:val="nil"/>
              </w:pBdr>
              <w:spacing w:line="240" w:lineRule="atLeast"/>
              <w:jc w:val="both"/>
              <w:rPr>
                <w:color w:val="000000"/>
                <w:sz w:val="22"/>
                <w:szCs w:val="22"/>
              </w:rPr>
            </w:pPr>
            <w:r>
              <w:rPr>
                <w:color w:val="000000"/>
                <w:sz w:val="22"/>
                <w:szCs w:val="22"/>
              </w:rPr>
              <w:t>- Tổng kiểm toán nhà nước;</w:t>
            </w:r>
          </w:p>
          <w:p w:rsidR="0093169E" w:rsidRDefault="005B0D7E" w:rsidP="00F64E01">
            <w:pPr>
              <w:pBdr>
                <w:top w:val="nil"/>
                <w:left w:val="nil"/>
                <w:bottom w:val="nil"/>
                <w:right w:val="nil"/>
                <w:between w:val="nil"/>
              </w:pBdr>
              <w:spacing w:line="240" w:lineRule="atLeast"/>
              <w:jc w:val="both"/>
              <w:rPr>
                <w:color w:val="000000"/>
                <w:sz w:val="22"/>
                <w:szCs w:val="22"/>
              </w:rPr>
            </w:pPr>
            <w:r>
              <w:rPr>
                <w:color w:val="000000"/>
                <w:sz w:val="22"/>
                <w:szCs w:val="22"/>
              </w:rPr>
              <w:t>- Ủy ban Trung ương Mặt trận Tổ quốc Việt Nam;</w:t>
            </w:r>
          </w:p>
          <w:p w:rsidR="0093169E" w:rsidRPr="00F64E01" w:rsidRDefault="005B0D7E" w:rsidP="00F64E01">
            <w:pPr>
              <w:pBdr>
                <w:top w:val="nil"/>
                <w:left w:val="nil"/>
                <w:bottom w:val="nil"/>
                <w:right w:val="nil"/>
                <w:between w:val="nil"/>
              </w:pBdr>
              <w:spacing w:line="240" w:lineRule="atLeast"/>
              <w:jc w:val="both"/>
              <w:rPr>
                <w:color w:val="000000"/>
                <w:spacing w:val="-4"/>
                <w:sz w:val="22"/>
                <w:szCs w:val="22"/>
              </w:rPr>
            </w:pPr>
            <w:r w:rsidRPr="00F64E01">
              <w:rPr>
                <w:color w:val="000000"/>
                <w:spacing w:val="-4"/>
                <w:sz w:val="22"/>
                <w:szCs w:val="22"/>
              </w:rPr>
              <w:t>- Cơ quan trung ương của các tổ chức chính trị - xã hội;</w:t>
            </w:r>
          </w:p>
          <w:p w:rsidR="0093169E" w:rsidRDefault="005B0D7E" w:rsidP="00F64E01">
            <w:pPr>
              <w:pBdr>
                <w:top w:val="nil"/>
                <w:left w:val="nil"/>
                <w:bottom w:val="nil"/>
                <w:right w:val="nil"/>
                <w:between w:val="nil"/>
              </w:pBdr>
              <w:spacing w:line="240" w:lineRule="atLeast"/>
              <w:jc w:val="both"/>
              <w:rPr>
                <w:color w:val="000000"/>
                <w:sz w:val="22"/>
                <w:szCs w:val="22"/>
              </w:rPr>
            </w:pPr>
            <w:r>
              <w:rPr>
                <w:color w:val="000000"/>
                <w:sz w:val="22"/>
                <w:szCs w:val="22"/>
              </w:rPr>
              <w:t>- Cục KTVB&amp;QLXLVPHC, Bộ Tư pháp;</w:t>
            </w:r>
          </w:p>
          <w:p w:rsidR="0093169E" w:rsidRDefault="005B0D7E" w:rsidP="00F64E01">
            <w:pPr>
              <w:pBdr>
                <w:top w:val="nil"/>
                <w:left w:val="nil"/>
                <w:bottom w:val="nil"/>
                <w:right w:val="nil"/>
                <w:between w:val="nil"/>
              </w:pBdr>
              <w:spacing w:line="240" w:lineRule="atLeast"/>
              <w:jc w:val="both"/>
              <w:rPr>
                <w:color w:val="000000"/>
                <w:sz w:val="22"/>
                <w:szCs w:val="22"/>
              </w:rPr>
            </w:pPr>
            <w:r>
              <w:rPr>
                <w:color w:val="000000"/>
                <w:sz w:val="22"/>
                <w:szCs w:val="22"/>
              </w:rPr>
              <w:t>- Sở Tư pháp các tỉnh, thành phố;</w:t>
            </w:r>
          </w:p>
          <w:p w:rsidR="0093169E" w:rsidRDefault="005B0D7E" w:rsidP="00F64E01">
            <w:pPr>
              <w:pBdr>
                <w:top w:val="nil"/>
                <w:left w:val="nil"/>
                <w:bottom w:val="nil"/>
                <w:right w:val="nil"/>
                <w:between w:val="nil"/>
              </w:pBdr>
              <w:spacing w:line="240" w:lineRule="atLeast"/>
              <w:jc w:val="both"/>
              <w:rPr>
                <w:color w:val="000000"/>
                <w:sz w:val="22"/>
                <w:szCs w:val="22"/>
              </w:rPr>
            </w:pPr>
            <w:r>
              <w:rPr>
                <w:color w:val="000000"/>
                <w:sz w:val="22"/>
                <w:szCs w:val="22"/>
              </w:rPr>
              <w:t>- Công báo; Cổng thông tin điện tử Chính phủ; Cổng thông tin điện tử Bộ Tư pháp;</w:t>
            </w:r>
          </w:p>
          <w:p w:rsidR="0093169E" w:rsidRDefault="005B0D7E" w:rsidP="00F64E01">
            <w:pPr>
              <w:pBdr>
                <w:top w:val="nil"/>
                <w:left w:val="nil"/>
                <w:bottom w:val="nil"/>
                <w:right w:val="nil"/>
                <w:between w:val="nil"/>
              </w:pBdr>
              <w:spacing w:line="240" w:lineRule="atLeast"/>
              <w:jc w:val="both"/>
              <w:rPr>
                <w:color w:val="000000"/>
              </w:rPr>
            </w:pPr>
            <w:r>
              <w:rPr>
                <w:color w:val="000000"/>
                <w:sz w:val="22"/>
                <w:szCs w:val="22"/>
              </w:rPr>
              <w:t>- Lưu: VT, Vụ CTXDVBQPPL.</w:t>
            </w:r>
          </w:p>
        </w:tc>
        <w:tc>
          <w:tcPr>
            <w:tcW w:w="4509" w:type="dxa"/>
          </w:tcPr>
          <w:p w:rsidR="0093169E" w:rsidRDefault="00094AD4" w:rsidP="00094AD4">
            <w:pPr>
              <w:pBdr>
                <w:top w:val="nil"/>
                <w:left w:val="nil"/>
                <w:bottom w:val="nil"/>
                <w:right w:val="nil"/>
                <w:between w:val="nil"/>
              </w:pBdr>
              <w:jc w:val="center"/>
              <w:rPr>
                <w:b/>
                <w:color w:val="000000"/>
              </w:rPr>
            </w:pPr>
            <w:r>
              <w:rPr>
                <w:b/>
                <w:color w:val="000000"/>
              </w:rPr>
              <w:t xml:space="preserve">KT. </w:t>
            </w:r>
            <w:r w:rsidR="005B0D7E">
              <w:rPr>
                <w:b/>
                <w:color w:val="000000"/>
              </w:rPr>
              <w:t>BỘ TRƯỞNG</w:t>
            </w:r>
          </w:p>
          <w:p w:rsidR="00094AD4" w:rsidRDefault="00094AD4" w:rsidP="00094AD4">
            <w:pPr>
              <w:pBdr>
                <w:top w:val="nil"/>
                <w:left w:val="nil"/>
                <w:bottom w:val="nil"/>
                <w:right w:val="nil"/>
                <w:between w:val="nil"/>
              </w:pBdr>
              <w:jc w:val="center"/>
              <w:rPr>
                <w:b/>
                <w:color w:val="000000"/>
              </w:rPr>
            </w:pPr>
            <w:r>
              <w:rPr>
                <w:b/>
                <w:color w:val="000000"/>
              </w:rPr>
              <w:t>THỨ TRƯỞNG</w:t>
            </w:r>
          </w:p>
          <w:p w:rsidR="0093169E" w:rsidRDefault="0093169E">
            <w:pPr>
              <w:pBdr>
                <w:top w:val="nil"/>
                <w:left w:val="nil"/>
                <w:bottom w:val="nil"/>
                <w:right w:val="nil"/>
                <w:between w:val="nil"/>
              </w:pBdr>
              <w:spacing w:before="120" w:after="120"/>
              <w:jc w:val="center"/>
              <w:rPr>
                <w:b/>
                <w:color w:val="000000"/>
              </w:rPr>
            </w:pPr>
          </w:p>
          <w:p w:rsidR="0093169E" w:rsidRDefault="0093169E">
            <w:pPr>
              <w:pBdr>
                <w:top w:val="nil"/>
                <w:left w:val="nil"/>
                <w:bottom w:val="nil"/>
                <w:right w:val="nil"/>
                <w:between w:val="nil"/>
              </w:pBdr>
              <w:spacing w:before="120" w:after="120"/>
              <w:jc w:val="center"/>
              <w:rPr>
                <w:b/>
                <w:color w:val="000000"/>
              </w:rPr>
            </w:pPr>
          </w:p>
          <w:p w:rsidR="0093169E" w:rsidRDefault="0093169E">
            <w:pPr>
              <w:pBdr>
                <w:top w:val="nil"/>
                <w:left w:val="nil"/>
                <w:bottom w:val="nil"/>
                <w:right w:val="nil"/>
                <w:between w:val="nil"/>
              </w:pBdr>
              <w:spacing w:before="120" w:after="120"/>
              <w:jc w:val="center"/>
              <w:rPr>
                <w:b/>
                <w:color w:val="000000"/>
              </w:rPr>
            </w:pPr>
          </w:p>
          <w:p w:rsidR="0093169E" w:rsidRDefault="0093169E">
            <w:pPr>
              <w:pBdr>
                <w:top w:val="nil"/>
                <w:left w:val="nil"/>
                <w:bottom w:val="nil"/>
                <w:right w:val="nil"/>
                <w:between w:val="nil"/>
              </w:pBdr>
              <w:spacing w:before="120" w:after="120"/>
              <w:jc w:val="center"/>
              <w:rPr>
                <w:b/>
                <w:color w:val="000000"/>
              </w:rPr>
            </w:pPr>
          </w:p>
          <w:p w:rsidR="0093169E" w:rsidRDefault="005B0D7E" w:rsidP="00094AD4">
            <w:pPr>
              <w:pBdr>
                <w:top w:val="nil"/>
                <w:left w:val="nil"/>
                <w:bottom w:val="nil"/>
                <w:right w:val="nil"/>
                <w:between w:val="nil"/>
              </w:pBdr>
              <w:spacing w:before="120" w:after="120"/>
              <w:jc w:val="center"/>
              <w:rPr>
                <w:color w:val="000000"/>
              </w:rPr>
            </w:pPr>
            <w:r>
              <w:rPr>
                <w:b/>
                <w:color w:val="000000"/>
              </w:rPr>
              <w:t xml:space="preserve">Nguyễn </w:t>
            </w:r>
            <w:r w:rsidR="00094AD4">
              <w:rPr>
                <w:b/>
                <w:color w:val="000000"/>
              </w:rPr>
              <w:t>Thanh Tú</w:t>
            </w:r>
          </w:p>
        </w:tc>
      </w:tr>
    </w:tbl>
    <w:p w:rsidR="0093169E" w:rsidRDefault="0093169E">
      <w:pPr>
        <w:pBdr>
          <w:top w:val="nil"/>
          <w:left w:val="nil"/>
          <w:bottom w:val="nil"/>
          <w:right w:val="nil"/>
          <w:between w:val="nil"/>
        </w:pBdr>
        <w:spacing w:before="120" w:after="120" w:line="240" w:lineRule="auto"/>
        <w:ind w:firstLine="567"/>
        <w:jc w:val="both"/>
        <w:rPr>
          <w:color w:val="000000"/>
        </w:rPr>
      </w:pPr>
    </w:p>
    <w:sectPr w:rsidR="0093169E" w:rsidSect="00F64E01">
      <w:headerReference w:type="default" r:id="rId11"/>
      <w:pgSz w:w="11907" w:h="16840"/>
      <w:pgMar w:top="964" w:right="1134" w:bottom="907" w:left="1701" w:header="454" w:footer="454"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0C14" w:rsidRDefault="00BA0C14">
      <w:pPr>
        <w:spacing w:after="0" w:line="240" w:lineRule="auto"/>
      </w:pPr>
      <w:r>
        <w:separator/>
      </w:r>
    </w:p>
  </w:endnote>
  <w:endnote w:type="continuationSeparator" w:id="0">
    <w:p w:rsidR="00BA0C14" w:rsidRDefault="00BA0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Italic">
    <w:panose1 w:val="02020503050405090304"/>
    <w:charset w:val="00"/>
    <w:family w:val="roman"/>
    <w:notTrueType/>
    <w:pitch w:val="default"/>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0C14" w:rsidRDefault="00BA0C14">
      <w:pPr>
        <w:spacing w:after="0" w:line="240" w:lineRule="auto"/>
      </w:pPr>
      <w:r>
        <w:separator/>
      </w:r>
    </w:p>
  </w:footnote>
  <w:footnote w:type="continuationSeparator" w:id="0">
    <w:p w:rsidR="00BA0C14" w:rsidRDefault="00BA0C1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169E" w:rsidRDefault="005B0D7E">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C6243B">
      <w:rPr>
        <w:noProof/>
        <w:color w:val="000000"/>
      </w:rPr>
      <w:t>5</w:t>
    </w:r>
    <w:r>
      <w:rPr>
        <w:color w:val="000000"/>
      </w:rPr>
      <w:fldChar w:fldCharType="end"/>
    </w:r>
  </w:p>
  <w:p w:rsidR="0093169E" w:rsidRDefault="0093169E">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69E"/>
    <w:rsid w:val="00013A68"/>
    <w:rsid w:val="000545C7"/>
    <w:rsid w:val="00076B52"/>
    <w:rsid w:val="00094AD4"/>
    <w:rsid w:val="000B6220"/>
    <w:rsid w:val="000F0A10"/>
    <w:rsid w:val="001706A4"/>
    <w:rsid w:val="001F1138"/>
    <w:rsid w:val="002523DF"/>
    <w:rsid w:val="00273320"/>
    <w:rsid w:val="00285628"/>
    <w:rsid w:val="003D28E3"/>
    <w:rsid w:val="003F199F"/>
    <w:rsid w:val="00421B46"/>
    <w:rsid w:val="00431ED3"/>
    <w:rsid w:val="00527BD2"/>
    <w:rsid w:val="005A2795"/>
    <w:rsid w:val="005B0D7E"/>
    <w:rsid w:val="005F695C"/>
    <w:rsid w:val="006117A9"/>
    <w:rsid w:val="00624EA2"/>
    <w:rsid w:val="00650883"/>
    <w:rsid w:val="007C5FA0"/>
    <w:rsid w:val="007E521A"/>
    <w:rsid w:val="008737A2"/>
    <w:rsid w:val="008935F7"/>
    <w:rsid w:val="008A6416"/>
    <w:rsid w:val="008C0C82"/>
    <w:rsid w:val="008D4803"/>
    <w:rsid w:val="008F5E32"/>
    <w:rsid w:val="0093169E"/>
    <w:rsid w:val="009758FF"/>
    <w:rsid w:val="009843BB"/>
    <w:rsid w:val="009C7EBC"/>
    <w:rsid w:val="00BA0C14"/>
    <w:rsid w:val="00BA50BD"/>
    <w:rsid w:val="00C07E69"/>
    <w:rsid w:val="00C276F0"/>
    <w:rsid w:val="00C350D8"/>
    <w:rsid w:val="00C6243B"/>
    <w:rsid w:val="00C70254"/>
    <w:rsid w:val="00CB6BBE"/>
    <w:rsid w:val="00CE3609"/>
    <w:rsid w:val="00CF5993"/>
    <w:rsid w:val="00D162C7"/>
    <w:rsid w:val="00DA14CB"/>
    <w:rsid w:val="00DA7029"/>
    <w:rsid w:val="00E33F75"/>
    <w:rsid w:val="00E3438C"/>
    <w:rsid w:val="00E742FA"/>
    <w:rsid w:val="00E81CB7"/>
    <w:rsid w:val="00E843BD"/>
    <w:rsid w:val="00E8600D"/>
    <w:rsid w:val="00F15E85"/>
    <w:rsid w:val="00F55638"/>
    <w:rsid w:val="00F56350"/>
    <w:rsid w:val="00F64E01"/>
    <w:rsid w:val="00F8173A"/>
    <w:rsid w:val="00FB3AB8"/>
    <w:rsid w:val="00FE7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3A05C6-F205-4C0A-9B37-8398E2119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NormalWeb">
    <w:name w:val="Normal (Web)"/>
    <w:aliases w:val="Char Char,Normal (Web) Char1,Char8 Char,Char8,webb, Char Char, Char8 Char, Char8,Обычный (веб)1,Обычный (веб) Знак,Обычный (веб) Знак1,Обычный (веб) Знак Знак,표준 (웹),Char Char5,Normal (Web) Char Char Char Char Char,Char Char Cha,Geneva 9"/>
    <w:basedOn w:val="Normal"/>
    <w:link w:val="NormalWebChar"/>
    <w:uiPriority w:val="99"/>
    <w:unhideWhenUsed/>
    <w:qFormat/>
    <w:rsid w:val="00F36860"/>
    <w:pPr>
      <w:spacing w:before="100" w:beforeAutospacing="1" w:after="100" w:afterAutospacing="1" w:line="240" w:lineRule="auto"/>
    </w:pPr>
    <w:rPr>
      <w:sz w:val="24"/>
      <w:szCs w:val="24"/>
    </w:rPr>
  </w:style>
  <w:style w:type="character" w:styleId="Hyperlink">
    <w:name w:val="Hyperlink"/>
    <w:basedOn w:val="DefaultParagraphFont"/>
    <w:uiPriority w:val="99"/>
    <w:unhideWhenUsed/>
    <w:rsid w:val="00F36860"/>
    <w:rPr>
      <w:color w:val="0000FF"/>
      <w:u w:val="single"/>
    </w:rPr>
  </w:style>
  <w:style w:type="table" w:styleId="TableGrid">
    <w:name w:val="Table Grid"/>
    <w:basedOn w:val="TableNormal"/>
    <w:uiPriority w:val="39"/>
    <w:rsid w:val="00F368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aliases w:val="Char Char Char,Normal (Web) Char1 Char,Char8 Char Char,Char8 Char1,webb Char, Char Char Char, Char8 Char Char, Char8 Char1,Обычный (веб)1 Char,Обычный (веб) Знак Char,Обычный (веб) Знак1 Char,Обычный (веб) Знак Знак Char,표준 (웹) Char"/>
    <w:link w:val="NormalWeb"/>
    <w:uiPriority w:val="99"/>
    <w:qFormat/>
    <w:locked/>
    <w:rsid w:val="00F36860"/>
    <w:rPr>
      <w:rFonts w:eastAsia="Times New Roman" w:cs="Times New Roman"/>
      <w:sz w:val="24"/>
      <w:szCs w:val="24"/>
    </w:rPr>
  </w:style>
  <w:style w:type="paragraph" w:styleId="Header">
    <w:name w:val="header"/>
    <w:basedOn w:val="Normal"/>
    <w:link w:val="HeaderChar"/>
    <w:uiPriority w:val="99"/>
    <w:unhideWhenUsed/>
    <w:rsid w:val="00F368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6860"/>
  </w:style>
  <w:style w:type="paragraph" w:styleId="ListParagraph">
    <w:name w:val="List Paragraph"/>
    <w:basedOn w:val="Normal"/>
    <w:uiPriority w:val="34"/>
    <w:qFormat/>
    <w:rsid w:val="000048EF"/>
    <w:pPr>
      <w:ind w:left="720"/>
      <w:contextualSpacing/>
    </w:pPr>
  </w:style>
  <w:style w:type="paragraph" w:styleId="BalloonText">
    <w:name w:val="Balloon Text"/>
    <w:basedOn w:val="Normal"/>
    <w:link w:val="BalloonTextChar"/>
    <w:uiPriority w:val="99"/>
    <w:semiHidden/>
    <w:unhideWhenUsed/>
    <w:rsid w:val="00F941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41E8"/>
    <w:rPr>
      <w:rFonts w:ascii="Segoe UI" w:hAnsi="Segoe UI" w:cs="Segoe UI"/>
      <w:sz w:val="18"/>
      <w:szCs w:val="18"/>
    </w:rPr>
  </w:style>
  <w:style w:type="paragraph" w:styleId="Revision">
    <w:name w:val="Revision"/>
    <w:hidden/>
    <w:uiPriority w:val="99"/>
    <w:semiHidden/>
    <w:rsid w:val="00C21C35"/>
    <w:pPr>
      <w:spacing w:after="0" w:line="240" w:lineRule="auto"/>
    </w:pPr>
  </w:style>
  <w:style w:type="character" w:styleId="CommentReference">
    <w:name w:val="annotation reference"/>
    <w:basedOn w:val="DefaultParagraphFont"/>
    <w:uiPriority w:val="99"/>
    <w:semiHidden/>
    <w:unhideWhenUsed/>
    <w:qFormat/>
    <w:rsid w:val="00367B4F"/>
    <w:rPr>
      <w:sz w:val="16"/>
      <w:szCs w:val="16"/>
    </w:rPr>
  </w:style>
  <w:style w:type="paragraph" w:styleId="CommentText">
    <w:name w:val="annotation text"/>
    <w:basedOn w:val="Normal"/>
    <w:link w:val="CommentTextChar"/>
    <w:uiPriority w:val="99"/>
    <w:unhideWhenUsed/>
    <w:rsid w:val="00367B4F"/>
    <w:pPr>
      <w:spacing w:line="240" w:lineRule="auto"/>
    </w:pPr>
    <w:rPr>
      <w:sz w:val="20"/>
      <w:szCs w:val="20"/>
    </w:rPr>
  </w:style>
  <w:style w:type="character" w:customStyle="1" w:styleId="CommentTextChar">
    <w:name w:val="Comment Text Char"/>
    <w:basedOn w:val="DefaultParagraphFont"/>
    <w:link w:val="CommentText"/>
    <w:uiPriority w:val="99"/>
    <w:rsid w:val="00367B4F"/>
    <w:rPr>
      <w:sz w:val="20"/>
      <w:szCs w:val="20"/>
    </w:rPr>
  </w:style>
  <w:style w:type="paragraph" w:styleId="CommentSubject">
    <w:name w:val="annotation subject"/>
    <w:basedOn w:val="CommentText"/>
    <w:next w:val="CommentText"/>
    <w:link w:val="CommentSubjectChar"/>
    <w:uiPriority w:val="99"/>
    <w:semiHidden/>
    <w:unhideWhenUsed/>
    <w:rsid w:val="00367B4F"/>
    <w:rPr>
      <w:b/>
      <w:bCs/>
    </w:rPr>
  </w:style>
  <w:style w:type="character" w:customStyle="1" w:styleId="CommentSubjectChar">
    <w:name w:val="Comment Subject Char"/>
    <w:basedOn w:val="CommentTextChar"/>
    <w:link w:val="CommentSubject"/>
    <w:uiPriority w:val="99"/>
    <w:semiHidden/>
    <w:rsid w:val="00367B4F"/>
    <w:rPr>
      <w:b/>
      <w:bCs/>
      <w:sz w:val="20"/>
      <w:szCs w:val="20"/>
    </w:rPr>
  </w:style>
  <w:style w:type="character" w:customStyle="1" w:styleId="UnresolvedMention1">
    <w:name w:val="Unresolved Mention1"/>
    <w:basedOn w:val="DefaultParagraphFont"/>
    <w:uiPriority w:val="99"/>
    <w:semiHidden/>
    <w:unhideWhenUsed/>
    <w:rsid w:val="00DF440C"/>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273320"/>
    <w:pPr>
      <w:tabs>
        <w:tab w:val="left" w:pos="1152"/>
      </w:tabs>
      <w:spacing w:before="120" w:after="120" w:line="312" w:lineRule="auto"/>
    </w:pPr>
    <w:rPr>
      <w:rFonts w:ascii="Arial" w:hAnsi="Arial" w:cs="Arial"/>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thuvienphapluat.vn/van-ban/Dich-vu-phap-ly/Luat-Tro-giup-phap-ly-2017-322938.asp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yperlink" Target="https://thuvienphapluat.vn/van-ban/Dich-vu-phap-ly/Thong-tu-12-2018-TT-BTP-huong-dan-hoat-dong-nghiep-vu-quan-ly-chat-luong-vu-viec-tro-giup-phap-ly-381312.aspx" TargetMode="External"/><Relationship Id="rId4" Type="http://schemas.openxmlformats.org/officeDocument/2006/relationships/webSettings" Target="webSettings.xml"/><Relationship Id="rId9" Type="http://schemas.openxmlformats.org/officeDocument/2006/relationships/hyperlink" Target="https://thuvienphapluat.vn/van-ban/dich-vu-phap-ly/thong-tu-08-2017-tt-btp-huong-dan-luat-tro-giup-phap-ly-giay-to-tro-giup-phap-ly-371153.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r84n7FBo/4von+zIIHG3ekCY8w==">CgMxLjAyD2lkLjlnNHFqaWN2czByNTIPaWQuNWtocnhsNGJ4eG12Mg9pZC43YjltY2s5YTZzZmsyD2lkLjc0a2NienhmcndtYjIPaWQuMWNqajU3NjNvaW5xMg9pZC5iZW10azZnMGRzejMyD2lkLmdwZ3k0amZweTBzYzIPaWQuazRvZTkxYjR3ZThiMg9pZC43NXNnOGMyaHY2dnA4AHIhMWNsVVNMMHJYZWEwVmFxZE1GY3N0a25ZWmlSMmNfNFB6</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20BD5A2-FE64-4A53-BA63-A0CED18A0743}"/>
</file>

<file path=customXml/itemProps3.xml><?xml version="1.0" encoding="utf-8"?>
<ds:datastoreItem xmlns:ds="http://schemas.openxmlformats.org/officeDocument/2006/customXml" ds:itemID="{110490EC-F7F7-4872-A647-76A2AC5EC762}"/>
</file>

<file path=customXml/itemProps4.xml><?xml version="1.0" encoding="utf-8"?>
<ds:datastoreItem xmlns:ds="http://schemas.openxmlformats.org/officeDocument/2006/customXml" ds:itemID="{34910CA8-09A0-4C67-BDF4-92DF79331529}"/>
</file>

<file path=docProps/app.xml><?xml version="1.0" encoding="utf-8"?>
<Properties xmlns="http://schemas.openxmlformats.org/officeDocument/2006/extended-properties" xmlns:vt="http://schemas.openxmlformats.org/officeDocument/2006/docPropsVTypes">
  <Template>Normal</Template>
  <TotalTime>342</TotalTime>
  <Pages>7</Pages>
  <Words>2322</Words>
  <Characters>13237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15</cp:revision>
  <cp:lastPrinted>2025-06-27T04:43:00Z</cp:lastPrinted>
  <dcterms:created xsi:type="dcterms:W3CDTF">2025-06-26T09:11:00Z</dcterms:created>
  <dcterms:modified xsi:type="dcterms:W3CDTF">2025-06-27T07:23:00Z</dcterms:modified>
</cp:coreProperties>
</file>