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D34848" w:rsidRPr="00D34848" w14:paraId="79581838" w14:textId="77777777" w:rsidTr="00E2160F">
        <w:tc>
          <w:tcPr>
            <w:tcW w:w="2116" w:type="pct"/>
          </w:tcPr>
          <w:p w14:paraId="343AA3BC" w14:textId="3554BDEA" w:rsidR="0003222E" w:rsidRPr="00D34848" w:rsidRDefault="00000000" w:rsidP="00E2160F">
            <w:pPr>
              <w:adjustRightInd w:val="0"/>
              <w:snapToGrid w:val="0"/>
              <w:spacing w:after="0" w:line="240" w:lineRule="auto"/>
              <w:jc w:val="center"/>
              <w:rPr>
                <w:rFonts w:ascii="Arial" w:hAnsi="Arial" w:cs="Arial"/>
                <w:color w:val="000000" w:themeColor="text1"/>
                <w:sz w:val="20"/>
                <w:szCs w:val="20"/>
              </w:rPr>
            </w:pPr>
            <w:r w:rsidRPr="00D34848">
              <w:rPr>
                <w:rFonts w:ascii="Arial" w:hAnsi="Arial" w:cs="Arial"/>
                <w:b/>
                <w:color w:val="000000" w:themeColor="text1"/>
                <w:sz w:val="20"/>
                <w:szCs w:val="20"/>
              </w:rPr>
              <w:t>QUỐC</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HỘI</w:t>
            </w:r>
            <w:r w:rsidRPr="00D34848">
              <w:rPr>
                <w:rFonts w:ascii="Arial" w:hAnsi="Arial" w:cs="Arial"/>
                <w:color w:val="000000" w:themeColor="text1"/>
                <w:sz w:val="20"/>
                <w:szCs w:val="20"/>
              </w:rPr>
              <w:br/>
            </w:r>
            <w:r w:rsidRPr="00D34848">
              <w:rPr>
                <w:rFonts w:ascii="Arial" w:hAnsi="Arial" w:cs="Arial"/>
                <w:color w:val="000000" w:themeColor="text1"/>
                <w:sz w:val="20"/>
                <w:szCs w:val="20"/>
                <w:vertAlign w:val="superscript"/>
              </w:rPr>
              <w:t>_______</w:t>
            </w:r>
            <w:r w:rsidRPr="00D34848">
              <w:rPr>
                <w:rFonts w:ascii="Arial" w:hAnsi="Arial" w:cs="Arial"/>
                <w:color w:val="000000" w:themeColor="text1"/>
                <w:sz w:val="20"/>
                <w:szCs w:val="20"/>
              </w:rPr>
              <w:br/>
              <w:t>Nghị</w:t>
            </w:r>
            <w:r w:rsidR="00E2160F" w:rsidRPr="00D34848">
              <w:rPr>
                <w:rFonts w:ascii="Arial" w:hAnsi="Arial" w:cs="Arial"/>
                <w:color w:val="000000" w:themeColor="text1"/>
                <w:sz w:val="20"/>
                <w:szCs w:val="20"/>
              </w:rPr>
              <w:t xml:space="preserve"> </w:t>
            </w:r>
            <w:r w:rsidRPr="00D34848">
              <w:rPr>
                <w:rFonts w:ascii="Arial" w:hAnsi="Arial" w:cs="Arial"/>
                <w:color w:val="000000" w:themeColor="text1"/>
                <w:sz w:val="20"/>
                <w:szCs w:val="20"/>
              </w:rPr>
              <w:t>quyết</w:t>
            </w:r>
            <w:r w:rsidR="00E2160F" w:rsidRPr="00D34848">
              <w:rPr>
                <w:rFonts w:ascii="Arial" w:hAnsi="Arial" w:cs="Arial"/>
                <w:color w:val="000000" w:themeColor="text1"/>
                <w:sz w:val="20"/>
                <w:szCs w:val="20"/>
              </w:rPr>
              <w:t xml:space="preserve"> </w:t>
            </w:r>
            <w:r w:rsidRPr="00D34848">
              <w:rPr>
                <w:rFonts w:ascii="Arial" w:hAnsi="Arial" w:cs="Arial"/>
                <w:color w:val="000000" w:themeColor="text1"/>
                <w:sz w:val="20"/>
                <w:szCs w:val="20"/>
              </w:rPr>
              <w:t>số:</w:t>
            </w:r>
            <w:r w:rsidR="00E2160F" w:rsidRPr="00D34848">
              <w:rPr>
                <w:rFonts w:ascii="Arial" w:hAnsi="Arial" w:cs="Arial"/>
                <w:color w:val="000000" w:themeColor="text1"/>
                <w:sz w:val="20"/>
                <w:szCs w:val="20"/>
              </w:rPr>
              <w:t xml:space="preserve"> </w:t>
            </w:r>
            <w:r w:rsidRPr="00D34848">
              <w:rPr>
                <w:rFonts w:ascii="Arial" w:hAnsi="Arial" w:cs="Arial"/>
                <w:color w:val="000000" w:themeColor="text1"/>
                <w:sz w:val="20"/>
                <w:szCs w:val="20"/>
              </w:rPr>
              <w:t>26/2026/QH16</w:t>
            </w:r>
          </w:p>
        </w:tc>
        <w:tc>
          <w:tcPr>
            <w:tcW w:w="2884" w:type="pct"/>
          </w:tcPr>
          <w:p w14:paraId="48A83DCF" w14:textId="0F067E32" w:rsidR="0003222E" w:rsidRPr="00D34848" w:rsidRDefault="00000000" w:rsidP="00E2160F">
            <w:pPr>
              <w:adjustRightInd w:val="0"/>
              <w:snapToGrid w:val="0"/>
              <w:spacing w:after="0" w:line="240" w:lineRule="auto"/>
              <w:jc w:val="center"/>
              <w:rPr>
                <w:rFonts w:ascii="Arial" w:hAnsi="Arial" w:cs="Arial"/>
                <w:color w:val="000000" w:themeColor="text1"/>
                <w:sz w:val="20"/>
                <w:szCs w:val="20"/>
              </w:rPr>
            </w:pPr>
            <w:r w:rsidRPr="00D34848">
              <w:rPr>
                <w:rFonts w:ascii="Arial" w:hAnsi="Arial" w:cs="Arial"/>
                <w:b/>
                <w:color w:val="000000" w:themeColor="text1"/>
                <w:sz w:val="20"/>
                <w:szCs w:val="20"/>
              </w:rPr>
              <w:t>CỘNG</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HÒA</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XÃ</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HỘI</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CHỦ</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NGHĨA</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VIỆT</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NAM</w:t>
            </w:r>
            <w:r w:rsidRPr="00D34848">
              <w:rPr>
                <w:rFonts w:ascii="Arial" w:hAnsi="Arial" w:cs="Arial"/>
                <w:color w:val="000000" w:themeColor="text1"/>
                <w:sz w:val="20"/>
                <w:szCs w:val="20"/>
              </w:rPr>
              <w:br/>
            </w:r>
            <w:r w:rsidRPr="00D34848">
              <w:rPr>
                <w:rFonts w:ascii="Arial" w:hAnsi="Arial" w:cs="Arial"/>
                <w:b/>
                <w:color w:val="000000" w:themeColor="text1"/>
                <w:sz w:val="20"/>
                <w:szCs w:val="20"/>
              </w:rPr>
              <w:t>Độc</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lập</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Tự</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do</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Hạnh</w:t>
            </w:r>
            <w:r w:rsidR="00E2160F" w:rsidRPr="00D34848">
              <w:rPr>
                <w:rFonts w:ascii="Arial" w:hAnsi="Arial" w:cs="Arial"/>
                <w:b/>
                <w:color w:val="000000" w:themeColor="text1"/>
                <w:sz w:val="20"/>
                <w:szCs w:val="20"/>
              </w:rPr>
              <w:t xml:space="preserve"> </w:t>
            </w:r>
            <w:r w:rsidRPr="00D34848">
              <w:rPr>
                <w:rFonts w:ascii="Arial" w:hAnsi="Arial" w:cs="Arial"/>
                <w:b/>
                <w:color w:val="000000" w:themeColor="text1"/>
                <w:sz w:val="20"/>
                <w:szCs w:val="20"/>
              </w:rPr>
              <w:t>phúc</w:t>
            </w:r>
            <w:r w:rsidRPr="00D34848">
              <w:rPr>
                <w:rFonts w:ascii="Arial" w:hAnsi="Arial" w:cs="Arial"/>
                <w:color w:val="000000" w:themeColor="text1"/>
                <w:sz w:val="20"/>
                <w:szCs w:val="20"/>
              </w:rPr>
              <w:br/>
            </w:r>
            <w:r w:rsidRPr="00D34848">
              <w:rPr>
                <w:rFonts w:ascii="Arial" w:hAnsi="Arial" w:cs="Arial"/>
                <w:color w:val="000000" w:themeColor="text1"/>
                <w:sz w:val="20"/>
                <w:szCs w:val="20"/>
                <w:vertAlign w:val="superscript"/>
              </w:rPr>
              <w:t>_________________</w:t>
            </w:r>
          </w:p>
        </w:tc>
      </w:tr>
    </w:tbl>
    <w:p w14:paraId="3F18FFBF" w14:textId="77777777" w:rsidR="00E2160F" w:rsidRPr="00D34848" w:rsidRDefault="00E2160F" w:rsidP="00E2160F">
      <w:pPr>
        <w:adjustRightInd w:val="0"/>
        <w:snapToGrid w:val="0"/>
        <w:spacing w:after="0" w:line="240" w:lineRule="auto"/>
        <w:jc w:val="center"/>
        <w:rPr>
          <w:rFonts w:ascii="Arial" w:hAnsi="Arial" w:cs="Arial"/>
          <w:b/>
          <w:color w:val="000000" w:themeColor="text1"/>
          <w:sz w:val="20"/>
          <w:szCs w:val="20"/>
        </w:rPr>
      </w:pPr>
    </w:p>
    <w:p w14:paraId="6056165F" w14:textId="77777777" w:rsidR="00E2160F" w:rsidRPr="00D34848" w:rsidRDefault="00E2160F" w:rsidP="00E2160F">
      <w:pPr>
        <w:adjustRightInd w:val="0"/>
        <w:snapToGrid w:val="0"/>
        <w:spacing w:after="0" w:line="240" w:lineRule="auto"/>
        <w:jc w:val="center"/>
        <w:rPr>
          <w:rFonts w:ascii="Arial" w:hAnsi="Arial" w:cs="Arial"/>
          <w:b/>
          <w:color w:val="000000" w:themeColor="text1"/>
          <w:sz w:val="20"/>
          <w:szCs w:val="20"/>
        </w:rPr>
      </w:pPr>
    </w:p>
    <w:p w14:paraId="43A61D5F" w14:textId="3D1817CE" w:rsidR="0003222E" w:rsidRPr="00D34848" w:rsidRDefault="00000000" w:rsidP="00E2160F">
      <w:pPr>
        <w:adjustRightInd w:val="0"/>
        <w:snapToGrid w:val="0"/>
        <w:spacing w:after="0" w:line="240" w:lineRule="auto"/>
        <w:jc w:val="center"/>
        <w:rPr>
          <w:rFonts w:ascii="Arial" w:hAnsi="Arial" w:cs="Arial"/>
          <w:color w:val="000000" w:themeColor="text1"/>
          <w:sz w:val="20"/>
          <w:szCs w:val="20"/>
        </w:rPr>
      </w:pPr>
      <w:r w:rsidRPr="00D34848">
        <w:rPr>
          <w:rFonts w:ascii="Arial" w:hAnsi="Arial" w:cs="Arial"/>
          <w:b/>
          <w:color w:val="000000" w:themeColor="text1"/>
          <w:sz w:val="20"/>
          <w:szCs w:val="20"/>
        </w:rPr>
        <w:t>NGHỊ QUYẾT</w:t>
      </w:r>
    </w:p>
    <w:p w14:paraId="56C19742" w14:textId="5B434338" w:rsidR="0003222E" w:rsidRPr="00D34848" w:rsidRDefault="00000000" w:rsidP="00E2160F">
      <w:pPr>
        <w:adjustRightInd w:val="0"/>
        <w:snapToGrid w:val="0"/>
        <w:spacing w:after="0" w:line="240" w:lineRule="auto"/>
        <w:jc w:val="center"/>
        <w:rPr>
          <w:rFonts w:ascii="Arial" w:hAnsi="Arial" w:cs="Arial"/>
          <w:b/>
          <w:color w:val="000000" w:themeColor="text1"/>
          <w:sz w:val="20"/>
          <w:szCs w:val="20"/>
        </w:rPr>
      </w:pPr>
      <w:r w:rsidRPr="00D34848">
        <w:rPr>
          <w:rFonts w:ascii="Arial" w:hAnsi="Arial" w:cs="Arial"/>
          <w:b/>
          <w:color w:val="000000" w:themeColor="text1"/>
          <w:sz w:val="20"/>
          <w:szCs w:val="20"/>
        </w:rPr>
        <w:t xml:space="preserve">Về Kế hoạch tài chính quốc gia và vay, trả nợ công 5 năm giai đoạn 2026 </w:t>
      </w:r>
      <w:r w:rsidR="00E2160F" w:rsidRPr="00D34848">
        <w:rPr>
          <w:rFonts w:ascii="Arial" w:hAnsi="Arial" w:cs="Arial"/>
          <w:b/>
          <w:color w:val="000000" w:themeColor="text1"/>
          <w:sz w:val="20"/>
          <w:szCs w:val="20"/>
        </w:rPr>
        <w:t>–</w:t>
      </w:r>
      <w:r w:rsidRPr="00D34848">
        <w:rPr>
          <w:rFonts w:ascii="Arial" w:hAnsi="Arial" w:cs="Arial"/>
          <w:b/>
          <w:color w:val="000000" w:themeColor="text1"/>
          <w:sz w:val="20"/>
          <w:szCs w:val="20"/>
        </w:rPr>
        <w:t xml:space="preserve"> 2030</w:t>
      </w:r>
    </w:p>
    <w:p w14:paraId="16EA9CC6" w14:textId="77777777" w:rsidR="00E2160F" w:rsidRPr="00D34848" w:rsidRDefault="00E2160F" w:rsidP="00E2160F">
      <w:pPr>
        <w:adjustRightInd w:val="0"/>
        <w:snapToGrid w:val="0"/>
        <w:spacing w:after="0" w:line="240" w:lineRule="auto"/>
        <w:jc w:val="center"/>
        <w:rPr>
          <w:rFonts w:ascii="Arial" w:hAnsi="Arial" w:cs="Arial"/>
          <w:color w:val="000000" w:themeColor="text1"/>
          <w:sz w:val="20"/>
          <w:szCs w:val="20"/>
        </w:rPr>
      </w:pPr>
    </w:p>
    <w:p w14:paraId="5BD49F55" w14:textId="77777777" w:rsidR="0003222E" w:rsidRPr="00D34848" w:rsidRDefault="00000000" w:rsidP="00E2160F">
      <w:pPr>
        <w:adjustRightInd w:val="0"/>
        <w:snapToGrid w:val="0"/>
        <w:spacing w:after="0" w:line="240" w:lineRule="auto"/>
        <w:jc w:val="center"/>
        <w:rPr>
          <w:rFonts w:ascii="Arial" w:hAnsi="Arial" w:cs="Arial"/>
          <w:b/>
          <w:color w:val="000000" w:themeColor="text1"/>
          <w:sz w:val="20"/>
          <w:szCs w:val="20"/>
        </w:rPr>
      </w:pPr>
      <w:r w:rsidRPr="00D34848">
        <w:rPr>
          <w:rFonts w:ascii="Arial" w:hAnsi="Arial" w:cs="Arial"/>
          <w:b/>
          <w:color w:val="000000" w:themeColor="text1"/>
          <w:sz w:val="20"/>
          <w:szCs w:val="20"/>
        </w:rPr>
        <w:t>QUỐC HỘI</w:t>
      </w:r>
    </w:p>
    <w:p w14:paraId="680389B3" w14:textId="77777777" w:rsidR="00E2160F" w:rsidRPr="00D34848" w:rsidRDefault="00E2160F" w:rsidP="00E2160F">
      <w:pPr>
        <w:adjustRightInd w:val="0"/>
        <w:snapToGrid w:val="0"/>
        <w:spacing w:after="0" w:line="240" w:lineRule="auto"/>
        <w:jc w:val="center"/>
        <w:rPr>
          <w:rFonts w:ascii="Arial" w:hAnsi="Arial" w:cs="Arial"/>
          <w:color w:val="000000" w:themeColor="text1"/>
          <w:sz w:val="20"/>
          <w:szCs w:val="20"/>
        </w:rPr>
      </w:pPr>
    </w:p>
    <w:p w14:paraId="06F1705A"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776FD275"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t>Căn cứ Luật Ngân sách nhà nước số 89/2025/QH15 đã được sửa đổi, bổ sung một số điều theo Luật số 145/2025/QH15;</w:t>
      </w:r>
    </w:p>
    <w:p w14:paraId="17E9C153"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t>Căn cứ Luật Quản lý nợ công số 20/2017/QH14 đã được sửa đổi, bổ sung một số điều theo Luật số 90/2025/QH15 và Luật số 141/2025/QH15;</w:t>
      </w:r>
    </w:p>
    <w:p w14:paraId="7DAA5980"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t>Căn cứ Luật Đầu tư công số 58/2024/QH15 đã được sửa đổi, bổ sung một số điều theo Luật số 90/2025/QH15 và Luật số 135/2025/QH15;</w:t>
      </w:r>
    </w:p>
    <w:p w14:paraId="0B38873A" w14:textId="77777777" w:rsidR="0003222E" w:rsidRPr="00D34848" w:rsidRDefault="00000000" w:rsidP="00E2160F">
      <w:pPr>
        <w:adjustRightInd w:val="0"/>
        <w:snapToGrid w:val="0"/>
        <w:spacing w:after="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t>Trên cơ sở xem xét Tờ trình số 17/TTr-CP ngày 03 tháng 4 năm 2026, Báo cáo số 18/BC-CP ngày 03 tháng 4 năm 2026, Báo cáo số 19/BC-CP ngày 03 tháng 4 năm 2026 của Chính phủ; Báo cáo thẩm tra số 02/BC-UBKTTC16-m ngày 08 tháng 4 năm 2026, Báo cáo thẩm tra số 03/BC-UBKTTC16-m ngày 08 tháng 4 năm 2026 của Ủy ban Kinh tế và Tài chính; Báo cáo tiếp thu, giải trình số 254/BC-CP ngày 23 tháng 4 năm 2026 của Chính phủ và ý kiến đại biểu Quốc hội,</w:t>
      </w:r>
    </w:p>
    <w:p w14:paraId="0B8F4CDB" w14:textId="77777777" w:rsidR="00E2160F" w:rsidRPr="00D34848" w:rsidRDefault="00E2160F" w:rsidP="00E2160F">
      <w:pPr>
        <w:adjustRightInd w:val="0"/>
        <w:snapToGrid w:val="0"/>
        <w:spacing w:after="0" w:line="240" w:lineRule="auto"/>
        <w:jc w:val="center"/>
        <w:rPr>
          <w:rFonts w:ascii="Arial" w:hAnsi="Arial" w:cs="Arial"/>
          <w:b/>
          <w:color w:val="000000" w:themeColor="text1"/>
          <w:sz w:val="20"/>
          <w:szCs w:val="20"/>
        </w:rPr>
      </w:pPr>
    </w:p>
    <w:p w14:paraId="12A87C23" w14:textId="072402E2" w:rsidR="0003222E" w:rsidRPr="00D34848" w:rsidRDefault="00000000" w:rsidP="00E2160F">
      <w:pPr>
        <w:adjustRightInd w:val="0"/>
        <w:snapToGrid w:val="0"/>
        <w:spacing w:after="0" w:line="240" w:lineRule="auto"/>
        <w:jc w:val="center"/>
        <w:rPr>
          <w:rFonts w:ascii="Arial" w:hAnsi="Arial" w:cs="Arial"/>
          <w:b/>
          <w:color w:val="000000" w:themeColor="text1"/>
          <w:sz w:val="20"/>
          <w:szCs w:val="20"/>
        </w:rPr>
      </w:pPr>
      <w:r w:rsidRPr="00D34848">
        <w:rPr>
          <w:rFonts w:ascii="Arial" w:hAnsi="Arial" w:cs="Arial"/>
          <w:b/>
          <w:color w:val="000000" w:themeColor="text1"/>
          <w:sz w:val="20"/>
          <w:szCs w:val="20"/>
        </w:rPr>
        <w:t>QUYẾT NGHỊ:</w:t>
      </w:r>
    </w:p>
    <w:p w14:paraId="4E3C3038" w14:textId="77777777" w:rsidR="00E2160F" w:rsidRPr="00D34848" w:rsidRDefault="00E2160F" w:rsidP="00E2160F">
      <w:pPr>
        <w:adjustRightInd w:val="0"/>
        <w:snapToGrid w:val="0"/>
        <w:spacing w:after="0" w:line="240" w:lineRule="auto"/>
        <w:jc w:val="center"/>
        <w:rPr>
          <w:rFonts w:ascii="Arial" w:hAnsi="Arial" w:cs="Arial"/>
          <w:color w:val="000000" w:themeColor="text1"/>
          <w:sz w:val="20"/>
          <w:szCs w:val="20"/>
        </w:rPr>
      </w:pPr>
    </w:p>
    <w:p w14:paraId="64AF09C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b/>
          <w:color w:val="000000" w:themeColor="text1"/>
          <w:sz w:val="20"/>
          <w:szCs w:val="20"/>
        </w:rPr>
        <w:t>Điều 1. Mục tiêu tổng quát</w:t>
      </w:r>
    </w:p>
    <w:p w14:paraId="2A17FB6E"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Xây dựng nền tài chính quốc gia hiệu quả, minh bạch, bền vững. Thực hiện chính sách tài khóa chủ động, hợp lý, có trọng tâm, trọng điểm, phối hợp chặt chẽ với chính sách tiền tệ; huy động tối đa và sử dụng có hiệu quả nguồn lực trong và ngoài nước để thúc đẩy tăng trưởng kinh tế nhanh, bền vững; tiếp tục cơ cấu lại ngân sách nhà nước, bảo đảm vai trò chủ đạo của ngân sách trung ương và chủ động của ngân sách địa phương; tập trung nguồn lực thực hiện các đột phá chiến lược gắn với mục tiêu phát triển kinh tế - xã hội của đất nước, bảo đảm quốc phòng, an ninh, an sinh xã hội; triệt để tiết kiệm, chống lãng phí, tăng cường kỷ luật, kỷ cương tài chính; duy trì an ninh, an toàn tài chính quốc gia, ổn định kinh tế vĩ mô.</w:t>
      </w:r>
    </w:p>
    <w:p w14:paraId="75156B65"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b/>
          <w:color w:val="000000" w:themeColor="text1"/>
          <w:sz w:val="20"/>
          <w:szCs w:val="20"/>
        </w:rPr>
        <w:t>Điều 2. Mục tiêu cụ thể</w:t>
      </w:r>
    </w:p>
    <w:p w14:paraId="51C609FC"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 Phấn đấu tổng thu ngân sách nhà nước giai đoạn 2026 - 2030 khoảng 16,4 triệu tỷ đồng, tỷ lệ huy động ngân sách nhà nước bình quân đạt 18% GDP, tỷ trọng thu nội địa bình quân khoảng 87 - 88% tổng thu ngân sách nhà nước, tỷ trọng thu ngân sách trung ương đến năm 2030 khoảng 53 - 54% tổng thu ngân sách nhà nước.</w:t>
      </w:r>
    </w:p>
    <w:p w14:paraId="3579F1F9"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2. Tổng chi ngân sách nhà nước giai đoạn 2026 - 2030 khoảng 21,2 triệu tỷ đồng, trong đó:</w:t>
      </w:r>
    </w:p>
    <w:p w14:paraId="2244A6B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a) Bố trí chi đầu tư phát triển khoảng 8,51 triệu tỷ đồng: Kế hoạch đầu tư công trung hạn là 8,22 triệu tỷ đồng, trong đó ngân sách trung ương là 3,8 triệu tỷ đồng, ngân sách địa phương là 4,42 triệu tỷ đồng; các nhiệm vụ chi đầu tư phát triển khác của ngân sách trung ương ngoài phạm vi kế hoạch đầu tư công trung hạn là 290 nghìn tỷ đồng;</w:t>
      </w:r>
    </w:p>
    <w:p w14:paraId="3EBD6CD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b) Tỷ trọng chi đầu tư phát triển bình quân khoảng 40% tổng chi ngân sách nhà nước; tỷ trọng chi thường xuyên bình quân khoảng 51 - 52% tổng chi ngân sách nhà nước;</w:t>
      </w:r>
    </w:p>
    <w:p w14:paraId="040629B7"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c) Bố trí chi trả nợ lãi bảo đảm thực hiện đầy đủ các nghĩa vụ khi đến hạn;</w:t>
      </w:r>
    </w:p>
    <w:p w14:paraId="7B7AF345"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d) Bố trí tối thiểu 3% tổng chi ngân sách nhà nước hằng năm cho phát triển khoa học, công nghệ, đổi mới sáng tạo, chuyển đổi số và tăng dần theo yêu cầu phát triển; 20% tổng chi ngân sách nhà nước cho giáo dục, đào tạo và dạy nghề;</w:t>
      </w:r>
    </w:p>
    <w:p w14:paraId="36D39B33"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đ) Bố trí dự phòng ngân sách và dự phòng an ninh, an toàn tài chính quốc gia nhằm điều hành chủ động, linh hoạt, thích ứng với mọi tình huống, đảm bảo cân đối ngân sách nhà nước.</w:t>
      </w:r>
    </w:p>
    <w:p w14:paraId="6EF5B430"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lastRenderedPageBreak/>
        <w:t>3. Tỷ lệ bội chi ngân sách nhà nước bình quân giai đoạn 2026 - 2030 khoảng 5% GDP, bao gồm bội chi ngân sách trung ương khoảng 4,4% GDP, bội chi ngân sách địa phương bình quân khoảng 0,6% GDP; xây dựng mức bội chi ngân sách nhà nước hằng năm theo nhu cầu, tiến độ giải ngân các nhiệm vụ đầu tư phát triển.</w:t>
      </w:r>
    </w:p>
    <w:p w14:paraId="630E8C46"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4. Bảo đảm an toàn nợ công với các chỉ tiêu trần và ngưỡng cảnh báo:</w:t>
      </w:r>
    </w:p>
    <w:p w14:paraId="40283691"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a) Trần nợ công hằng năm không quá 60% GDP; ngưỡng cảnh báo là 50% GDP;</w:t>
      </w:r>
    </w:p>
    <w:p w14:paraId="61C22A0C"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b) Trần nợ Chính phủ hằng năm không quá 50% GDP; ngưỡng cảnh báo là 45% GDP;</w:t>
      </w:r>
    </w:p>
    <w:p w14:paraId="70D3F23C"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c) Trần nợ nước ngoài của quốc gia hằng năm không quá 50% GDP; ngưỡng cảnh báo là 45% GDP;</w:t>
      </w:r>
    </w:p>
    <w:p w14:paraId="0E00ECDF"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d) Nghĩa vụ trả nợ trực tiếp của Chính phủ (không bao gồm nghĩa vụ trả nợ đối với các khoản vay về cho vay lại) không quá 25% tổng thu ngân sách nhà nước;</w:t>
      </w:r>
    </w:p>
    <w:p w14:paraId="548BF14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đ) Nghĩa vụ trả nợ nước ngoài của quốc gia (không bao gồm nghĩa vụ trả nợ gốc ngắn hạn dưới 12 tháng) không quá 25% tổng kim ngạch xuất khẩu hàng hóa và dịch vụ;</w:t>
      </w:r>
    </w:p>
    <w:p w14:paraId="17B397C5"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e) Nghĩa vụ trả nợ lãi trực tiếp của Chính phủ không quá 10% tổng thu ngân sách nhà nước.</w:t>
      </w:r>
    </w:p>
    <w:p w14:paraId="5FD220C7"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5. Tổng mức vay của Chính phủ giai đoạn 2026 - 2030 khoảng 6,497 triệu tỷ đồng; trong đó tổng mức vay của ngân sách trung ương khoảng 6,327 triệu tỷ đồng. Nghĩa vụ trả nợ trực tiếp của Chính phủ giai đoạn 2026 - 2030 khoảng 3,2 triệu tỷ đồng. Trường hợp tăng trưởng kinh tế, lạm phát, tỷ giá, lãi suất biến động mạnh, Chính phủ trình Quốc hội xem xét, quyết định phương án điều chỉnh nghĩa vụ trả nợ trực tiếp của Chính phủ.</w:t>
      </w:r>
    </w:p>
    <w:p w14:paraId="1B4065AF"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6. Tổng mức vay của chính quyền địa phương giai đoạn 2026 - 2030 khoảng 622 nghìn tỷ đồng. Nghĩa vụ trả nợ của chính quyền địa phương khoảng 47 nghìn tỷ đồng.</w:t>
      </w:r>
    </w:p>
    <w:p w14:paraId="1089B9E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7. Hạn mức bảo lãnh Chính phủ giai đoạn 2026 - 2030 là 68,4 nghìn tỷ đồng. Trường hợp cần thiết phải điều chỉnh tăng hạn mức bảo lãnh để kịp thời đáp ứng nhu cầu vốn cho các chương trình tín dụng chính sách và các dự án trọng điểm, quan trọng quốc gia nhưng không làm vượt trần, ngưỡng các chỉ tiêu an toàn nợ công, Chính phủ quyết định bảo đảm hiệu quả và báo cáo Quốc hội tại kỳ họp gần nhất.</w:t>
      </w:r>
    </w:p>
    <w:p w14:paraId="0EAE7A4A"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b/>
          <w:color w:val="000000" w:themeColor="text1"/>
          <w:sz w:val="20"/>
          <w:szCs w:val="20"/>
        </w:rPr>
        <w:t>Điều 3. Định hướng công tác tài chính quốc gia và vay, trả nợ công</w:t>
      </w:r>
    </w:p>
    <w:p w14:paraId="56961D68"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 Triển khai đồng bộ các giải pháp để thực hiện mục tiêu tăng trưởng giai đoạn 2026 - 2030 theo Nghị quyết và Chương trình hành động của Ban Chấp hành Trung ương thực hiện Nghị quyết Đại hội Đảng toàn quốc lần thứ XIV, Nghị quyết của Quốc hội về Kế hoạch phát triển kinh tế - xã hội 5 năm giai đoạn 2026 - 2030 trên cơ sở bảo đảm các cân đối lớn về tài chính, ngân sách nhà nước; thực hiện đánh giá hằng năm và giữa kỳ, kịp thời kiến nghị cấp có thẩm quyền xem xét, quyết định điều chỉnh các chỉ tiêu về tài chính, ngân sách nhà nước khi có biến động lớn, phù hợp thực tế.</w:t>
      </w:r>
    </w:p>
    <w:p w14:paraId="57F30548"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2. Quản lý, điều hành ngân sách nhà nước và nợ công nhằm thực hiện hiệu quả các mục tiêu phát triển kinh tế - xã hội; cải thiện môi trường đầu tư kinh doanh, khơi thông nguồn lực để mọi thành phần kinh tế đầu tư vốn cho phát triển kinh tế - xã hội; lấy kết quả, hiệu quả sử dụng nguồn lực tài chính, ngân sách nhà nước làm thước đo, đánh giá hằng năm và gắn với trách nhiệm của người đứng đầu các ngành, cơ quan, đơn vị và địa phương.</w:t>
      </w:r>
    </w:p>
    <w:p w14:paraId="211E879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3. Xây dựng hệ thống thuế hiện đại, hiệu lực, hiệu quả, minh bạch, điều tiết hợp lý để vừa thúc đẩy tăng trưởng kinh tế vừa bảo đảm nguồn thu cho ngân sách nhà nước; bảo đảm tính trung lập của hệ thống thuế, hạn chế tối đa việc lồng ghép giữa chính sách xã hội với chính sách thuế; mở rộng cơ sở thu, tăng nguồn thu bền vững.</w:t>
      </w:r>
    </w:p>
    <w:p w14:paraId="2B440C3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4. Nâng cao hiệu quả chi tiêu công gắn với đánh giá hiệu quả kinh tế - xã hội các dự án đầu tư công, phân bổ vốn trọng tâm, trọng điểm; hoàn thiện hệ thống tiêu chuẩn quốc gia, quy chuẩn kỹ thuật quốc gia, định mức kinh tế - kỹ thuật của các ngành, lĩnh vực theo hướng thống nhất, đồng bộ, hài hòa với các tiêu chuẩn quốc tế, phù hợp điều kiện thực tiễn.</w:t>
      </w:r>
    </w:p>
    <w:p w14:paraId="6C9640F9"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5. Vay bù đắp bội chi ngân sách nhà nước chỉ sử dụng cho đầu tư phát triển. Chỉ chi ngân sách nhà nước trong khả năng của nền kinh tế và chỉ vay trong khả năng trả nợ. Kiểm soát chặt chẽ nghĩa vụ nợ dự phòng bảo đảm đúng quy định và hiệu quả.</w:t>
      </w:r>
    </w:p>
    <w:p w14:paraId="5B476EDE"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b/>
          <w:color w:val="000000" w:themeColor="text1"/>
          <w:sz w:val="20"/>
          <w:szCs w:val="20"/>
        </w:rPr>
        <w:t>Điều 4. Nhiệm vụ và giải pháp thực hiện</w:t>
      </w:r>
    </w:p>
    <w:p w14:paraId="5E750F6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lastRenderedPageBreak/>
        <w:t>1. Hoàn thiện đồng bộ thể chế, đổi mới quản lý, điều hành, xác lập mô hình tăng trưởng mới, lấy khoa học, công nghệ, đổi mới sáng tạo và chuyển đổi số làm động lực chính, nâng cao năng lực cạnh tranh quốc gia; tăng cường cơ chế phối hợp nhịp nhàng, nhất quán, hiệu quả giữa chính sách tài khóa, tiền tệ và các chính sách kinh tế vĩ mô khác; thực hiện đồng bộ, thống nhất Kế hoạch tài chính quốc gia và vay, trả nợ công 5 năm, Kế hoạch đầu tư công trung hạn giai đoạn 2026 - 2030; kiểm soát các cân đối lớn về tài chính, ngân sách; chủ động, linh hoạt trong điều hành ứng phó với các diễn biến kinh tế - xã hội tác động không thuận lợi trong và ngoài nước, tạo nền tảng, định hướng cho các cấp, các ngành phát huy tối đa lợi thế, tiềm năng trong tổ chức thực hiện.</w:t>
      </w:r>
    </w:p>
    <w:p w14:paraId="4BDC59E0"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Tiếp tục hoàn thiện pháp luật về tài chính công, nghiên cứu hợp nhất Luật Đầu tư công và Luật Ngân sách nhà nước.</w:t>
      </w:r>
    </w:p>
    <w:p w14:paraId="5F70CB7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2. Tiếp tục rà soát, hoàn thiện hệ thống pháp luật về thuế, phí, lệ phí; có chính sách tạo nguồn thu và nuôi dưỡng nguồn thu; chủ động nghiên cứu và xây dựng lộ trình phù hợp để triển khai các loại thuế mới, bảo đảm bao quát các nguồn thu, mở rộng cơ sở thuế, nâng cao tính công khai, minh bạch, phù hợp thông lệ quốc tế. Chú trọng các nguồn thu từ đất đai, tài nguyên, khoáng sản, thương mại điện tử, kinh doanh trên nền tảng số... Hiện đại hóa quy trình, công tác quản lý thu, giảm tối đa chi phí tuân thủ. Xây dựng hệ thống quản trị thuế thông minh, thực hiện chuyển đổi số toàn diện trong quản lý thuế dựa trên cơ sở dữ liệu, bảo đảm thu đúng, thu đủ, thu kịp thời các nguồn thu của ngân sách nhà nước; tăng cường công tác chống thất thu, gian lận thuế và chống chuyển giá; tập trung xử lý, thu hồi tối đa các khoản nợ thuế, phấn đấu giảm tỷ lệ nợ đọng thuế, phí dưới 5% tổng số thu ngân sách nhà nước.</w:t>
      </w:r>
    </w:p>
    <w:p w14:paraId="0539FC42"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3. Bảo đảm vai trò chủ đạo của ngân sách trung ương, tăng tính chủ động của ngân sách địa phương. Đối với chính sách đặc thù tài chính - ngân sách nhà nước của địa phương, tập trung khai thác các nguồn thu mới; không ban hành các cơ chế, chính sách, quy định đặc thù về miễn, giảm, ưu đãi thuế cao hơn quy định của pháp luật về thuế, pháp luật khác về thu ngân sách nhà nước. Không quy định phân cấp nguồn thu ngân sách nhà nước, để lại nguồn thu ngân sách trung ương khác với quy định của Luật Ngân sách nhà nước, Kết luận số 93-KL/TW ngày 26 tháng 8 năm 2024 của Bộ Chính trị về tiếp tục đổi mới cơ chế phân cấp quản lý, phân bổ ngân sách nhà nước để bảo đảm vai trò chủ đạo của ngân sách trung ương và chủ động của ngân sách địa phương, cơ quan, đơn vị có liên quan, trừ trường hợp theo chủ trương của cấp có thẩm quyền.</w:t>
      </w:r>
    </w:p>
    <w:p w14:paraId="1C8F1EA9"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4. Tiếp tục đẩy mạnh cổ phần hóa, thoái vốn nhà nước tại doanh nghiệp, bảo đảm hiệu quả, không làm thất thoát, lãng phí. Quản lý, sử dụng hiệu quả nguồn lợi nhuận sau thuế của khu vực doanh nghiệp nhà nước, ưu tiên sử dụng tài sản công, Quỹ đầu tư phát triển, Quỹ dự trữ bổ sung vốn điều lệ để đầu tư vốn nhà nước vào doanh nghiệp để vừa thực hiện mục tiêu phát triển kinh tế nhà nước, vừa không ảnh hưởng lớn tới nguồn thu của ngân sách nhà nước.</w:t>
      </w:r>
    </w:p>
    <w:p w14:paraId="3997F317"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5. Nâng cao hiệu quả phân bổ, quản lý, sử dụng ngân sách nhà nước, gắn với phân cấp, phân quyền thực chất, trách nhiệm của người đứng đầu; ưu tiên đầu tư phát triển thúc đẩy tăng trưởng kinh tế, các nhiệm vụ chính trị quan trọng của đất nước, quốc phòng, an ninh, đối ngoại, các chính sách, chế độ đã ban hành, thực hiện các chủ trương của Đảng, Nhà nước về khoa học, công nghệ, đổi mới sáng tạo, chuyển đổi số, giáo dục, y tế, văn hóa, phát triển nguồn nhân lực chất lượng cao, kinh tế số, kinh tế xanh, kinh tế tuần hoàn; tiếp tục nghiên cứu cải cách tổng thể chế độ tiền lương khu vực công. Từ năm 2027 cân đối vào ngân sách nhà nước một số nhiệm vụ an ninh, quốc phòng đã được cấp có thẩm quyền phê duyệt.</w:t>
      </w:r>
    </w:p>
    <w:p w14:paraId="15558DF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6. Rà soát chặt chẽ nhu cầu kinh phí thực hiện các chương trình, nhiệm vụ, đề án, dự án đã ban hành, bố trí dự toán ngân sách nhà nước hằng năm trên cơ sở tiến độ thực hiện, nguồn lực triển khai, khả năng hấp thụ vốn, gắn với các yêu cầu về kết quả thực hiện; đối với các chính sách, chế độ, các chương trình, nhiệm vụ, đề án, dự án mới, các chủ trương đang trình cấp có thẩm quyền, tuân thủ nghiêm nguyên tắc chỉ ban hành khi đã rà soát tính cần thiết, hiệu lực, hiệu quả, không trùng lặp và trong phạm vi nguồn lực ngân sách nhà nước.</w:t>
      </w:r>
    </w:p>
    <w:p w14:paraId="0E337FE4"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Bố trí chi thực hiện các Chương trình mục tiêu quốc gia bảo đảm hiệu quả, khả thi, không trùng lặp giữa các Chương trình mục tiêu quốc gia, không trùng lặp với các chương trình, dự án, chính sách, chế độ, nhiệm vụ chi khác, phù hợp với tiến độ thực hiện, khả năng giải ngân và cân đối ngân sách nhà nước.</w:t>
      </w:r>
    </w:p>
    <w:p w14:paraId="68BE14C8"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 xml:space="preserve">7. Tiếp tục hoàn thiện khung thể chế, tăng cường hiệu quả, hiệu lực quản lý các quỹ tài chính nhà nước ngoài ngân sách; rà soát tổng thể và kiên quyết sáp nhập, giải thể các quỹ ngoài ngân sách hoạt động kém hiệu quả, có nhiệm vụ chi trùng lặp với nhiệm vụ chi của ngân sách nhà nước, không </w:t>
      </w:r>
      <w:r w:rsidRPr="00D34848">
        <w:rPr>
          <w:rFonts w:ascii="Arial" w:hAnsi="Arial" w:cs="Arial"/>
          <w:color w:val="000000" w:themeColor="text1"/>
          <w:sz w:val="20"/>
          <w:szCs w:val="20"/>
        </w:rPr>
        <w:lastRenderedPageBreak/>
        <w:t>phù hợp với yêu cầu phát triển; không hình thành mới quỹ tài chính nhà nước ngoài ngân sách, trừ các trường hợp cấp bách, cấp thiết theo yêu cầu của Bộ Chính trị, Ban Chấp hành Trung ương Đảng.</w:t>
      </w:r>
    </w:p>
    <w:p w14:paraId="5F303D62"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8. Chính phủ chủ động điều hành linh hoạt về công cụ, hình thức, kỳ hạn, thời điểm và khối lượng vay trong năm, gắn với công tác quản lý ngân quỹ, giảm áp lực huy động vốn cho ngân sách nhà nước, đáp ứng nhu cầu huy động và dự phòng cho thời điểm thị trường không thuận lợi, bảo đảm an toàn nợ công và thanh khoản của thị trường trái phiếu Chính phủ. Trong điều hành ngân sách hằng năm, Chính phủ chủ động rà soát, cắt giảm các khoản chi không cần thiết hoặc sử dụng các nguồn dự phòng an ninh, an toàn tài chính, nguồn tăng thu ngân sách nhà nước (nếu có) để giảm bội chi, tăng chi trả nợ, giảm áp lực huy động cho ngân sách nhà nước.</w:t>
      </w:r>
    </w:p>
    <w:p w14:paraId="58AFB4B0"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9. Quản lý nợ công thống nhất, chủ động, an toàn, bền vững. Chính phủ điều hành các chỉ tiêu rủi ro danh mục nợ Chính phủ theo thông lệ quốc tế và bối cảnh của Việt Nam. Đa dạng hóa việc huy động phù hợp thị trường và yêu cầu huy động nguồn lực ngân sách nhà nước. Gắn kết chặt chẽ quản lý ngân sách nhà nước và nợ công với quản lý ngân quỹ nhà nước nhằm nâng cao hiệu quả quản lý các nguồn lực tài chính của Nhà nước, bảo đảm thanh khoản của Chính phủ tại mọi thời điểm. Phấn đấu đưa Việt Nam sớm trở thành quốc gia có xếp hạng tín nhiệm quốc gia ở mức Đầu tư.</w:t>
      </w:r>
    </w:p>
    <w:p w14:paraId="67B3A6D7"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Quản lý chặt chẽ vay của chính quyền địa phương trên nguyên tắc đảm bảo trong hạn mức vay cho phép, trả nợ đầy đủ, đúng hạn và tăng cường chủ động quản lý rủi ro từ các hoạt động vay của địa phương.</w:t>
      </w:r>
    </w:p>
    <w:p w14:paraId="72147D50"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Nghiên cứu, đánh giá tổng thể công tác quản lý nợ nước ngoài quốc gia để cải cách khung chính sách về quản lý nợ nước ngoài phù hợp với bối cảnh của Việt Nam và rà soát, điều chỉnh các văn bản quy phạm pháp luật có liên quan.</w:t>
      </w:r>
    </w:p>
    <w:p w14:paraId="171865E5"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Thực hiện việc vay vốn ODA, vay ưu đãi nước ngoài cần gắn với khả năng trả nợ trong dài hạn, ưu tiên cho các dự án hạ tầng then chốt và các lĩnh vực có khả năng lan tỏa cao.</w:t>
      </w:r>
    </w:p>
    <w:p w14:paraId="1E09B12D" w14:textId="5EE8DAC8"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10. Hoàn thiện quy hoạch mạng lưới, hệ thống, sắp xếp lại các đơn vị sự nghiệp công lập gắn với quy hoạch, kế hoạch phát triển kinh tế - xã hội, phù hợp với thực tế bộ máy của hệ thống chính trị sau sắp xếp; đổi mới cơ chế, nâng cao năng lực hoạt động, cung cấp dịch vụ sự nghiệp công, tăng mức độ tự chủ của các đơn vị sự nghiệp công lập, thúc đẩy xã hội hóa đối với các dịch vụ công có khả năng thu; xây dựng cơ chế, chính sách chuyển đổi đơn vị sự nghiệp công lập trong những ngành, lĩnh vực phù hợp thành công ty trách nhiệm hữu hạn một</w:t>
      </w:r>
      <w:r w:rsidR="00E2160F" w:rsidRPr="00D34848">
        <w:rPr>
          <w:rFonts w:ascii="Arial" w:hAnsi="Arial" w:cs="Arial"/>
          <w:color w:val="000000" w:themeColor="text1"/>
          <w:sz w:val="20"/>
          <w:szCs w:val="20"/>
        </w:rPr>
        <w:t xml:space="preserve"> </w:t>
      </w:r>
      <w:r w:rsidRPr="00D34848">
        <w:rPr>
          <w:rFonts w:ascii="Arial" w:hAnsi="Arial" w:cs="Arial"/>
          <w:color w:val="000000" w:themeColor="text1"/>
          <w:sz w:val="20"/>
          <w:szCs w:val="20"/>
        </w:rPr>
        <w:t>thành viên do Nhà nước nắm giữ 100% vốn điều lệ.</w:t>
      </w:r>
    </w:p>
    <w:p w14:paraId="74DEBA8D"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11. Nâng cao hiệu quả, hiệu lực quản lý, sử dụng tài sản công, tận dụng tối đa công năng sử dụng các trụ sở làm việc hiện có; hạn chế tối đa việc xây dựng trụ sở, trung tâm hành chính mới tại các tỉnh, thành phố; các bộ, ngành, địa phương chịu trách nhiệm về sự cần thiết khi quyết định, bảo đảm hiệu quả sử dụng ngân sách nhà nước, không để ảnh hưởng đến các mục tiêu quan trọng khác, chống lãng phí, tiêu cực.</w:t>
      </w:r>
    </w:p>
    <w:p w14:paraId="1FA79DB3"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12. Siết chặt kỷ luật, kỷ cương tài chính, ngân sách nhà nước, nợ công, quản lý tài sản công, tăng cường công tác giám sát, thanh tra, kiểm tra, kiểm toán theo quy định của pháp luật. Thực hiện có hiệu quả các mục tiêu, nhiệm vụ, giải pháp về thực hành tiết kiệm, đẩy mạnh phòng, chống lãng phí, tham nhũng, tiêu cực, triệt để tiết kiệm chi thường xuyên, đặc biệt là chi hội nghị, hội thảo, đi công tác trong và ngoài nước, đề cao trách nhiệm cá nhân của người đứng đầu; khen thưởng, động viên tổ chức, cá nhân có thành tích xuất sắc; xử lý nghiêm minh những tổ chức, cá nhân có các vi phạm theo quy định của pháp luật.</w:t>
      </w:r>
    </w:p>
    <w:p w14:paraId="7C5993D8"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13. Thiết lập nền tảng tài chính hiện đại, tài chính số, nâng cao chất lượng dự báo, dự toán ngân sách nhà nước; cải cách thủ tục hành chính tạo thuận lợi, giảm chi phí tuân thủ, cải thiện môi trường đầu tư kinh doanh của Việt Nam.</w:t>
      </w:r>
    </w:p>
    <w:p w14:paraId="1389D20A"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b/>
          <w:color w:val="000000" w:themeColor="text1"/>
          <w:sz w:val="20"/>
          <w:szCs w:val="20"/>
        </w:rPr>
        <w:t>Điều 5. Tổ chức thực hiện</w:t>
      </w:r>
    </w:p>
    <w:p w14:paraId="294B73D2"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1. Chính phủ, các Bộ, cơ quan trung ương và chính quyền địa phương các cấp theo chức năng, nhiệm vụ được giao, tổ chức thực hiện có hiệu quả Nghị quyết này.</w:t>
      </w:r>
    </w:p>
    <w:p w14:paraId="4EA6FCE1" w14:textId="1A7E6C54"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color w:val="000000" w:themeColor="text1"/>
          <w:sz w:val="20"/>
          <w:szCs w:val="20"/>
        </w:rPr>
        <w:t xml:space="preserve">2. Ủy ban Thường vụ Quốc hội, Hội đồng Dân tộc và các </w:t>
      </w:r>
      <w:r w:rsidR="00E2160F" w:rsidRPr="00D34848">
        <w:rPr>
          <w:rFonts w:ascii="Arial" w:hAnsi="Arial" w:cs="Arial"/>
          <w:color w:val="000000" w:themeColor="text1"/>
          <w:sz w:val="20"/>
          <w:szCs w:val="20"/>
        </w:rPr>
        <w:t>Ủ</w:t>
      </w:r>
      <w:r w:rsidRPr="00D34848">
        <w:rPr>
          <w:rFonts w:ascii="Arial" w:hAnsi="Arial" w:cs="Arial"/>
          <w:color w:val="000000" w:themeColor="text1"/>
          <w:sz w:val="20"/>
          <w:szCs w:val="20"/>
        </w:rPr>
        <w:t>y ban của Quốc hội, các Đoàn đại biểu Quốc hội, đại biểu Quốc hội, Mặt trận Tổ quốc Việt Nam và các tổ chức thành viên, trong phạm vi nhiệm vụ, quyền hạn của mình, giám sát việc thực hiện Nghị quyết này.</w:t>
      </w:r>
    </w:p>
    <w:p w14:paraId="6B8D6F10" w14:textId="085E79F6" w:rsidR="00E2160F" w:rsidRPr="00D34848" w:rsidRDefault="00E2160F" w:rsidP="00E2160F">
      <w:pPr>
        <w:adjustRightInd w:val="0"/>
        <w:snapToGrid w:val="0"/>
        <w:spacing w:after="0" w:line="240" w:lineRule="auto"/>
        <w:jc w:val="both"/>
        <w:rPr>
          <w:rFonts w:ascii="Arial" w:hAnsi="Arial" w:cs="Arial"/>
          <w:color w:val="000000" w:themeColor="text1"/>
          <w:sz w:val="20"/>
          <w:szCs w:val="20"/>
        </w:rPr>
      </w:pPr>
      <w:r w:rsidRPr="00D34848">
        <w:rPr>
          <w:rFonts w:ascii="Arial" w:hAnsi="Arial" w:cs="Arial"/>
          <w:color w:val="000000" w:themeColor="text1"/>
          <w:sz w:val="20"/>
          <w:szCs w:val="20"/>
        </w:rPr>
        <w:t>_________________________________________________________________________________</w:t>
      </w:r>
    </w:p>
    <w:p w14:paraId="7740296A" w14:textId="77777777" w:rsidR="0003222E" w:rsidRPr="00D34848" w:rsidRDefault="00000000" w:rsidP="00E2160F">
      <w:pPr>
        <w:adjustRightInd w:val="0"/>
        <w:snapToGrid w:val="0"/>
        <w:spacing w:after="120" w:line="240" w:lineRule="auto"/>
        <w:ind w:firstLine="720"/>
        <w:jc w:val="both"/>
        <w:rPr>
          <w:rFonts w:ascii="Arial" w:hAnsi="Arial" w:cs="Arial"/>
          <w:color w:val="000000" w:themeColor="text1"/>
          <w:sz w:val="20"/>
          <w:szCs w:val="20"/>
        </w:rPr>
      </w:pPr>
      <w:r w:rsidRPr="00D34848">
        <w:rPr>
          <w:rFonts w:ascii="Arial" w:hAnsi="Arial" w:cs="Arial"/>
          <w:i/>
          <w:color w:val="000000" w:themeColor="text1"/>
          <w:sz w:val="20"/>
          <w:szCs w:val="20"/>
        </w:rPr>
        <w:lastRenderedPageBreak/>
        <w:t>Nghị quyết này được Quốc hội nước Cộng hòa xã hội chủ nghĩa Việt Nam khóa XVI, Kỳ họp thứ Nhất thông qua ngày 24 tháng 4 năm 2026.</w:t>
      </w:r>
    </w:p>
    <w:tbl>
      <w:tblPr>
        <w:tblW w:w="5000" w:type="pct"/>
        <w:tblCellMar>
          <w:left w:w="10" w:type="dxa"/>
          <w:right w:w="10" w:type="dxa"/>
        </w:tblCellMar>
        <w:tblLook w:val="07E0" w:firstRow="1" w:lastRow="1" w:firstColumn="1" w:lastColumn="1" w:noHBand="1" w:noVBand="1"/>
      </w:tblPr>
      <w:tblGrid>
        <w:gridCol w:w="4513"/>
        <w:gridCol w:w="4513"/>
      </w:tblGrid>
      <w:tr w:rsidR="00D34848" w:rsidRPr="00D34848" w14:paraId="1B9EEF9B" w14:textId="77777777" w:rsidTr="00E2160F">
        <w:tc>
          <w:tcPr>
            <w:tcW w:w="2500" w:type="pct"/>
          </w:tcPr>
          <w:p w14:paraId="7381B400" w14:textId="77777777" w:rsidR="0003222E" w:rsidRPr="00D34848" w:rsidRDefault="0003222E" w:rsidP="00E2160F">
            <w:pPr>
              <w:adjustRightInd w:val="0"/>
              <w:snapToGrid w:val="0"/>
              <w:spacing w:after="0" w:line="240" w:lineRule="auto"/>
              <w:jc w:val="center"/>
              <w:rPr>
                <w:rFonts w:ascii="Arial" w:hAnsi="Arial" w:cs="Arial"/>
                <w:color w:val="000000" w:themeColor="text1"/>
                <w:sz w:val="20"/>
                <w:szCs w:val="20"/>
              </w:rPr>
            </w:pPr>
          </w:p>
        </w:tc>
        <w:tc>
          <w:tcPr>
            <w:tcW w:w="2500" w:type="pct"/>
          </w:tcPr>
          <w:p w14:paraId="51E364CD" w14:textId="2BEAB006" w:rsidR="0003222E" w:rsidRPr="00D34848" w:rsidRDefault="00000000" w:rsidP="00E2160F">
            <w:pPr>
              <w:adjustRightInd w:val="0"/>
              <w:snapToGrid w:val="0"/>
              <w:spacing w:after="0" w:line="240" w:lineRule="auto"/>
              <w:jc w:val="center"/>
              <w:rPr>
                <w:rFonts w:ascii="Arial" w:hAnsi="Arial" w:cs="Arial"/>
                <w:color w:val="000000" w:themeColor="text1"/>
                <w:sz w:val="20"/>
                <w:szCs w:val="20"/>
              </w:rPr>
            </w:pPr>
            <w:r w:rsidRPr="00D34848">
              <w:rPr>
                <w:rFonts w:ascii="Arial" w:hAnsi="Arial" w:cs="Arial"/>
                <w:b/>
                <w:color w:val="000000" w:themeColor="text1"/>
                <w:sz w:val="20"/>
                <w:szCs w:val="20"/>
              </w:rPr>
              <w:t>CHỦ TỊCH QUỐC HỘI</w:t>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color w:val="000000" w:themeColor="text1"/>
                <w:sz w:val="20"/>
                <w:szCs w:val="20"/>
              </w:rPr>
              <w:br/>
            </w:r>
            <w:r w:rsidRPr="00D34848">
              <w:rPr>
                <w:rFonts w:ascii="Arial" w:hAnsi="Arial" w:cs="Arial"/>
                <w:b/>
                <w:color w:val="000000" w:themeColor="text1"/>
                <w:sz w:val="20"/>
                <w:szCs w:val="20"/>
              </w:rPr>
              <w:t>Trần Thanh Mẫn</w:t>
            </w:r>
          </w:p>
        </w:tc>
      </w:tr>
    </w:tbl>
    <w:p w14:paraId="3B5ACCB3" w14:textId="77777777" w:rsidR="003C252E" w:rsidRPr="00D34848" w:rsidRDefault="003C252E" w:rsidP="00E2160F">
      <w:pPr>
        <w:adjustRightInd w:val="0"/>
        <w:snapToGrid w:val="0"/>
        <w:spacing w:after="120" w:line="240" w:lineRule="auto"/>
        <w:ind w:firstLine="720"/>
        <w:jc w:val="both"/>
        <w:rPr>
          <w:rFonts w:ascii="Arial" w:hAnsi="Arial" w:cs="Arial"/>
          <w:color w:val="000000" w:themeColor="text1"/>
          <w:sz w:val="20"/>
          <w:szCs w:val="20"/>
        </w:rPr>
      </w:pPr>
    </w:p>
    <w:sectPr w:rsidR="003C252E" w:rsidRPr="00D34848" w:rsidSect="00E2160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C1E5" w14:textId="77777777" w:rsidR="00EC12DC" w:rsidRDefault="00EC12DC">
      <w:pPr>
        <w:spacing w:after="0" w:line="240" w:lineRule="auto"/>
      </w:pPr>
      <w:r>
        <w:separator/>
      </w:r>
    </w:p>
  </w:endnote>
  <w:endnote w:type="continuationSeparator" w:id="0">
    <w:p w14:paraId="4A809E9C" w14:textId="77777777" w:rsidR="00EC12DC" w:rsidRDefault="00EC1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BC374" w14:textId="77777777" w:rsidR="00EC12DC" w:rsidRDefault="00EC12DC">
      <w:pPr>
        <w:spacing w:after="0" w:line="240" w:lineRule="auto"/>
      </w:pPr>
      <w:r>
        <w:separator/>
      </w:r>
    </w:p>
  </w:footnote>
  <w:footnote w:type="continuationSeparator" w:id="0">
    <w:p w14:paraId="007A593F" w14:textId="77777777" w:rsidR="00EC12DC" w:rsidRDefault="00EC12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2E"/>
    <w:rsid w:val="0003222E"/>
    <w:rsid w:val="002958B3"/>
    <w:rsid w:val="002A73A7"/>
    <w:rsid w:val="003C252E"/>
    <w:rsid w:val="003F02DF"/>
    <w:rsid w:val="005F5F38"/>
    <w:rsid w:val="007754C6"/>
    <w:rsid w:val="00C14C88"/>
    <w:rsid w:val="00D34848"/>
    <w:rsid w:val="00E2160F"/>
    <w:rsid w:val="00EC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0124"/>
  <w15:docId w15:val="{CC938590-B649-4899-9BDB-9DDC921C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60F"/>
  </w:style>
  <w:style w:type="paragraph" w:styleId="Footer">
    <w:name w:val="footer"/>
    <w:basedOn w:val="Normal"/>
    <w:link w:val="FooterChar"/>
    <w:uiPriority w:val="99"/>
    <w:unhideWhenUsed/>
    <w:rsid w:val="00E2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2513</Words>
  <Characters>14330</Characters>
  <Application>Microsoft Office Word</Application>
  <DocSecurity>0</DocSecurity>
  <Lines>119</Lines>
  <Paragraphs>33</Paragraphs>
  <ScaleCrop>false</ScaleCrop>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5</cp:revision>
  <dcterms:created xsi:type="dcterms:W3CDTF">2026-05-08T05:06:00Z</dcterms:created>
  <dcterms:modified xsi:type="dcterms:W3CDTF">2026-06-22T10:14:00Z</dcterms:modified>
</cp:coreProperties>
</file>