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A677F6" w:rsidRPr="002E2492" w:rsidTr="003F2170">
        <w:trPr>
          <w:trHeight w:val="709"/>
        </w:trPr>
        <w:tc>
          <w:tcPr>
            <w:tcW w:w="1890" w:type="pct"/>
            <w:tcBorders>
              <w:top w:val="nil"/>
              <w:left w:val="nil"/>
              <w:right w:val="nil"/>
              <w:tl2br w:val="nil"/>
              <w:tr2bl w:val="nil"/>
            </w:tcBorders>
            <w:shd w:val="clear" w:color="auto" w:fill="auto"/>
            <w:tcMar>
              <w:top w:w="0" w:type="dxa"/>
              <w:left w:w="108" w:type="dxa"/>
              <w:bottom w:w="0" w:type="dxa"/>
              <w:right w:w="108" w:type="dxa"/>
            </w:tcMar>
          </w:tcPr>
          <w:p w:rsidR="00A677F6" w:rsidRPr="002E2492" w:rsidRDefault="00A677F6" w:rsidP="002E2492">
            <w:pPr>
              <w:jc w:val="center"/>
              <w:rPr>
                <w:rFonts w:ascii="Arial" w:hAnsi="Arial" w:cs="Arial"/>
                <w:sz w:val="20"/>
                <w:szCs w:val="20"/>
              </w:rPr>
            </w:pPr>
            <w:r w:rsidRPr="002E2492">
              <w:rPr>
                <w:rFonts w:ascii="Arial" w:hAnsi="Arial" w:cs="Arial"/>
                <w:b/>
                <w:bCs/>
                <w:sz w:val="20"/>
                <w:szCs w:val="20"/>
              </w:rPr>
              <w:t xml:space="preserve">QUỐC HỘI </w:t>
            </w:r>
            <w:r w:rsidRPr="002E2492">
              <w:rPr>
                <w:rFonts w:ascii="Arial" w:hAnsi="Arial" w:cs="Arial"/>
                <w:b/>
                <w:bCs/>
                <w:sz w:val="20"/>
                <w:szCs w:val="20"/>
              </w:rPr>
              <w:br/>
            </w:r>
            <w:r w:rsidRPr="002E2492">
              <w:rPr>
                <w:rFonts w:ascii="Arial" w:hAnsi="Arial" w:cs="Arial"/>
                <w:bCs/>
                <w:sz w:val="20"/>
                <w:szCs w:val="20"/>
                <w:vertAlign w:val="superscript"/>
              </w:rPr>
              <w:t>________</w:t>
            </w:r>
          </w:p>
          <w:p w:rsidR="00A677F6" w:rsidRPr="002E2492" w:rsidRDefault="00A677F6" w:rsidP="002E2492">
            <w:pPr>
              <w:jc w:val="center"/>
              <w:rPr>
                <w:rFonts w:ascii="Arial" w:hAnsi="Arial" w:cs="Arial"/>
                <w:sz w:val="20"/>
                <w:szCs w:val="20"/>
              </w:rPr>
            </w:pPr>
            <w:r w:rsidRPr="002E2492">
              <w:rPr>
                <w:rFonts w:ascii="Arial" w:hAnsi="Arial" w:cs="Arial"/>
                <w:sz w:val="20"/>
                <w:szCs w:val="20"/>
              </w:rPr>
              <w:t>Nghị quyết số: 172/2024/QH15</w:t>
            </w:r>
          </w:p>
        </w:tc>
        <w:tc>
          <w:tcPr>
            <w:tcW w:w="3110" w:type="pct"/>
            <w:tcBorders>
              <w:top w:val="nil"/>
              <w:left w:val="nil"/>
              <w:right w:val="nil"/>
              <w:tl2br w:val="nil"/>
              <w:tr2bl w:val="nil"/>
            </w:tcBorders>
            <w:shd w:val="clear" w:color="auto" w:fill="auto"/>
            <w:tcMar>
              <w:top w:w="0" w:type="dxa"/>
              <w:left w:w="108" w:type="dxa"/>
              <w:bottom w:w="0" w:type="dxa"/>
              <w:right w:w="108" w:type="dxa"/>
            </w:tcMar>
          </w:tcPr>
          <w:p w:rsidR="00A677F6" w:rsidRPr="002E2492" w:rsidRDefault="00A677F6" w:rsidP="005D4613">
            <w:pPr>
              <w:jc w:val="center"/>
              <w:rPr>
                <w:rFonts w:ascii="Arial" w:hAnsi="Arial" w:cs="Arial"/>
                <w:sz w:val="20"/>
                <w:szCs w:val="20"/>
              </w:rPr>
            </w:pPr>
            <w:r w:rsidRPr="002E2492">
              <w:rPr>
                <w:rFonts w:ascii="Arial" w:hAnsi="Arial" w:cs="Arial"/>
                <w:b/>
                <w:bCs/>
                <w:sz w:val="20"/>
                <w:szCs w:val="20"/>
              </w:rPr>
              <w:t>CỘNG HÒA XÃ HỘI CHỦ NGHĨA VIỆT NAM</w:t>
            </w:r>
            <w:r w:rsidRPr="002E2492">
              <w:rPr>
                <w:rFonts w:ascii="Arial" w:hAnsi="Arial" w:cs="Arial"/>
                <w:b/>
                <w:bCs/>
                <w:sz w:val="20"/>
                <w:szCs w:val="20"/>
              </w:rPr>
              <w:br/>
              <w:t xml:space="preserve">Độc lập - Tự do - Hạnh phúc </w:t>
            </w:r>
            <w:r w:rsidRPr="002E2492">
              <w:rPr>
                <w:rFonts w:ascii="Arial" w:hAnsi="Arial" w:cs="Arial"/>
                <w:b/>
                <w:bCs/>
                <w:sz w:val="20"/>
                <w:szCs w:val="20"/>
              </w:rPr>
              <w:br/>
            </w:r>
            <w:r w:rsidRPr="002E2492">
              <w:rPr>
                <w:rFonts w:ascii="Arial" w:hAnsi="Arial" w:cs="Arial"/>
                <w:bCs/>
                <w:sz w:val="20"/>
                <w:szCs w:val="20"/>
                <w:vertAlign w:val="superscript"/>
              </w:rPr>
              <w:t>________________________</w:t>
            </w:r>
          </w:p>
        </w:tc>
      </w:tr>
    </w:tbl>
    <w:p w:rsidR="00000000" w:rsidRDefault="0055134D" w:rsidP="00CC43D7">
      <w:pPr>
        <w:jc w:val="center"/>
        <w:rPr>
          <w:rFonts w:ascii="Arial" w:hAnsi="Arial" w:cs="Arial"/>
          <w:sz w:val="20"/>
          <w:szCs w:val="20"/>
        </w:rPr>
      </w:pPr>
    </w:p>
    <w:p w:rsidR="00CC43D7" w:rsidRPr="002E2492" w:rsidRDefault="00CC43D7" w:rsidP="00CC43D7">
      <w:pPr>
        <w:jc w:val="center"/>
        <w:rPr>
          <w:rFonts w:ascii="Arial" w:hAnsi="Arial" w:cs="Arial"/>
          <w:sz w:val="20"/>
          <w:szCs w:val="20"/>
        </w:rPr>
      </w:pPr>
    </w:p>
    <w:p w:rsidR="00000000" w:rsidRPr="002E2492" w:rsidRDefault="0055134D" w:rsidP="00CC43D7">
      <w:pPr>
        <w:jc w:val="center"/>
        <w:rPr>
          <w:rFonts w:ascii="Arial" w:hAnsi="Arial" w:cs="Arial"/>
          <w:sz w:val="20"/>
          <w:szCs w:val="20"/>
        </w:rPr>
      </w:pPr>
      <w:bookmarkStart w:id="0" w:name="loai_1"/>
      <w:bookmarkStart w:id="1" w:name="_GoBack"/>
      <w:bookmarkEnd w:id="1"/>
      <w:r w:rsidRPr="002E2492">
        <w:rPr>
          <w:rFonts w:ascii="Arial" w:hAnsi="Arial" w:cs="Arial"/>
          <w:b/>
          <w:bCs/>
          <w:sz w:val="20"/>
          <w:szCs w:val="20"/>
        </w:rPr>
        <w:t>NGHỊ QUYẾT</w:t>
      </w:r>
      <w:bookmarkEnd w:id="0"/>
    </w:p>
    <w:p w:rsidR="00000000" w:rsidRPr="00CC43D7" w:rsidRDefault="00CC43D7" w:rsidP="00CC43D7">
      <w:pPr>
        <w:jc w:val="center"/>
        <w:rPr>
          <w:rFonts w:ascii="Arial" w:hAnsi="Arial" w:cs="Arial"/>
          <w:b/>
          <w:sz w:val="20"/>
          <w:szCs w:val="20"/>
        </w:rPr>
      </w:pPr>
      <w:bookmarkStart w:id="2" w:name="loai_1_name"/>
      <w:r w:rsidRPr="00CC43D7">
        <w:rPr>
          <w:rFonts w:ascii="Arial" w:hAnsi="Arial" w:cs="Arial"/>
          <w:b/>
          <w:sz w:val="20"/>
          <w:szCs w:val="20"/>
        </w:rPr>
        <w:t xml:space="preserve">Về chủ trương đầu tư </w:t>
      </w:r>
      <w:r w:rsidR="00B730EC" w:rsidRPr="00CC43D7">
        <w:rPr>
          <w:rFonts w:ascii="Arial" w:hAnsi="Arial" w:cs="Arial"/>
          <w:b/>
          <w:sz w:val="20"/>
          <w:szCs w:val="20"/>
        </w:rPr>
        <w:t xml:space="preserve">Dự </w:t>
      </w:r>
      <w:r w:rsidRPr="00CC43D7">
        <w:rPr>
          <w:rFonts w:ascii="Arial" w:hAnsi="Arial" w:cs="Arial"/>
          <w:b/>
          <w:sz w:val="20"/>
          <w:szCs w:val="20"/>
        </w:rPr>
        <w:t xml:space="preserve">án đường sắt tốc độ cao trên trục </w:t>
      </w:r>
      <w:r w:rsidR="00B730EC" w:rsidRPr="00CC43D7">
        <w:rPr>
          <w:rFonts w:ascii="Arial" w:hAnsi="Arial" w:cs="Arial"/>
          <w:b/>
          <w:sz w:val="20"/>
          <w:szCs w:val="20"/>
        </w:rPr>
        <w:t>Bắc – Nam</w:t>
      </w:r>
      <w:bookmarkEnd w:id="2"/>
    </w:p>
    <w:p w:rsidR="00571945" w:rsidRDefault="00571945" w:rsidP="00CC43D7">
      <w:pPr>
        <w:jc w:val="center"/>
        <w:rPr>
          <w:rFonts w:ascii="Arial" w:hAnsi="Arial" w:cs="Arial"/>
          <w:sz w:val="20"/>
          <w:szCs w:val="20"/>
          <w:vertAlign w:val="superscript"/>
        </w:rPr>
      </w:pPr>
    </w:p>
    <w:p w:rsidR="00000000" w:rsidRDefault="0055134D" w:rsidP="00CC43D7">
      <w:pPr>
        <w:jc w:val="center"/>
        <w:rPr>
          <w:rFonts w:ascii="Arial" w:hAnsi="Arial" w:cs="Arial"/>
          <w:b/>
          <w:bCs/>
          <w:sz w:val="20"/>
          <w:szCs w:val="20"/>
        </w:rPr>
      </w:pPr>
      <w:r w:rsidRPr="002E2492">
        <w:rPr>
          <w:rFonts w:ascii="Arial" w:hAnsi="Arial" w:cs="Arial"/>
          <w:b/>
          <w:bCs/>
          <w:sz w:val="20"/>
          <w:szCs w:val="20"/>
        </w:rPr>
        <w:t>QUỐC HỘI</w:t>
      </w:r>
    </w:p>
    <w:p w:rsidR="00CC43D7" w:rsidRPr="002E2492" w:rsidRDefault="00CC43D7" w:rsidP="00CC43D7">
      <w:pPr>
        <w:jc w:val="center"/>
        <w:rPr>
          <w:rFonts w:ascii="Arial" w:hAnsi="Arial" w:cs="Arial"/>
          <w:sz w:val="20"/>
          <w:szCs w:val="20"/>
        </w:rPr>
      </w:pP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i/>
          <w:iCs/>
          <w:sz w:val="20"/>
          <w:szCs w:val="20"/>
        </w:rPr>
        <w:t>Că</w:t>
      </w:r>
      <w:r w:rsidRPr="002E2492">
        <w:rPr>
          <w:rFonts w:ascii="Arial" w:hAnsi="Arial" w:cs="Arial"/>
          <w:i/>
          <w:iCs/>
          <w:sz w:val="20"/>
          <w:szCs w:val="20"/>
        </w:rPr>
        <w:t>n cứ Hiến pháp nước Cộng hòa xã hội chủ nghĩa Việt Nam;</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i/>
          <w:iCs/>
          <w:sz w:val="20"/>
          <w:szCs w:val="20"/>
        </w:rPr>
        <w:t>Căn cứ Luật Đường sắt số 06/2017/QH14 đã được sửa đổi, bổ sung một số điều theo Luật số 35/2018/QH14 và Luật số 16/2023/QH15;</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i/>
          <w:iCs/>
          <w:sz w:val="20"/>
          <w:szCs w:val="20"/>
        </w:rPr>
        <w:t>Căn cứ Luật Đầu tư công số 39/2019/QH14 đã được sửa đổi, bổ sung một số đi</w:t>
      </w:r>
      <w:r w:rsidRPr="002E2492">
        <w:rPr>
          <w:rFonts w:ascii="Arial" w:hAnsi="Arial" w:cs="Arial"/>
          <w:i/>
          <w:iCs/>
          <w:sz w:val="20"/>
          <w:szCs w:val="20"/>
        </w:rPr>
        <w:t>ều theo Luật số 64/2020/QH14, Luật số 72/2020/QH14 và Luật số 03/2022/QH15;</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i/>
          <w:iCs/>
          <w:sz w:val="20"/>
          <w:szCs w:val="20"/>
        </w:rPr>
        <w:t>Căn cứ Nghị quyết số 29/2021/QH15 ngày 28 tháng 7 năm 2021 của Quốc hội về Kế hoạch đầu tư công trung hạn giai đoạn 2021 - 2025;</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i/>
          <w:iCs/>
          <w:sz w:val="20"/>
          <w:szCs w:val="20"/>
        </w:rPr>
        <w:t>Sau khi xem xét Tờ trình số 767/TTr-CP ngày 10 thán</w:t>
      </w:r>
      <w:r w:rsidRPr="002E2492">
        <w:rPr>
          <w:rFonts w:ascii="Arial" w:hAnsi="Arial" w:cs="Arial"/>
          <w:i/>
          <w:iCs/>
          <w:sz w:val="20"/>
          <w:szCs w:val="20"/>
        </w:rPr>
        <w:t>g 11 năm 2024 của Chính phủ, Báo cáo thẩm tra số 3339/BC-UBKT15 ngày 12 tháng 11 năm 2024 của Ủy ban Kinh tế của Quốc hội, Báo cáo số 1112/BC-UBTVQH15 ngày 30 tháng 11 năm 2024 của Ủy ban Thường vụ Quốc hội tiếp thu, chỉnh lý và giải trình về chủ trương đầ</w:t>
      </w:r>
      <w:r w:rsidRPr="002E2492">
        <w:rPr>
          <w:rFonts w:ascii="Arial" w:hAnsi="Arial" w:cs="Arial"/>
          <w:i/>
          <w:iCs/>
          <w:sz w:val="20"/>
          <w:szCs w:val="20"/>
        </w:rPr>
        <w:t>u tư Dự án đường sắt tốc độ cao trên trục Bắc - Nam, các tài liệu liên quan và ý kiến của các đại biểu Quốc hội;</w:t>
      </w:r>
    </w:p>
    <w:p w:rsidR="00856A44" w:rsidRDefault="00856A44" w:rsidP="00856A44">
      <w:pPr>
        <w:jc w:val="center"/>
        <w:rPr>
          <w:rFonts w:ascii="Arial" w:hAnsi="Arial" w:cs="Arial"/>
          <w:b/>
          <w:bCs/>
          <w:sz w:val="20"/>
          <w:szCs w:val="20"/>
        </w:rPr>
      </w:pPr>
    </w:p>
    <w:p w:rsidR="00000000" w:rsidRDefault="0055134D" w:rsidP="00856A44">
      <w:pPr>
        <w:jc w:val="center"/>
        <w:rPr>
          <w:rFonts w:ascii="Arial" w:hAnsi="Arial" w:cs="Arial"/>
          <w:b/>
          <w:bCs/>
          <w:sz w:val="20"/>
          <w:szCs w:val="20"/>
        </w:rPr>
      </w:pPr>
      <w:r w:rsidRPr="002E2492">
        <w:rPr>
          <w:rFonts w:ascii="Arial" w:hAnsi="Arial" w:cs="Arial"/>
          <w:b/>
          <w:bCs/>
          <w:sz w:val="20"/>
          <w:szCs w:val="20"/>
        </w:rPr>
        <w:t>QUYẾT NGHỊ:</w:t>
      </w:r>
    </w:p>
    <w:p w:rsidR="00856A44" w:rsidRPr="002E2492" w:rsidRDefault="00856A44" w:rsidP="00856A44">
      <w:pPr>
        <w:jc w:val="center"/>
        <w:rPr>
          <w:rFonts w:ascii="Arial" w:hAnsi="Arial" w:cs="Arial"/>
          <w:sz w:val="20"/>
          <w:szCs w:val="20"/>
        </w:rPr>
      </w:pPr>
    </w:p>
    <w:p w:rsidR="00000000" w:rsidRPr="002E2492" w:rsidRDefault="0055134D" w:rsidP="002E2492">
      <w:pPr>
        <w:spacing w:after="120"/>
        <w:ind w:firstLine="720"/>
        <w:jc w:val="both"/>
        <w:rPr>
          <w:rFonts w:ascii="Arial" w:hAnsi="Arial" w:cs="Arial"/>
          <w:sz w:val="20"/>
          <w:szCs w:val="20"/>
        </w:rPr>
      </w:pPr>
      <w:bookmarkStart w:id="3" w:name="dieu_1"/>
      <w:r w:rsidRPr="002E2492">
        <w:rPr>
          <w:rFonts w:ascii="Arial" w:hAnsi="Arial" w:cs="Arial"/>
          <w:b/>
          <w:bCs/>
          <w:sz w:val="20"/>
          <w:szCs w:val="20"/>
        </w:rPr>
        <w:t>Điều 1</w:t>
      </w:r>
      <w:bookmarkEnd w:id="3"/>
    </w:p>
    <w:p w:rsidR="00000000" w:rsidRPr="002E2492" w:rsidRDefault="0055134D" w:rsidP="002E2492">
      <w:pPr>
        <w:spacing w:after="120"/>
        <w:ind w:firstLine="720"/>
        <w:jc w:val="both"/>
        <w:rPr>
          <w:rFonts w:ascii="Arial" w:hAnsi="Arial" w:cs="Arial"/>
          <w:sz w:val="20"/>
          <w:szCs w:val="20"/>
        </w:rPr>
      </w:pPr>
      <w:bookmarkStart w:id="4" w:name="dieu_1_name"/>
      <w:r w:rsidRPr="002E2492">
        <w:rPr>
          <w:rFonts w:ascii="Arial" w:hAnsi="Arial" w:cs="Arial"/>
          <w:sz w:val="20"/>
          <w:szCs w:val="20"/>
        </w:rPr>
        <w:t>Quyết định chủ trương đầu tư Dự án đường sắt tốc độ cao trên trục Bắc - Nam (sau đây gọi là Dự án).</w:t>
      </w:r>
      <w:bookmarkEnd w:id="4"/>
    </w:p>
    <w:p w:rsidR="00000000" w:rsidRPr="002E2492" w:rsidRDefault="0055134D" w:rsidP="002E2492">
      <w:pPr>
        <w:spacing w:after="120"/>
        <w:ind w:firstLine="720"/>
        <w:jc w:val="both"/>
        <w:rPr>
          <w:rFonts w:ascii="Arial" w:hAnsi="Arial" w:cs="Arial"/>
          <w:sz w:val="20"/>
          <w:szCs w:val="20"/>
        </w:rPr>
      </w:pPr>
      <w:bookmarkStart w:id="5" w:name="dieu_2"/>
      <w:r w:rsidRPr="002E2492">
        <w:rPr>
          <w:rFonts w:ascii="Arial" w:hAnsi="Arial" w:cs="Arial"/>
          <w:b/>
          <w:bCs/>
          <w:sz w:val="20"/>
          <w:szCs w:val="20"/>
        </w:rPr>
        <w:t>Điều 2</w:t>
      </w:r>
      <w:bookmarkEnd w:id="5"/>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1. </w:t>
      </w:r>
      <w:bookmarkStart w:id="6" w:name="dieu_2_name"/>
      <w:r w:rsidRPr="002E2492">
        <w:rPr>
          <w:rFonts w:ascii="Arial" w:hAnsi="Arial" w:cs="Arial"/>
          <w:sz w:val="20"/>
          <w:szCs w:val="20"/>
        </w:rPr>
        <w:t>Mục tiêu:</w:t>
      </w:r>
      <w:bookmarkEnd w:id="6"/>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Xây </w:t>
      </w:r>
      <w:r w:rsidRPr="002E2492">
        <w:rPr>
          <w:rFonts w:ascii="Arial" w:hAnsi="Arial" w:cs="Arial"/>
          <w:sz w:val="20"/>
          <w:szCs w:val="20"/>
        </w:rPr>
        <w:t xml:space="preserve">dựng tuyến đường sắt tốc độ cao hiện đại, đồng bộ nhằm đáp ứng nhu cầu vận tải, tạo động lực quan trọng cho phát triển kinh tế - xã hội nhanh và bền vững, phát huy lợi thế trên hành lang kinh tế Bắc - Nam, bảo đảm kết nối hiệu quả các hành lang Đông - Tây </w:t>
      </w:r>
      <w:r w:rsidRPr="002E2492">
        <w:rPr>
          <w:rFonts w:ascii="Arial" w:hAnsi="Arial" w:cs="Arial"/>
          <w:sz w:val="20"/>
          <w:szCs w:val="20"/>
        </w:rPr>
        <w:t>và các nước trong khu vực, gắn với bảo đảm quốc phòng, an ninh và hội nhập quốc tế, bảo vệ môi trường, ứng phó với biến đổi khí hậu, thúc đẩy tiến trình công nghiệp hoá, hiện đại hoá đất nước, góp phần hiện thực hóa mục tiêu, nhiệm vụ theo Văn kiện Đại hội</w:t>
      </w:r>
      <w:r w:rsidRPr="002E2492">
        <w:rPr>
          <w:rFonts w:ascii="Arial" w:hAnsi="Arial" w:cs="Arial"/>
          <w:sz w:val="20"/>
          <w:szCs w:val="20"/>
        </w:rPr>
        <w:t xml:space="preserve"> đại biểu toàn quốc lần thứ XIII và các Nghị quyết của Đảng.</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2. Phạm vi, quy mô, hình thức đầu tư:</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Phạm vi: Dự án có tổng chiều dài tuyến khoảng 1.541 km; điểm đầu tại ga Ngọc Hồi (Thủ đô Hà Nội), điểm cuối tại ga Thủ Thiêm (Thành phố Hồ Chí Minh), đi q</w:t>
      </w:r>
      <w:r w:rsidRPr="002E2492">
        <w:rPr>
          <w:rFonts w:ascii="Arial" w:hAnsi="Arial" w:cs="Arial"/>
          <w:sz w:val="20"/>
          <w:szCs w:val="20"/>
        </w:rPr>
        <w:t xml:space="preserve">ua địa phận 20 tỉnh, thành phố trực thuộc Trung ương gồm: Thủ đô Hà Nội, Hà Nam, Nam Định, Ninh Bình, Thanh Hóa, Nghệ </w:t>
      </w:r>
      <w:proofErr w:type="gramStart"/>
      <w:r w:rsidRPr="002E2492">
        <w:rPr>
          <w:rFonts w:ascii="Arial" w:hAnsi="Arial" w:cs="Arial"/>
          <w:sz w:val="20"/>
          <w:szCs w:val="20"/>
        </w:rPr>
        <w:t>An</w:t>
      </w:r>
      <w:proofErr w:type="gramEnd"/>
      <w:r w:rsidRPr="002E2492">
        <w:rPr>
          <w:rFonts w:ascii="Arial" w:hAnsi="Arial" w:cs="Arial"/>
          <w:sz w:val="20"/>
          <w:szCs w:val="20"/>
        </w:rPr>
        <w:t xml:space="preserve">, Hà Tĩnh, Quảng Bình, Quảng Trị, Huế, Đà Nẵng, Quảng Nam, Quảng Ngãi, Bình Định, Phú Yên, Khánh Hòa, Ninh Thuận, Bình Thuận, Đồng Nai, </w:t>
      </w:r>
      <w:r w:rsidRPr="002E2492">
        <w:rPr>
          <w:rFonts w:ascii="Arial" w:hAnsi="Arial" w:cs="Arial"/>
          <w:sz w:val="20"/>
          <w:szCs w:val="20"/>
        </w:rPr>
        <w:t>Thành phố Hồ Chí Minh;</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Quy mô: đầu tư mới toàn tuyến đường đôi khổ 1.435 mm, tốc độ thiết kế 350 km/h, tải trọng 22,5 tấn/trục; 23 ga hành khách, 05 ga hàng hóa; phương tiện, thiết bị; đường sắt tốc độ cao vận chuyển hành khách, đáp ứng yêu cầu lưỡng dụ</w:t>
      </w:r>
      <w:r w:rsidRPr="002E2492">
        <w:rPr>
          <w:rFonts w:ascii="Arial" w:hAnsi="Arial" w:cs="Arial"/>
          <w:sz w:val="20"/>
          <w:szCs w:val="20"/>
        </w:rPr>
        <w:t>ng phục vụ quốc phòng, an ninh, có thể vận tải hàng hóa khi cần thiết;</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c) Hình thức đầu tư: đầu tư công.</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3. Công nghệ: áp dụng công nghệ đường sắt chạy trên ray, điện khí hóa; bảo đảm hiện đại, đồng bộ, an toàn và hiệu quả.</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4. Sơ bộ tổng nhu cầu sử dụng đấ</w:t>
      </w:r>
      <w:r w:rsidRPr="002E2492">
        <w:rPr>
          <w:rFonts w:ascii="Arial" w:hAnsi="Arial" w:cs="Arial"/>
          <w:sz w:val="20"/>
          <w:szCs w:val="20"/>
        </w:rPr>
        <w:t>t và số dân tái định cư:</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a) Sơ bộ tổng nhu cầu sử dụng đất của Dự án khoảng 10,827 ha, gồm: đất trồng lúa khoảng 3.655 ha, đất lâm nghiệp khoảng 2.567 ha và các loại đất khác theo quy định của pháp luật về đất đai </w:t>
      </w:r>
      <w:r w:rsidRPr="002E2492">
        <w:rPr>
          <w:rFonts w:ascii="Arial" w:hAnsi="Arial" w:cs="Arial"/>
          <w:sz w:val="20"/>
          <w:szCs w:val="20"/>
        </w:rPr>
        <w:lastRenderedPageBreak/>
        <w:t>khoảng 4.605 ha. Trong đó: đất trồng lúa n</w:t>
      </w:r>
      <w:r w:rsidRPr="002E2492">
        <w:rPr>
          <w:rFonts w:ascii="Arial" w:hAnsi="Arial" w:cs="Arial"/>
          <w:sz w:val="20"/>
          <w:szCs w:val="20"/>
        </w:rPr>
        <w:t>ước từ hai vụ trở lên khoảng 3.102 ha; rừng đặc dụng khoảng 243 ha, rừng phòng hộ khoảng 653 ha, rừng sản xuất khoảng 1.671 ha;</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Sơ bộ số dân tái định cư khoảng 120.836 người.</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5. Sơ bộ tổng mức đầu tư và nguồn vốn: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Sơ bộ tổng mức đầu tư của Dự án là 1</w:t>
      </w:r>
      <w:r w:rsidRPr="002E2492">
        <w:rPr>
          <w:rFonts w:ascii="Arial" w:hAnsi="Arial" w:cs="Arial"/>
          <w:sz w:val="20"/>
          <w:szCs w:val="20"/>
        </w:rPr>
        <w:t xml:space="preserve">.713.548 tỷ đồng </w:t>
      </w:r>
      <w:r w:rsidRPr="002E2492">
        <w:rPr>
          <w:rFonts w:ascii="Arial" w:hAnsi="Arial" w:cs="Arial"/>
          <w:i/>
          <w:iCs/>
          <w:sz w:val="20"/>
          <w:szCs w:val="20"/>
        </w:rPr>
        <w:t>(một triệu, bảy trăm mười ba nghìn, năm trăm bốn mươi tám tỷ đồng);</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Nguồn vốn ngân sách nhà nước bố trí trong các kỳ kế hoạch đầu tư công trung hạn và nguồn vốn hợp pháp khác.</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6. Tiến độ thực hiện: lập báo cáo nghiên cứu khả thi từ năm </w:t>
      </w:r>
      <w:r w:rsidRPr="002E2492">
        <w:rPr>
          <w:rFonts w:ascii="Arial" w:hAnsi="Arial" w:cs="Arial"/>
          <w:sz w:val="20"/>
          <w:szCs w:val="20"/>
        </w:rPr>
        <w:t>2025, phấn đấu cơ bản hoàn thành Dự án năm 2035.</w:t>
      </w:r>
    </w:p>
    <w:p w:rsidR="00000000" w:rsidRPr="002E2492" w:rsidRDefault="0055134D" w:rsidP="002E2492">
      <w:pPr>
        <w:spacing w:after="120"/>
        <w:ind w:firstLine="720"/>
        <w:jc w:val="both"/>
        <w:rPr>
          <w:rFonts w:ascii="Arial" w:hAnsi="Arial" w:cs="Arial"/>
          <w:sz w:val="20"/>
          <w:szCs w:val="20"/>
        </w:rPr>
      </w:pPr>
      <w:bookmarkStart w:id="7" w:name="dieu_3"/>
      <w:r w:rsidRPr="002E2492">
        <w:rPr>
          <w:rFonts w:ascii="Arial" w:hAnsi="Arial" w:cs="Arial"/>
          <w:b/>
          <w:bCs/>
          <w:sz w:val="20"/>
          <w:szCs w:val="20"/>
        </w:rPr>
        <w:t>Điều 3</w:t>
      </w:r>
      <w:bookmarkEnd w:id="7"/>
    </w:p>
    <w:p w:rsidR="00000000" w:rsidRPr="002E2492" w:rsidRDefault="0055134D" w:rsidP="002E2492">
      <w:pPr>
        <w:spacing w:after="120"/>
        <w:ind w:firstLine="720"/>
        <w:jc w:val="both"/>
        <w:rPr>
          <w:rFonts w:ascii="Arial" w:hAnsi="Arial" w:cs="Arial"/>
          <w:sz w:val="20"/>
          <w:szCs w:val="20"/>
        </w:rPr>
      </w:pPr>
      <w:bookmarkStart w:id="8" w:name="dieu_3_name"/>
      <w:r w:rsidRPr="002E2492">
        <w:rPr>
          <w:rFonts w:ascii="Arial" w:hAnsi="Arial" w:cs="Arial"/>
          <w:sz w:val="20"/>
          <w:szCs w:val="20"/>
        </w:rPr>
        <w:t>Dự án được áp dụng các cơ chế, chính sách đặc thù, đặc biệt sau đây:</w:t>
      </w:r>
      <w:bookmarkEnd w:id="8"/>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1. Trong quá trình thực hiện Dự án, Thủ tướng Chính phủ được quyết định:</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Phát hành trái phiếu Chính phủ để bổ sung dự toán và kế</w:t>
      </w:r>
      <w:r w:rsidRPr="002E2492">
        <w:rPr>
          <w:rFonts w:ascii="Arial" w:hAnsi="Arial" w:cs="Arial"/>
          <w:sz w:val="20"/>
          <w:szCs w:val="20"/>
        </w:rPr>
        <w:t xml:space="preserve"> hoạch đầu tư hằng năm cho Dự án trong trường hợp dự toán ngân sách nhà nước bố trí hằng năm không đáp ứng tiến độ;</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Huy động vốn hỗ trợ phát triển chính thức (ODA), vốn vay ưu đãi nước ngoài để thực hiện Dự án và không phải lập Đề xuất dự án sử dụng vốn</w:t>
      </w:r>
      <w:r w:rsidRPr="002E2492">
        <w:rPr>
          <w:rFonts w:ascii="Arial" w:hAnsi="Arial" w:cs="Arial"/>
          <w:sz w:val="20"/>
          <w:szCs w:val="20"/>
        </w:rPr>
        <w:t xml:space="preserve"> ODA, vốn vay ưu đãi nước ngoài; áp dụng theo quy định của nhà tài trợ nước ngoài trong trường hợp pháp luật Việt Nam chưa có quy định hoặc đã có quy định nhưng khác với quy định của nhà tài trợ nước ngoài;</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c) Sử dụng nguồn tăng thu, tiết kiệm chi ngân sác</w:t>
      </w:r>
      <w:r w:rsidRPr="002E2492">
        <w:rPr>
          <w:rFonts w:ascii="Arial" w:hAnsi="Arial" w:cs="Arial"/>
          <w:sz w:val="20"/>
          <w:szCs w:val="20"/>
        </w:rPr>
        <w:t>h trung ương hằng năm (nếu có) và các nguồn vốn hợp pháp khác cho Dự án trong trường hợp dự toán ngân sách nhà nước bố trí hằng năm không đáp ứng tiến độ. Việc sử dụng nguồn tăng thu, tiết kiệm chi không phải thực hiện theo thứ tự ưu tiên theo quy định của</w:t>
      </w:r>
      <w:r w:rsidRPr="002E2492">
        <w:rPr>
          <w:rFonts w:ascii="Arial" w:hAnsi="Arial" w:cs="Arial"/>
          <w:sz w:val="20"/>
          <w:szCs w:val="20"/>
        </w:rPr>
        <w:t xml:space="preserve"> pháp luật về ngân sách nhà nước.</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2. Dự án được bố trí vốn qua các kỳ kế hoạch đầu tư công trung hạn, mức vốn bố trí mỗi kỳ kế hoạch đầu tư công trung hạn phù hợp với tiến độ thực hiện Dự án và không giới hạn phần vốn chuyển tiếp của Dự án sang kỳ kế hoạch</w:t>
      </w:r>
      <w:r w:rsidRPr="002E2492">
        <w:rPr>
          <w:rFonts w:ascii="Arial" w:hAnsi="Arial" w:cs="Arial"/>
          <w:sz w:val="20"/>
          <w:szCs w:val="20"/>
        </w:rPr>
        <w:t xml:space="preserve"> đầu tư công trung hạn tiếp theo. Thủ tướng Chính phủ quyết định điều chỉnh kế hoạch đầu tư công trung hạn và hằng năm vốn ngân sách trung ương giữa các Bộ, cơ quan trung ương và địa phương để bố trí vốn cho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3. Dự án không phải thực hiện việc thẩm đ</w:t>
      </w:r>
      <w:r w:rsidRPr="002E2492">
        <w:rPr>
          <w:rFonts w:ascii="Arial" w:hAnsi="Arial" w:cs="Arial"/>
          <w:sz w:val="20"/>
          <w:szCs w:val="20"/>
        </w:rPr>
        <w:t>ịnh khả năng cân đối vốn theo quy định của Luật Đầu tư công.</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4. Về phát triển, khai thác quỹ đất và giá trị tăng thêm từ đất vùng phụ cận ga đường sắt tốc độ cao;</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Ủy ban nhân dân cấp tỉnh tổ chức lập, điều chỉnh quy hoạch phân khu, quy hoạch chi tiết vù</w:t>
      </w:r>
      <w:r w:rsidRPr="002E2492">
        <w:rPr>
          <w:rFonts w:ascii="Arial" w:hAnsi="Arial" w:cs="Arial"/>
          <w:sz w:val="20"/>
          <w:szCs w:val="20"/>
        </w:rPr>
        <w:t xml:space="preserve">ng phụ cận ga đường sắt để xác định vị trí, ranh giới, diện tích đất thu hồi. Trong vùng phụ cận, Ủy ban nhân dân cấp tỉnh được quyết định các chỉ tiêu quy hoạch, kiến trúc, hạ tầng kỹ thuật, hạ tầng xã hội, các yêu cầu về không gian khác với quy định tại </w:t>
      </w:r>
      <w:r w:rsidRPr="002E2492">
        <w:rPr>
          <w:rFonts w:ascii="Arial" w:hAnsi="Arial" w:cs="Arial"/>
          <w:sz w:val="20"/>
          <w:szCs w:val="20"/>
        </w:rPr>
        <w:t>quy chuẩn kỹ thuật quốc gia nhưng phải bảo đảm đáp ứng về hệ thống hạ tầng kỹ thuật, hạ tầng xã hội; điều chỉnh chức năng sử dụng các khu đất trong vùng phụ cận ga đường sắt để khai thác quỹ đất và giá trị tăng thêm từ đất;</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Đối với khu vực đã có quy hoạ</w:t>
      </w:r>
      <w:r w:rsidRPr="002E2492">
        <w:rPr>
          <w:rFonts w:ascii="Arial" w:hAnsi="Arial" w:cs="Arial"/>
          <w:sz w:val="20"/>
          <w:szCs w:val="20"/>
        </w:rPr>
        <w:t>ch đô thị, quy hoạch sử dụng đất được phê duyệt nhưng khi lập, điều chỉnh quy hoạch vùng phụ cận ga đường sắt có đề xuất mới, khác với nội dung quy hoạch đã được phê duyệt thì quyết định phê duyệt quy hoạch vùng phụ cận có giá trị thay thế và không phải là</w:t>
      </w:r>
      <w:r w:rsidRPr="002E2492">
        <w:rPr>
          <w:rFonts w:ascii="Arial" w:hAnsi="Arial" w:cs="Arial"/>
          <w:sz w:val="20"/>
          <w:szCs w:val="20"/>
        </w:rPr>
        <w:t>m thủ tục điều chỉnh quy hoạch đã được phê duyệt trước đó;</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c) Hội đồng nhân dân cấp tỉnh quyết định sử dụng ngân sách địa phương để triển khai dự án đầu tư công độc lập thực hiện công tác bồi thường, hỗ trợ, tái định cư theo quy hoạch vùng phụ cận ga đường</w:t>
      </w:r>
      <w:r w:rsidRPr="002E2492">
        <w:rPr>
          <w:rFonts w:ascii="Arial" w:hAnsi="Arial" w:cs="Arial"/>
          <w:sz w:val="20"/>
          <w:szCs w:val="20"/>
        </w:rPr>
        <w:t xml:space="preserve"> sắt để tạo quỹ đất đấu giá nhằm phát triển đô thị theo quy định của pháp luật;</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d) Đối với số tiền thu được từ khai thác quỹ đất vùng phụ cận ga đường sắt sau khi trừ đi các chi phí có liên quan theo quy định của pháp luật, chính quyền địa phương cấp tỉnh </w:t>
      </w:r>
      <w:r w:rsidRPr="002E2492">
        <w:rPr>
          <w:rFonts w:ascii="Arial" w:hAnsi="Arial" w:cs="Arial"/>
          <w:sz w:val="20"/>
          <w:szCs w:val="20"/>
        </w:rPr>
        <w:t>được giữ lại 50% và nộp 50% vào ngân sách trung ương để cân đối ngân sách nhà nước đầu tư cho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5. Về khai thác khoáng sản làm vật liệu xây dựng thông thường phục vụ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lastRenderedPageBreak/>
        <w:t>a) Đối với các mỏ khoáng sản làm vật liệu xây dựng thông thường cung cấp cho D</w:t>
      </w:r>
      <w:r w:rsidRPr="002E2492">
        <w:rPr>
          <w:rFonts w:ascii="Arial" w:hAnsi="Arial" w:cs="Arial"/>
          <w:sz w:val="20"/>
          <w:szCs w:val="20"/>
        </w:rPr>
        <w:t>ự án đã được cấp phép, đang hoạt động, còn thời hạn khai thác hoặc đã hết thời hạn khai thác, còn trữ lượng nhưng chưa thực hiện thủ tục đóng cửa mỏ, Ủy ban nhân dân cấp tỉnh quyết định:</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Điều chỉnh trữ lượng khai thác, kéo dài thời hạn khai thác mỏ, nâng</w:t>
      </w:r>
      <w:r w:rsidRPr="002E2492">
        <w:rPr>
          <w:rFonts w:ascii="Arial" w:hAnsi="Arial" w:cs="Arial"/>
          <w:sz w:val="20"/>
          <w:szCs w:val="20"/>
        </w:rPr>
        <w:t xml:space="preserve"> công suất theo nhu cầu của Dự án mà không phải thực hiện thủ tục điều chỉnh quy hoạch tỉnh, không phải lập dự án đầu tư khai thác khoáng sản điều chỉnh để thực hiện trình tự, thủ tục quyết định hoặc chấp thuận chủ trương đầu tư, không phải thực hiện thủ t</w:t>
      </w:r>
      <w:r w:rsidRPr="002E2492">
        <w:rPr>
          <w:rFonts w:ascii="Arial" w:hAnsi="Arial" w:cs="Arial"/>
          <w:sz w:val="20"/>
          <w:szCs w:val="20"/>
        </w:rPr>
        <w:t>ục thẩm định và phê duyệt kết quả thẩm định báo cáo đánh giá tác động môi trường, cấp giấy phép môi trường;</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Dừng việc nâng công suất khai thác sau khi đã cung cấp đủ cho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b) Đối với các mỏ khoáng sản nằm trong Hồ sơ khảo sát vật liệu xây dựng phục </w:t>
      </w:r>
      <w:r w:rsidRPr="002E2492">
        <w:rPr>
          <w:rFonts w:ascii="Arial" w:hAnsi="Arial" w:cs="Arial"/>
          <w:sz w:val="20"/>
          <w:szCs w:val="20"/>
        </w:rPr>
        <w:t>vụ Dự án nhưng chưa cấp Giấy phép khai thác:</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Ủy ban nhân dân cấp tỉnh quyết định điều chỉnh, bổ sung các mỏ khoáng sản này vào phương án quản lý về địa chất, khoáng sản trong quy hoạch tỉnh mà không phải thực hiện thủ tục điều chỉnh quy hoạch tỉnh; sử dụ</w:t>
      </w:r>
      <w:r w:rsidRPr="002E2492">
        <w:rPr>
          <w:rFonts w:ascii="Arial" w:hAnsi="Arial" w:cs="Arial"/>
          <w:sz w:val="20"/>
          <w:szCs w:val="20"/>
        </w:rPr>
        <w:t xml:space="preserve">ng nguồn dự phòng của Dự án để tổ chức thu hồi đất, bồi thường, hỗ trợ, tái định cư khu vực mỏ sau khi đã được khảo sát, đánh giá về trữ lượng, chất lượng theo yêu cầu của Dự án và các nội dung khác theo quy định của pháp luật về địa chất và khoáng sản để </w:t>
      </w:r>
      <w:r w:rsidRPr="002E2492">
        <w:rPr>
          <w:rFonts w:ascii="Arial" w:hAnsi="Arial" w:cs="Arial"/>
          <w:sz w:val="20"/>
          <w:szCs w:val="20"/>
        </w:rPr>
        <w:t>cấp mỏ cho tổ chức, cá nhân khai thác khoáng sản phục vụ Dự án; quản lý, giám sát quá trình thực hiện và quản lý sau khi hoàn thành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Tổ chức, cá nhân khai thác khoáng sản phục vụ Dự án không phải thực hiện thủ tục cấp Giấy phép khai thác đối với cá</w:t>
      </w:r>
      <w:r w:rsidRPr="002E2492">
        <w:rPr>
          <w:rFonts w:ascii="Arial" w:hAnsi="Arial" w:cs="Arial"/>
          <w:sz w:val="20"/>
          <w:szCs w:val="20"/>
        </w:rPr>
        <w:t>c mỏ khoáng sản làm vật liệu xây dựng thông thường nằm trong Hồ sơ khảo sát vật liệu xây dựng phục vụ Dự án; không phải lập dự án đầu tư khai thác khoáng sản và báo cáo đánh giá tác động môi trường mà thực hiện cam kết bảo vệ môi trường gồm các nội dung sa</w:t>
      </w:r>
      <w:r w:rsidRPr="002E2492">
        <w:rPr>
          <w:rFonts w:ascii="Arial" w:hAnsi="Arial" w:cs="Arial"/>
          <w:sz w:val="20"/>
          <w:szCs w:val="20"/>
        </w:rPr>
        <w:t xml:space="preserve">u: liệt kê các hạng mục công trình và hoạt động có khả năng tác động xấu đến môi trường; nhận dạng đối tượng bị tác động, yếu tố nhạy cảm về môi trường nơi khai thác; nhận dạng, đánh giá, dự báo tác động môi trường chính, chất thải phát sinh; quy mô, tính </w:t>
      </w:r>
      <w:r w:rsidRPr="002E2492">
        <w:rPr>
          <w:rFonts w:ascii="Arial" w:hAnsi="Arial" w:cs="Arial"/>
          <w:sz w:val="20"/>
          <w:szCs w:val="20"/>
        </w:rPr>
        <w:t>chất của chất thải; tác động đến đa dạng sinh học, di sản thiên nhiên, di tích lịch sử - văn hóa và yếu tố nhạy cảm khác; công trình, biện pháp giảm thiểu tác động môi trường tương ứng kèm theo quy chuẩn kỹ thuật áp dụng cho từng nguồn thải; nhận dạng, đán</w:t>
      </w:r>
      <w:r w:rsidRPr="002E2492">
        <w:rPr>
          <w:rFonts w:ascii="Arial" w:hAnsi="Arial" w:cs="Arial"/>
          <w:sz w:val="20"/>
          <w:szCs w:val="20"/>
        </w:rPr>
        <w:t>h giá sự cố môi trường có thể xảy ra và phương án phòng ngừa, ứng phó sự cố; giải pháp, danh mục, khối lượng, kế hoạch thực hiện, dự toán kinh phí để tiến hành cải tạo, phục hồi môi trường;</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Tổ chức, cá nhân khai thác khoáng sản phục vụ Dự án chịu trách n</w:t>
      </w:r>
      <w:r w:rsidRPr="002E2492">
        <w:rPr>
          <w:rFonts w:ascii="Arial" w:hAnsi="Arial" w:cs="Arial"/>
          <w:sz w:val="20"/>
          <w:szCs w:val="20"/>
        </w:rPr>
        <w:t>hiệm nộp thuế, phí và nghĩa vụ tài chính khác theo quy định của pháp luật;</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Việc khai thác, sử dụng khoáng sản được thực hiện đến khi hoàn thành Dự án và phải chịu sự quản lý, giám sát theo quy định của pháp luật;</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c) Trường hợp đã khai thác hết trữ lượng </w:t>
      </w:r>
      <w:r w:rsidRPr="002E2492">
        <w:rPr>
          <w:rFonts w:ascii="Arial" w:hAnsi="Arial" w:cs="Arial"/>
          <w:sz w:val="20"/>
          <w:szCs w:val="20"/>
        </w:rPr>
        <w:t>khoáng sản tại các mỏ khoáng sản nằm trong Hồ sơ khảo sát vật liệu xây dựng phục vụ Dự án nhưng vẫn chưa đáp ứng đủ nhu cầu cung cấp vật liệu xây dựng cho Dự án, chủ đầu tư chủ trì tổ chức khảo sát, đề xuất Ủy ban nhân dân cấp tỉnh quyết định bổ sung mới c</w:t>
      </w:r>
      <w:r w:rsidRPr="002E2492">
        <w:rPr>
          <w:rFonts w:ascii="Arial" w:hAnsi="Arial" w:cs="Arial"/>
          <w:sz w:val="20"/>
          <w:szCs w:val="20"/>
        </w:rPr>
        <w:t>ác mỏ khoáng sản vào Hồ sơ khảo sát vật liệu xây dựng phục vụ Dự án; việc quản lý, khai thác, sử dụng khoáng sản tại các mỏ khoáng sản bổ sung mới thực hiện như quy định tại điểm b khoản này;</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d) Ủy ban nhân dân cấp tỉnh căn cứ điều kiện thực tế để xem xét,</w:t>
      </w:r>
      <w:r w:rsidRPr="002E2492">
        <w:rPr>
          <w:rFonts w:ascii="Arial" w:hAnsi="Arial" w:cs="Arial"/>
          <w:sz w:val="20"/>
          <w:szCs w:val="20"/>
        </w:rPr>
        <w:t xml:space="preserve"> hướng dẫn tổ chức, cá nhân khai thác khoáng sản phục vụ Dự án tự lập đánh giá tác động tới lòng, bờ, bãi sông đối với mỏ cát, sỏi lòng sông nằm ở đoạn sông, suối có nguy cơ sạt lở cao bảo đảm tuân thủ quy định về quản lý cát, sỏi lòng sông và bảo vệ lòng,</w:t>
      </w:r>
      <w:r w:rsidRPr="002E2492">
        <w:rPr>
          <w:rFonts w:ascii="Arial" w:hAnsi="Arial" w:cs="Arial"/>
          <w:sz w:val="20"/>
          <w:szCs w:val="20"/>
        </w:rPr>
        <w:t xml:space="preserve"> bờ, bãi sông; kiểm tra, kiểm soát việc sử dụng khoáng sản theo quy định của pháp luật.</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6. Về bãi đổ chất thải rắn xây dựng và tầng đất mặt của đất chuyên trồng lúa nước:</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Ủy ban nhân dân cấp tỉnh quyết định thu hồi đất, bồi thường, hỗ trợ, tái định cư k</w:t>
      </w:r>
      <w:r w:rsidRPr="002E2492">
        <w:rPr>
          <w:rFonts w:ascii="Arial" w:hAnsi="Arial" w:cs="Arial"/>
          <w:sz w:val="20"/>
          <w:szCs w:val="20"/>
        </w:rPr>
        <w:t>hu vực bãi đổ chất thải rắn xây dựng trong Hồ sơ khảo sát Dự án và bàn giao mặt bằng cho nhà thầu để đổ chất thải rắn xây dựng của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Ủy ban nhân dân cấp tỉnh tổ chức quản lý bãi đổ chất thải rắn xây dựng của Dự án theo quy định của pháp luật về đất</w:t>
      </w:r>
      <w:r w:rsidRPr="002E2492">
        <w:rPr>
          <w:rFonts w:ascii="Arial" w:hAnsi="Arial" w:cs="Arial"/>
          <w:sz w:val="20"/>
          <w:szCs w:val="20"/>
        </w:rPr>
        <w:t xml:space="preserve"> đai, pháp luật về môi trường và quy định khác của pháp luật có liên quan;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c) Ủy ban nhân dân cấp tỉnh tổ chức xây dựng phương án sử dụng tầng đất mặt của đất chuyên trồng lúa nước thu hồi từ Dự án. Việc xây dựng phương án sử dụng tầng đất mặt của đất chuy</w:t>
      </w:r>
      <w:r w:rsidRPr="002E2492">
        <w:rPr>
          <w:rFonts w:ascii="Arial" w:hAnsi="Arial" w:cs="Arial"/>
          <w:sz w:val="20"/>
          <w:szCs w:val="20"/>
        </w:rPr>
        <w:t>ên trồng lúa nước thu hồi từ Dự án thực hiện theo quy định của pháp luật về trồng trọt.</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lastRenderedPageBreak/>
        <w:t>7. Phát triển khoa học, công nghệ và đào tạo phát triển nguồn nhân lực cho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Tổ chức, cá nhân tham gia các hoạt động khoa học, công nghệ phục vụ Dự án được áp d</w:t>
      </w:r>
      <w:r w:rsidRPr="002E2492">
        <w:rPr>
          <w:rFonts w:ascii="Arial" w:hAnsi="Arial" w:cs="Arial"/>
          <w:sz w:val="20"/>
          <w:szCs w:val="20"/>
        </w:rPr>
        <w:t>ụng các chính sách sau đây:</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Tổ chức, cá nhân chủ trì hoạt động khoa học, công nghệ phục vụ Dự án được quyết định việc đấu thầu hạn chế, chỉ định thầu, đặt hàng để lựa chọn nhà thầu cung ứng dịch vụ, hàng hóa;</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Doanh nghiệp được hưởng ưu đãi như doanh ng</w:t>
      </w:r>
      <w:r w:rsidRPr="002E2492">
        <w:rPr>
          <w:rFonts w:ascii="Arial" w:hAnsi="Arial" w:cs="Arial"/>
          <w:sz w:val="20"/>
          <w:szCs w:val="20"/>
        </w:rPr>
        <w:t>hiệp công nghệ cao theo quy định của pháp luật về công nghệ cao trong thời gian thực hiện nhiệm vụ khoa học, công nghệ phục vụ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Miễn thuế thu nhập doanh nghiệp, miễn thuế thu nhập cá nhân từ việc thực hiện nhiệm vụ khoa học, công nghệ phục vụ Dự án</w:t>
      </w:r>
      <w:r w:rsidRPr="002E2492">
        <w:rPr>
          <w:rFonts w:ascii="Arial" w:hAnsi="Arial" w:cs="Arial"/>
          <w:sz w:val="20"/>
          <w:szCs w:val="20"/>
        </w:rPr>
        <w:t>;</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b) Tổ chức, cá nhân tham gia đào tạo phát triển nguồn nhân lực công nghệ cao phục vụ Dự án được hưởng các chính sách ưu đãi theo quy định của pháp luật về công nghệ cao. </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8. Về phát triển công nghiệp và chuyển giao công nghệ:</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Chính phủ quy định tiêu c</w:t>
      </w:r>
      <w:r w:rsidRPr="002E2492">
        <w:rPr>
          <w:rFonts w:ascii="Arial" w:hAnsi="Arial" w:cs="Arial"/>
          <w:sz w:val="20"/>
          <w:szCs w:val="20"/>
        </w:rPr>
        <w:t>hí lựa chọn tổ chức, doanh nghiệp nhà nước được giao nhiệm vụ hoặc doanh nghiệp Việt Nam khác được đặt hàng cung cấp dịch vụ, hàng hóa công nghiệp đường sắt; nghiên cứu, ứng dụng, nhận chuyển giao công nghệ;</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b) Thủ tướng Chính phủ quyết định danh mục dịch </w:t>
      </w:r>
      <w:r w:rsidRPr="002E2492">
        <w:rPr>
          <w:rFonts w:ascii="Arial" w:hAnsi="Arial" w:cs="Arial"/>
          <w:sz w:val="20"/>
          <w:szCs w:val="20"/>
        </w:rPr>
        <w:t>vụ, hàng hóa công nghiệp đường sắt được giao nhiệm vụ cho tổ chức, doanh nghiệp nhà nước hoặc đặt hàng cho tổ chức, doanh nghiệp Việt Nam;</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c) Tổng thầu, nhà thầu phải ưu tiên sử dụng các sản phẩm, hàng hóa, dịch vụ mà trong nước có thể sản xuất, cung cấp;</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d) Đối với gói thầu được tổ chức đấu thầu quốc tế, hồ sơ mời thầu phải có điều kiện cam kết của tổng thầu, nhà thầu nước ngoài về việc chuyển giao công nghệ, đào tạo nguồn nhân lực cho đối tác Việt Nam để làm chủ công tác quản lý, vận hành, khai thác, bảo </w:t>
      </w:r>
      <w:r w:rsidRPr="002E2492">
        <w:rPr>
          <w:rFonts w:ascii="Arial" w:hAnsi="Arial" w:cs="Arial"/>
          <w:sz w:val="20"/>
          <w:szCs w:val="20"/>
        </w:rPr>
        <w:t xml:space="preserve">trì; từng bước làm chủ công nghệ. </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9. Cấp có thẩm quyền quyết định đầu tư được quyết định việc phân chia Dự án thành các dự án thành phần, tiểu dự án khi phê duyệt dự án. Việc phân chia dự án thành phần, tiểu dự án không phải áp dụng theo quy định của pháp</w:t>
      </w:r>
      <w:r w:rsidRPr="002E2492">
        <w:rPr>
          <w:rFonts w:ascii="Arial" w:hAnsi="Arial" w:cs="Arial"/>
          <w:sz w:val="20"/>
          <w:szCs w:val="20"/>
        </w:rPr>
        <w:t xml:space="preserve"> luật về xây dựng.</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10. Về thẩm quyền quyết định điều chỉnh chủ trương đầu tư Dự án, điều chỉnh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a) Trong thời gian Quốc hội không họp, Quốc hội ủy quyền cho Ủy ban Thường vụ Quốc hội xem xét, quyết định điều chỉnh chủ trương đầu tư Dự án, trừ trường </w:t>
      </w:r>
      <w:r w:rsidRPr="002E2492">
        <w:rPr>
          <w:rFonts w:ascii="Arial" w:hAnsi="Arial" w:cs="Arial"/>
          <w:sz w:val="20"/>
          <w:szCs w:val="20"/>
        </w:rPr>
        <w:t>hợp điều chỉnh tăng tổng mức đầu tư của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Bộ trưởng Bộ Giao thông vận tải quyết định điều chỉnh Dự án đối với các trường hợp: khi điều chỉnh quy hoạch ảnh hưởng trực tiếp tới Dự án; do ảnh hưởng của sự cố thiên tai, hỏa hoạn hoặc yếu tố bất khả khá</w:t>
      </w:r>
      <w:r w:rsidRPr="002E2492">
        <w:rPr>
          <w:rFonts w:ascii="Arial" w:hAnsi="Arial" w:cs="Arial"/>
          <w:sz w:val="20"/>
          <w:szCs w:val="20"/>
        </w:rPr>
        <w:t>ng khác khi đã hết thời gian bảo hiểm của Dự án; chỉ số giá trong thời gian thực hiện Dự án lớn hơn chỉ số giá được sử dụng để tính dự phòng trong tổng mức đầu tư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11. Công trình nhà ga đường sắt tốc độ cao không phải thi tuyển phương án kiến trúc.</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1</w:t>
      </w:r>
      <w:r w:rsidRPr="002E2492">
        <w:rPr>
          <w:rFonts w:ascii="Arial" w:hAnsi="Arial" w:cs="Arial"/>
          <w:sz w:val="20"/>
          <w:szCs w:val="20"/>
        </w:rPr>
        <w:t>2. Về công tác bồi thường, hỗ trợ, tái định cư:</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Tập đoàn Điện lực Việt Nam chủ trì tổ chức thực hiện tiểu dự án hoặc các tiểu dự án đối với công tác di dời công trình điện có điện áp từ 110 kV trở lên;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Ủy ban nhân dân cấp tỉnh có Dự án đi qua triển k</w:t>
      </w:r>
      <w:r w:rsidRPr="002E2492">
        <w:rPr>
          <w:rFonts w:ascii="Arial" w:hAnsi="Arial" w:cs="Arial"/>
          <w:sz w:val="20"/>
          <w:szCs w:val="20"/>
        </w:rPr>
        <w:t>hai xây dựng khu tái định cư cho Dự án trên cơ sở hồ sơ thiết kế sơ bộ trong Báo cáo nghiên cứu tiền khả thi được Quốc hội quyết định chủ trương đầu tư;</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c) Người đứng đầu cơ quan có thẩm quyền được quyết định áp dụng chỉ định thầu đối với các gói thầu tư v</w:t>
      </w:r>
      <w:r w:rsidRPr="002E2492">
        <w:rPr>
          <w:rFonts w:ascii="Arial" w:hAnsi="Arial" w:cs="Arial"/>
          <w:sz w:val="20"/>
          <w:szCs w:val="20"/>
        </w:rPr>
        <w:t>ấn, phi tư vấn, xây lắp thực hiện công tác bồi thường, hỗ trợ, tái định cư. Trình tự, thủ tục chỉ định thầu thực hiện theo quy định của pháp luật về đấu thầu;</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d) Trường hợp cần thiết theo đề nghị của các địa phương, chủ đầu tư Dự án tổ chức xây dựng khung </w:t>
      </w:r>
      <w:r w:rsidRPr="002E2492">
        <w:rPr>
          <w:rFonts w:ascii="Arial" w:hAnsi="Arial" w:cs="Arial"/>
          <w:sz w:val="20"/>
          <w:szCs w:val="20"/>
        </w:rPr>
        <w:t>chính sách bồi thường, hỗ trợ, tái định cư trình Thủ tướng Chính phủ quyết định.</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13. Dự án được lập thiết kế kỹ thuật tổng thể (FEED) thay thế cho thiết kế cơ sở trong Báo cáo nghiên cứu khả thi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14. Về chuyển mục đích sử dụng rừng sang mục đích khác</w:t>
      </w:r>
      <w:r w:rsidRPr="002E2492">
        <w:rPr>
          <w:rFonts w:ascii="Arial" w:hAnsi="Arial" w:cs="Arial"/>
          <w:sz w:val="20"/>
          <w:szCs w:val="20"/>
        </w:rPr>
        <w:t xml:space="preserve"> và tạm sử dụng rừng:</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lastRenderedPageBreak/>
        <w:t xml:space="preserve">a) Chủ trương chuyển mục đích sử dụng rừng sang mục đích khác được thực hiện trong bước nghiên cứu khả thi của Dự án. Hồ sơ đề xuất chủ trương chuyển mục đích sử dụng rừng sang mục đích khác là thành phần hồ sơ Báo cáo nghiên cứu khả </w:t>
      </w:r>
      <w:r w:rsidRPr="002E2492">
        <w:rPr>
          <w:rFonts w:ascii="Arial" w:hAnsi="Arial" w:cs="Arial"/>
          <w:sz w:val="20"/>
          <w:szCs w:val="20"/>
        </w:rPr>
        <w:t>thi của Dự án. Quyết định phê duyệt Dự án đồng thời là Quyết định chủ trương chuyển mục đích sử dụng rừng sang mục đích khác;</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Chính phủ quy định việc tạm sử dụng rừng và hoàn trả rừng để thực hiện thi công công trình tạm phục vụ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15. Về lập tổng m</w:t>
      </w:r>
      <w:r w:rsidRPr="002E2492">
        <w:rPr>
          <w:rFonts w:ascii="Arial" w:hAnsi="Arial" w:cs="Arial"/>
          <w:sz w:val="20"/>
          <w:szCs w:val="20"/>
        </w:rPr>
        <w:t>ức đầu tư, dự toán gói thầu:</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Đối với các hạng mục công việc có nhưng chưa phù hợp hoặc chưa có trong hệ thống định mức xây dựng, đơn giá được cấp có thẩm quyền ban hành, Dự án được áp dụng hệ thống định mức xây dựng, giá xây dựng công trình của các dự á</w:t>
      </w:r>
      <w:r w:rsidRPr="002E2492">
        <w:rPr>
          <w:rFonts w:ascii="Arial" w:hAnsi="Arial" w:cs="Arial"/>
          <w:sz w:val="20"/>
          <w:szCs w:val="20"/>
        </w:rPr>
        <w:t>n đường sắt tương tự trên thế giới và được quy đổi về thời điểm tính toán;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Đối với các hạng mục không thể xác định chi phí theo điểm a khoản này được phép xác định chi phí theo suất vốn đầu tư của dự án đường sắt tương tự trên thế giới và được quy đổi v</w:t>
      </w:r>
      <w:r w:rsidRPr="002E2492">
        <w:rPr>
          <w:rFonts w:ascii="Arial" w:hAnsi="Arial" w:cs="Arial"/>
          <w:sz w:val="20"/>
          <w:szCs w:val="20"/>
        </w:rPr>
        <w:t>ề thời điểm tính toán;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c) Đối với các khoản mục chi phí chưa được quy định trong pháp luật Việt Nam hoặc đã có quy định trong pháp luật Việt Nam nhưng chưa phù hợp với các dự án đường sắt có tính chất, điều kiện triển khai tương tự, được áp dụng các khoản </w:t>
      </w:r>
      <w:r w:rsidRPr="002E2492">
        <w:rPr>
          <w:rFonts w:ascii="Arial" w:hAnsi="Arial" w:cs="Arial"/>
          <w:sz w:val="20"/>
          <w:szCs w:val="20"/>
        </w:rPr>
        <w:t>mục chi phí như các dự án đường sắt có tính chất, điều kiện triển khai tương tự trên thế giới.</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16. Sau khi Quốc hội quyết định chủ trương đầu tư, Dự án được bổ sung danh mục trong kế hoạch đầu tư công trung hạn và bố trí vốn kế hoạch đầu tư công hằng năm đ</w:t>
      </w:r>
      <w:r w:rsidRPr="002E2492">
        <w:rPr>
          <w:rFonts w:ascii="Arial" w:hAnsi="Arial" w:cs="Arial"/>
          <w:sz w:val="20"/>
          <w:szCs w:val="20"/>
        </w:rPr>
        <w:t>ể triển khai các hoạt động thực hiện trước, bao gồm:</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Các nhiệm vụ chi của chủ đầu tư, Ban quản lý dự án; đào tạo nguồn nhân lực của cơ quan nhà nước, đơn vị quản lý dự án, đơn vị vận hành khai thác, cơ sở đào tạo, cơ sở nghiên cứu;</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Chi trả các dịch v</w:t>
      </w:r>
      <w:r w:rsidRPr="002E2492">
        <w:rPr>
          <w:rFonts w:ascii="Arial" w:hAnsi="Arial" w:cs="Arial"/>
          <w:sz w:val="20"/>
          <w:szCs w:val="20"/>
        </w:rPr>
        <w:t>ụ tư vấn cho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c) Thực hiện các công việc trong công tác bồi thường, hỗ trợ, tái định cư quy định tại điểm b và điểm c khoản 12 Điều này;</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d) Thực hiện công tác truyền thông và những công việc khác phục vụ chuẩn bị đầu tư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17. Cơ chế, chính sách </w:t>
      </w:r>
      <w:r w:rsidRPr="002E2492">
        <w:rPr>
          <w:rFonts w:ascii="Arial" w:hAnsi="Arial" w:cs="Arial"/>
          <w:sz w:val="20"/>
          <w:szCs w:val="20"/>
        </w:rPr>
        <w:t>bảo đảm phòng, chống tham nhũng, lãng phí, tiêu cực:</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Khi lựa chọn nhà thầu các gói thầu EPC, gói thầu tư vấn sử dụng nhà thầu nước ngoài, thành phần Tổ thẩm định theo quy định của pháp luật về đấu thầu và bổ sung đại diện Bộ Quốc phòng, Bộ Công an, Bộ K</w:t>
      </w:r>
      <w:r w:rsidRPr="002E2492">
        <w:rPr>
          <w:rFonts w:ascii="Arial" w:hAnsi="Arial" w:cs="Arial"/>
          <w:sz w:val="20"/>
          <w:szCs w:val="20"/>
        </w:rPr>
        <w:t>ế hoạch và Đầu tư, Bộ Tài chính, Thanh tra Chính phủ, Kiểm toán nhà nước;</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Chủ đầu tư có trách nhiệm gửi hồ sơ tổng mức đầu tư đã được hoàn thiện theo báo cáo thẩm định của cấp quyết định đầu tư cho Kiểm toán nhà nước để thực hiện kiểm toán làm cơ sở phê</w:t>
      </w:r>
      <w:r w:rsidRPr="002E2492">
        <w:rPr>
          <w:rFonts w:ascii="Arial" w:hAnsi="Arial" w:cs="Arial"/>
          <w:sz w:val="20"/>
          <w:szCs w:val="20"/>
        </w:rPr>
        <w:t xml:space="preserve"> duyệt Dự án. Kiểm toán nhà nước có trách nhiệm gửi kết quả kiểm toán cho cấp quyết định đầu tư trong thời hạn tối đa không quá 30 ngày, kể từ khi nhận được đầy đủ hồ sơ đề nghị kiểm toán. </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18. Trong thời gian Quốc hội không họp, Quốc hội ủy quyền cho Ủy b</w:t>
      </w:r>
      <w:r w:rsidRPr="002E2492">
        <w:rPr>
          <w:rFonts w:ascii="Arial" w:hAnsi="Arial" w:cs="Arial"/>
          <w:sz w:val="20"/>
          <w:szCs w:val="20"/>
        </w:rPr>
        <w:t>an Thường vụ Quốc hội xem xét, quyết định bổ sung, điều chỉnh cơ chế, chính sách đặc thù, đặc biệt cho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19. Chính phủ ban hành Nghị định để quy định chi tiết nội dung, trình tự, thủ tục, thẩm quyền để triển khai các cơ chế, chính sách đặc thù, đặc bi</w:t>
      </w:r>
      <w:r w:rsidRPr="002E2492">
        <w:rPr>
          <w:rFonts w:ascii="Arial" w:hAnsi="Arial" w:cs="Arial"/>
          <w:sz w:val="20"/>
          <w:szCs w:val="20"/>
        </w:rPr>
        <w:t>ệt của Dự án.</w:t>
      </w:r>
    </w:p>
    <w:p w:rsidR="00000000" w:rsidRPr="002E2492" w:rsidRDefault="0055134D" w:rsidP="002E2492">
      <w:pPr>
        <w:spacing w:after="120"/>
        <w:ind w:firstLine="720"/>
        <w:jc w:val="both"/>
        <w:rPr>
          <w:rFonts w:ascii="Arial" w:hAnsi="Arial" w:cs="Arial"/>
          <w:sz w:val="20"/>
          <w:szCs w:val="20"/>
        </w:rPr>
      </w:pPr>
      <w:bookmarkStart w:id="9" w:name="dieu_4"/>
      <w:r w:rsidRPr="002E2492">
        <w:rPr>
          <w:rFonts w:ascii="Arial" w:hAnsi="Arial" w:cs="Arial"/>
          <w:b/>
          <w:bCs/>
          <w:sz w:val="20"/>
          <w:szCs w:val="20"/>
        </w:rPr>
        <w:t>Điều 4</w:t>
      </w:r>
      <w:bookmarkEnd w:id="9"/>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1. </w:t>
      </w:r>
      <w:bookmarkStart w:id="10" w:name="dieu_4_name"/>
      <w:r w:rsidRPr="002E2492">
        <w:rPr>
          <w:rFonts w:ascii="Arial" w:hAnsi="Arial" w:cs="Arial"/>
          <w:sz w:val="20"/>
          <w:szCs w:val="20"/>
        </w:rPr>
        <w:t>Chính phủ chịu trách nhiệm trước Quốc hội trong việc:</w:t>
      </w:r>
      <w:bookmarkEnd w:id="10"/>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a) Tổ chức thực hiện, quản lý đầu tư Dự án theo đúng Nghị quyết này và quy định của pháp luật có liên quan; bảo đảm Dự án đúng tiến độ, chất lượng;</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b) Quản lý, sử dụng vốn và các</w:t>
      </w:r>
      <w:r w:rsidRPr="002E2492">
        <w:rPr>
          <w:rFonts w:ascii="Arial" w:hAnsi="Arial" w:cs="Arial"/>
          <w:sz w:val="20"/>
          <w:szCs w:val="20"/>
        </w:rPr>
        <w:t xml:space="preserve"> nguồn lực tiết kiệm, hiệu quả, phòng chống tham nhũng, lãng phí, tiêu cực; thông tin đầy đủ để người dân hiểu, đồng thuận về chủ trương đầu tư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c) Chỉ đạo tổ chức việc quản lý, vận hành, khai thác, bảo trì bảo đảm an toàn, hiệu quả.</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2. Trong quá trì</w:t>
      </w:r>
      <w:r w:rsidRPr="002E2492">
        <w:rPr>
          <w:rFonts w:ascii="Arial" w:hAnsi="Arial" w:cs="Arial"/>
          <w:sz w:val="20"/>
          <w:szCs w:val="20"/>
        </w:rPr>
        <w:t>nh vận hành, khai thác, trên cơ sở đề xuất của các địa phương, Thủ tướng Chính phủ quyết định đầu tư bổ sung một số nhà ga tại các khu đô thị có nhu cầu vận tải lớn.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lastRenderedPageBreak/>
        <w:t xml:space="preserve">3. Các địa phương, Tập đoàn Điện lực Việt Nam chịu trách nhiệm trước Chính phủ trong việc </w:t>
      </w:r>
      <w:r w:rsidRPr="002E2492">
        <w:rPr>
          <w:rFonts w:ascii="Arial" w:hAnsi="Arial" w:cs="Arial"/>
          <w:sz w:val="20"/>
          <w:szCs w:val="20"/>
        </w:rPr>
        <w:t>bảo đảm tiến độ, chất lượng công tác bồi thường, hỗ trợ, tái định cư và các tiểu dự án được giao tổ chức thực hiện.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4. Tổ chức kiện toàn Ban quản lý dự án chuyên ngành bảo đảm đủ năng lực thực hiện quản lý đầu tư Dự án.</w:t>
      </w:r>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5. Tổng công ty Đường sắt Việt Nam t</w:t>
      </w:r>
      <w:r w:rsidRPr="002E2492">
        <w:rPr>
          <w:rFonts w:ascii="Arial" w:hAnsi="Arial" w:cs="Arial"/>
          <w:sz w:val="20"/>
          <w:szCs w:val="20"/>
        </w:rPr>
        <w:t xml:space="preserve">iếp nhận quản lý, bảo trì kết cấu hạ tầng và tổ chức vận hành, khai thác; huy động các doanh nghiệp khác đầu tư phương tiện; tiếp tục tái cơ cấu, xây dựng mô hình quản lý, bảo trì kết cấu hạ tầng bảo đảm thống nhất, hiện đại, hiệu quả; tham gia phát triển </w:t>
      </w:r>
      <w:r w:rsidRPr="002E2492">
        <w:rPr>
          <w:rFonts w:ascii="Arial" w:hAnsi="Arial" w:cs="Arial"/>
          <w:sz w:val="20"/>
          <w:szCs w:val="20"/>
        </w:rPr>
        <w:t>công nghiệp đường sắt.</w:t>
      </w:r>
    </w:p>
    <w:p w:rsidR="00000000" w:rsidRPr="002E2492" w:rsidRDefault="0055134D" w:rsidP="002E2492">
      <w:pPr>
        <w:spacing w:after="120"/>
        <w:ind w:firstLine="720"/>
        <w:jc w:val="both"/>
        <w:rPr>
          <w:rFonts w:ascii="Arial" w:hAnsi="Arial" w:cs="Arial"/>
          <w:sz w:val="20"/>
          <w:szCs w:val="20"/>
        </w:rPr>
      </w:pPr>
      <w:bookmarkStart w:id="11" w:name="dieu_5"/>
      <w:r w:rsidRPr="002E2492">
        <w:rPr>
          <w:rFonts w:ascii="Arial" w:hAnsi="Arial" w:cs="Arial"/>
          <w:b/>
          <w:bCs/>
          <w:sz w:val="20"/>
          <w:szCs w:val="20"/>
        </w:rPr>
        <w:t>Điều 5</w:t>
      </w:r>
      <w:bookmarkEnd w:id="11"/>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1. </w:t>
      </w:r>
      <w:bookmarkStart w:id="12" w:name="dieu_5_name"/>
      <w:r w:rsidRPr="002E2492">
        <w:rPr>
          <w:rFonts w:ascii="Arial" w:hAnsi="Arial" w:cs="Arial"/>
          <w:sz w:val="20"/>
          <w:szCs w:val="20"/>
        </w:rPr>
        <w:t xml:space="preserve">Mặt trận Tổ quốc Việt Nam và các tổ chức thành viên của Mặt trận, trong phạm vi nhiệm vụ, quyền hạn của mình, có trách nhiệm tuyên truyền, vận động Nhân dân đồng thuận chủ trương đầu tư Dự án, giám sát việc thực hiện Dự án </w:t>
      </w:r>
      <w:r w:rsidRPr="002E2492">
        <w:rPr>
          <w:rFonts w:ascii="Arial" w:hAnsi="Arial" w:cs="Arial"/>
          <w:sz w:val="20"/>
          <w:szCs w:val="20"/>
        </w:rPr>
        <w:t>theo Nghị quyết này.</w:t>
      </w:r>
      <w:bookmarkEnd w:id="12"/>
    </w:p>
    <w:p w:rsidR="00000000"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2. Ủy ban Thường vụ Quốc hội, Ủy ban Kinh tế, Hội đồng Dân tộc, các Ủy ban khác của Quốc hội, Đoàn đại biểu Quốc hội, đại biểu Quốc hội, trong phạm vi nhiệm vụ, quyền hạn của mình, giám sát việc thực hiện Dự án theo Nghị quyết này.</w:t>
      </w:r>
    </w:p>
    <w:p w:rsidR="00000000" w:rsidRDefault="0055134D" w:rsidP="002E2492">
      <w:pPr>
        <w:spacing w:after="120"/>
        <w:ind w:firstLine="720"/>
        <w:jc w:val="both"/>
        <w:rPr>
          <w:rFonts w:ascii="Arial" w:hAnsi="Arial" w:cs="Arial"/>
          <w:sz w:val="20"/>
          <w:szCs w:val="20"/>
        </w:rPr>
      </w:pPr>
      <w:r w:rsidRPr="002E2492">
        <w:rPr>
          <w:rFonts w:ascii="Arial" w:hAnsi="Arial" w:cs="Arial"/>
          <w:sz w:val="20"/>
          <w:szCs w:val="20"/>
        </w:rPr>
        <w:t xml:space="preserve">3. </w:t>
      </w:r>
      <w:r w:rsidRPr="002E2492">
        <w:rPr>
          <w:rFonts w:ascii="Arial" w:hAnsi="Arial" w:cs="Arial"/>
          <w:sz w:val="20"/>
          <w:szCs w:val="20"/>
        </w:rPr>
        <w:t>Kiểm toán nhà nước, trong phạm vi nhiệm vụ, quyền hạn của mình, kiểm toán việc thực hiện Dự án theo Nghị quyết này.</w:t>
      </w:r>
    </w:p>
    <w:p w:rsidR="00C2265A" w:rsidRPr="002E2492" w:rsidRDefault="00C2265A" w:rsidP="002E2492">
      <w:pPr>
        <w:spacing w:after="120"/>
        <w:ind w:firstLine="720"/>
        <w:jc w:val="both"/>
        <w:rPr>
          <w:rFonts w:ascii="Arial" w:hAnsi="Arial" w:cs="Arial"/>
          <w:sz w:val="20"/>
          <w:szCs w:val="20"/>
        </w:rPr>
      </w:pPr>
      <w:r>
        <w:rPr>
          <w:rFonts w:ascii="Arial" w:hAnsi="Arial" w:cs="Arial"/>
          <w:sz w:val="20"/>
          <w:szCs w:val="20"/>
        </w:rPr>
        <w:t>__________________________________________________________________</w:t>
      </w:r>
    </w:p>
    <w:p w:rsidR="00000000" w:rsidRPr="002E2492" w:rsidRDefault="0055134D" w:rsidP="00A37E3D">
      <w:pPr>
        <w:ind w:firstLine="720"/>
        <w:jc w:val="both"/>
        <w:rPr>
          <w:rFonts w:ascii="Arial" w:hAnsi="Arial" w:cs="Arial"/>
          <w:sz w:val="20"/>
          <w:szCs w:val="20"/>
        </w:rPr>
      </w:pPr>
      <w:r w:rsidRPr="002E2492">
        <w:rPr>
          <w:rFonts w:ascii="Arial" w:hAnsi="Arial" w:cs="Arial"/>
          <w:i/>
          <w:iCs/>
          <w:sz w:val="20"/>
          <w:szCs w:val="20"/>
        </w:rPr>
        <w:t>Nghị quyết này được Quốc hội nước Cộng hòa xã hội chủ nghĩa Việt Nam khóa XV, kỳ họp thứ 8 thông qua ngày 30 tháng 11 năm 2024.</w:t>
      </w:r>
    </w:p>
    <w:p w:rsidR="00000000" w:rsidRPr="002E2492" w:rsidRDefault="0055134D" w:rsidP="00A37E3D">
      <w:pPr>
        <w:ind w:firstLine="720"/>
        <w:jc w:val="both"/>
        <w:rPr>
          <w:rFonts w:ascii="Arial" w:hAnsi="Arial" w:cs="Arial"/>
          <w:sz w:val="20"/>
          <w:szCs w:val="20"/>
        </w:rPr>
      </w:pPr>
      <w:r w:rsidRPr="002E2492">
        <w:rPr>
          <w:rFonts w:ascii="Arial" w:hAnsi="Arial" w:cs="Arial"/>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2E2492" w:rsidTr="00E33637">
        <w:trPr>
          <w:trHeight w:val="20"/>
        </w:trPr>
        <w:tc>
          <w:tcPr>
            <w:tcW w:w="2500" w:type="pc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2E2492" w:rsidRDefault="0055134D" w:rsidP="00A21816">
            <w:pPr>
              <w:rPr>
                <w:rFonts w:ascii="Arial" w:hAnsi="Arial" w:cs="Arial"/>
                <w:sz w:val="20"/>
                <w:szCs w:val="20"/>
              </w:rPr>
            </w:pPr>
            <w:r w:rsidRPr="002E2492">
              <w:rPr>
                <w:rFonts w:ascii="Arial" w:hAnsi="Arial" w:cs="Arial"/>
                <w:sz w:val="20"/>
                <w:szCs w:val="20"/>
              </w:rPr>
              <w:t>E-pas: 114</w:t>
            </w:r>
            <w:r w:rsidRPr="002E2492">
              <w:rPr>
                <w:rFonts w:ascii="Arial" w:hAnsi="Arial" w:cs="Arial"/>
                <w:sz w:val="20"/>
                <w:szCs w:val="20"/>
              </w:rPr>
              <w:t>162</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2E2492" w:rsidRDefault="0055134D" w:rsidP="00E33637">
            <w:pPr>
              <w:jc w:val="center"/>
              <w:rPr>
                <w:rFonts w:ascii="Arial" w:hAnsi="Arial" w:cs="Arial"/>
                <w:sz w:val="20"/>
                <w:szCs w:val="20"/>
              </w:rPr>
            </w:pPr>
            <w:r w:rsidRPr="002E2492">
              <w:rPr>
                <w:rFonts w:ascii="Arial" w:hAnsi="Arial" w:cs="Arial"/>
                <w:b/>
                <w:bCs/>
                <w:sz w:val="20"/>
                <w:szCs w:val="20"/>
              </w:rPr>
              <w:t>CHỦ TỊCH QUỐC HỘI</w:t>
            </w:r>
            <w:r w:rsidRPr="002E2492">
              <w:rPr>
                <w:rFonts w:ascii="Arial" w:hAnsi="Arial" w:cs="Arial"/>
                <w:b/>
                <w:bCs/>
                <w:sz w:val="20"/>
                <w:szCs w:val="20"/>
              </w:rPr>
              <w:br/>
            </w:r>
            <w:r w:rsidRPr="002E2492">
              <w:rPr>
                <w:rFonts w:ascii="Arial" w:hAnsi="Arial" w:cs="Arial"/>
                <w:b/>
                <w:bCs/>
                <w:sz w:val="20"/>
                <w:szCs w:val="20"/>
              </w:rPr>
              <w:br/>
            </w:r>
            <w:r w:rsidRPr="002E2492">
              <w:rPr>
                <w:rFonts w:ascii="Arial" w:hAnsi="Arial" w:cs="Arial"/>
                <w:b/>
                <w:bCs/>
                <w:sz w:val="20"/>
                <w:szCs w:val="20"/>
              </w:rPr>
              <w:br/>
            </w:r>
            <w:r w:rsidRPr="002E2492">
              <w:rPr>
                <w:rFonts w:ascii="Arial" w:hAnsi="Arial" w:cs="Arial"/>
                <w:b/>
                <w:bCs/>
                <w:sz w:val="20"/>
                <w:szCs w:val="20"/>
              </w:rPr>
              <w:br/>
            </w:r>
            <w:r w:rsidRPr="002E2492">
              <w:rPr>
                <w:rFonts w:ascii="Arial" w:hAnsi="Arial" w:cs="Arial"/>
                <w:b/>
                <w:bCs/>
                <w:sz w:val="20"/>
                <w:szCs w:val="20"/>
              </w:rPr>
              <w:br/>
              <w:t>Trần Thanh Mẫn</w:t>
            </w:r>
          </w:p>
        </w:tc>
      </w:tr>
    </w:tbl>
    <w:p w:rsidR="0055134D" w:rsidRPr="002E2492" w:rsidRDefault="0055134D" w:rsidP="002E2492">
      <w:pPr>
        <w:spacing w:after="120"/>
        <w:ind w:firstLine="720"/>
        <w:jc w:val="both"/>
        <w:rPr>
          <w:rFonts w:ascii="Arial" w:hAnsi="Arial" w:cs="Arial"/>
          <w:sz w:val="20"/>
          <w:szCs w:val="20"/>
        </w:rPr>
      </w:pPr>
      <w:r w:rsidRPr="002E2492">
        <w:rPr>
          <w:rFonts w:ascii="Arial" w:hAnsi="Arial" w:cs="Arial"/>
          <w:sz w:val="20"/>
          <w:szCs w:val="20"/>
        </w:rPr>
        <w:t> </w:t>
      </w:r>
    </w:p>
    <w:sectPr w:rsidR="0055134D" w:rsidRPr="002E2492" w:rsidSect="002E2492">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492"/>
    <w:rsid w:val="00004092"/>
    <w:rsid w:val="0004058A"/>
    <w:rsid w:val="000D7BC9"/>
    <w:rsid w:val="000F09BE"/>
    <w:rsid w:val="0016713D"/>
    <w:rsid w:val="00184044"/>
    <w:rsid w:val="001E5322"/>
    <w:rsid w:val="002E2492"/>
    <w:rsid w:val="003103EC"/>
    <w:rsid w:val="003F2170"/>
    <w:rsid w:val="004369E9"/>
    <w:rsid w:val="004644A2"/>
    <w:rsid w:val="0048673C"/>
    <w:rsid w:val="0051612C"/>
    <w:rsid w:val="0055134D"/>
    <w:rsid w:val="00571945"/>
    <w:rsid w:val="005D4613"/>
    <w:rsid w:val="00803001"/>
    <w:rsid w:val="00856A44"/>
    <w:rsid w:val="009210A7"/>
    <w:rsid w:val="0092557F"/>
    <w:rsid w:val="00937CB5"/>
    <w:rsid w:val="0098317D"/>
    <w:rsid w:val="00A21816"/>
    <w:rsid w:val="00A3248C"/>
    <w:rsid w:val="00A37E3D"/>
    <w:rsid w:val="00A47B8F"/>
    <w:rsid w:val="00A677F6"/>
    <w:rsid w:val="00B730EC"/>
    <w:rsid w:val="00C2265A"/>
    <w:rsid w:val="00C86F1A"/>
    <w:rsid w:val="00CC43D7"/>
    <w:rsid w:val="00E3363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16C7DC"/>
  <w15:chartTrackingRefBased/>
  <w15:docId w15:val="{2E28142D-CB87-4436-BCA0-36E4E2B1E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3031</Words>
  <Characters>17282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14</cp:revision>
  <cp:lastPrinted>1601-01-01T00:00:00Z</cp:lastPrinted>
  <dcterms:created xsi:type="dcterms:W3CDTF">2024-12-23T02:11:00Z</dcterms:created>
  <dcterms:modified xsi:type="dcterms:W3CDTF">2024-12-23T02:12:00Z</dcterms:modified>
</cp:coreProperties>
</file>