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94AC1E6" w14:textId="77777777" w:rsidR="00ED51EF" w:rsidRPr="003669C0" w:rsidRDefault="00ED51EF" w:rsidP="00201BFF">
      <w:pPr>
        <w:pStyle w:val="Heading1"/>
        <w:spacing w:after="0" w:line="240" w:lineRule="auto"/>
        <w:jc w:val="center"/>
      </w:pPr>
      <w:bookmarkStart w:id="0" w:name="_Toc214546323"/>
      <w:bookmarkStart w:id="1" w:name="chuong_pl4"/>
      <w:r w:rsidRPr="003669C0">
        <w:t>PHỤ LỤC 15</w:t>
      </w:r>
      <w:r w:rsidRPr="003669C0">
        <w:br/>
        <w:t>DANH MỤC THIẾT BỊ THAM KHẢO CHO ỨNG PHÓ SỰ CỐ</w:t>
      </w:r>
      <w:bookmarkEnd w:id="0"/>
    </w:p>
    <w:bookmarkEnd w:id="1"/>
    <w:p w14:paraId="6F98214A" w14:textId="77777777" w:rsidR="00201BFF" w:rsidRPr="00AF38CF" w:rsidRDefault="00201BFF" w:rsidP="00201BFF">
      <w:pPr>
        <w:pStyle w:val="Heading1"/>
        <w:spacing w:after="0" w:line="240" w:lineRule="auto"/>
        <w:jc w:val="center"/>
      </w:pPr>
      <w:r w:rsidRPr="00926F72">
        <w:rPr>
          <w:b w:val="0"/>
          <w:bCs w:val="0"/>
          <w:i/>
          <w:iCs/>
        </w:rPr>
        <w:t>(Kèm theo Thông tư số 59/2025/TT-BKHCN ngày 31 tháng 12 năm 2025</w:t>
      </w:r>
      <w:r>
        <w:br/>
      </w:r>
      <w:r w:rsidRPr="00926F72">
        <w:rPr>
          <w:b w:val="0"/>
          <w:bCs w:val="0"/>
          <w:i/>
          <w:iCs/>
        </w:rPr>
        <w:t>của Bộ trưởng Bộ Khoa học và Công nghệ)</w:t>
      </w:r>
    </w:p>
    <w:p w14:paraId="71A28F42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b/>
          <w:bCs/>
          <w:color w:val="auto"/>
        </w:rPr>
        <w:t>I. THIẾT BỊ KIỂM SOÁT BỨC XẠ</w:t>
      </w:r>
    </w:p>
    <w:p w14:paraId="045ED336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Thiết bị khảo sát bức xạ suất liều cao.</w:t>
      </w:r>
    </w:p>
    <w:p w14:paraId="44D97863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Thiết bị nhận diện nguồn phóng xạ.</w:t>
      </w:r>
    </w:p>
    <w:p w14:paraId="65EC4986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Thiết bị kiểm soát nhiễm bẩn phóng xạ (do nhiễm bẩn phóng xạ anpha, beta, gamma, neutron).</w:t>
      </w:r>
    </w:p>
    <w:p w14:paraId="34CD9889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Thiết bị đo phóng phóng xạ môi trường.</w:t>
      </w:r>
    </w:p>
    <w:p w14:paraId="4E61871A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Liều kế có báo động (đo suất liều tức thời và liều tích lũy).</w:t>
      </w:r>
    </w:p>
    <w:p w14:paraId="0E88C74A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Liều kế cá nhân.</w:t>
      </w:r>
    </w:p>
    <w:p w14:paraId="3052295E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Thiết bị thu thập và phân tích, đo đạc nồng độ phóng xạ hiện trường và trong phòng thí nghiệm.</w:t>
      </w:r>
    </w:p>
    <w:p w14:paraId="5B09B990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b/>
          <w:bCs/>
          <w:color w:val="auto"/>
        </w:rPr>
        <w:t>II. TRANG THIẾT BỊ BẢO HỘ CÁ NHÂN</w:t>
      </w:r>
    </w:p>
    <w:p w14:paraId="1F20AEEB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Quần áo không thấm nước (che kín hoàn toàn da và đầu tóc).</w:t>
      </w:r>
    </w:p>
    <w:p w14:paraId="43E32C89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Mặt nạ bảo vệ hô hấp nửa mặt.</w:t>
      </w:r>
    </w:p>
    <w:p w14:paraId="7D306253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Mặt nạ bảo vệ hô hấp kín mặt.</w:t>
      </w:r>
    </w:p>
    <w:p w14:paraId="44391332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Mũ bảo hiểm an toàn.</w:t>
      </w:r>
    </w:p>
    <w:p w14:paraId="5CA2478B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Áo có màu sắc dễ nhận diện.</w:t>
      </w:r>
    </w:p>
    <w:p w14:paraId="589F8C4A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Giầy hoặc ủng không thấm nước.</w:t>
      </w:r>
    </w:p>
    <w:p w14:paraId="7BD5E931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Găng tay không thấm nước và chống ăn mòn.</w:t>
      </w:r>
    </w:p>
    <w:p w14:paraId="585FF5BC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Áo bảo hộ lao động.</w:t>
      </w:r>
    </w:p>
    <w:p w14:paraId="74630DBA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b/>
          <w:bCs/>
          <w:color w:val="auto"/>
        </w:rPr>
        <w:t>III. TRANG THIẾT BỊ TẨY XẠ</w:t>
      </w:r>
    </w:p>
    <w:p w14:paraId="17129002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Thảm dính dùng 1 lần.</w:t>
      </w:r>
    </w:p>
    <w:p w14:paraId="3E2B64E2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Nhãn dính.</w:t>
      </w:r>
    </w:p>
    <w:p w14:paraId="21CA08DF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Chăn hoặc tấm gói mỏng nhẹ.</w:t>
      </w:r>
    </w:p>
    <w:p w14:paraId="5EC31386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lastRenderedPageBreak/>
        <w:t>- Khăn ướt hoặc khăn lau dùng 1 lần.</w:t>
      </w:r>
    </w:p>
    <w:p w14:paraId="7CD0E493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Khăn tắm.</w:t>
      </w:r>
    </w:p>
    <w:p w14:paraId="74DDE6FE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Túi nhựa nhiều kích thước.</w:t>
      </w:r>
    </w:p>
    <w:p w14:paraId="7FF38765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Thùng nhựa nhiều kích thước (có nắp).</w:t>
      </w:r>
    </w:p>
    <w:p w14:paraId="3C9E27E6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Xà phòng tẩy rửa, dầu gội đầu.</w:t>
      </w:r>
    </w:p>
    <w:p w14:paraId="1A6D8649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Bàn chải.</w:t>
      </w:r>
    </w:p>
    <w:p w14:paraId="76C56F4A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Quần áo thay thế (nhiều kích cỡ từ rất lớn đến kích thước của trẻ em).</w:t>
      </w:r>
    </w:p>
    <w:p w14:paraId="0F4B62BF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Nước muối/Băng y tế/Gạc/Tăm bông.</w:t>
      </w:r>
    </w:p>
    <w:p w14:paraId="5A17EC69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Cuộn dải băng sạch và có màu sắc.</w:t>
      </w:r>
    </w:p>
    <w:p w14:paraId="62D56CBB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Bình tiêu tẩy đa năng.</w:t>
      </w:r>
    </w:p>
    <w:p w14:paraId="30B9340D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Vật liệu hút nước.</w:t>
      </w:r>
    </w:p>
    <w:p w14:paraId="4C0EA2B3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Lều tẩy xạ (người, vật dụng, thiết bị).</w:t>
      </w:r>
    </w:p>
    <w:p w14:paraId="68848DE8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b/>
          <w:bCs/>
          <w:color w:val="auto"/>
        </w:rPr>
        <w:t>IV. THIẾT BỊ PHỤ TRỢ</w:t>
      </w:r>
    </w:p>
    <w:p w14:paraId="4044F82A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Tay gắp.</w:t>
      </w:r>
    </w:p>
    <w:p w14:paraId="30F138E7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Bình chì, thùng chì.</w:t>
      </w:r>
    </w:p>
    <w:p w14:paraId="3120C0FF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Túi đựng hạt chì.</w:t>
      </w:r>
    </w:p>
    <w:p w14:paraId="5098D0A0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Tấm chì.</w:t>
      </w:r>
    </w:p>
    <w:p w14:paraId="118869BD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Bản đồ chi tiết khu vực.</w:t>
      </w:r>
    </w:p>
    <w:p w14:paraId="394D2272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Hệ thống rào chắn (phương tiện, nón, bảng hiệu, dây chăng/dây thừng hoặc sơn cho đường/mặt đất/sàn) với các điểm ra vào xác định.</w:t>
      </w:r>
    </w:p>
    <w:p w14:paraId="5F2F3E63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Biển cảnh báo phóng xạ.</w:t>
      </w:r>
    </w:p>
    <w:p w14:paraId="3279470A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Decal cảnh báo phóng xạ.</w:t>
      </w:r>
    </w:p>
    <w:p w14:paraId="71A713C3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Dây chăng.</w:t>
      </w:r>
    </w:p>
    <w:p w14:paraId="31AE0478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Máy tính xách tay.</w:t>
      </w:r>
    </w:p>
    <w:p w14:paraId="7BEE4755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Phương tiện thông tin liên lạc 2 chiều với Trụ sở Ban chỉ huy và hiện trường.</w:t>
      </w:r>
    </w:p>
    <w:p w14:paraId="7F337C9D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Bộ đàm.</w:t>
      </w:r>
    </w:p>
    <w:p w14:paraId="7540933C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lastRenderedPageBreak/>
        <w:t>- Thiết bị GPS.</w:t>
      </w:r>
    </w:p>
    <w:p w14:paraId="495D5CE8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Điện thoại và máy Fax.</w:t>
      </w:r>
    </w:p>
    <w:p w14:paraId="1DC210B7" w14:textId="77777777" w:rsidR="00ED51EF" w:rsidRPr="003669C0" w:rsidRDefault="00ED51EF" w:rsidP="00ED51EF">
      <w:pPr>
        <w:spacing w:before="240"/>
        <w:jc w:val="both"/>
        <w:rPr>
          <w:color w:val="auto"/>
          <w:lang w:val="de-DE"/>
        </w:rPr>
      </w:pPr>
      <w:r w:rsidRPr="003669C0">
        <w:rPr>
          <w:color w:val="auto"/>
          <w:lang w:val="de-DE"/>
        </w:rPr>
        <w:t>- Thiết bị kết nối Internet.</w:t>
      </w:r>
    </w:p>
    <w:p w14:paraId="39080D8E" w14:textId="77777777" w:rsidR="00ED51EF" w:rsidRPr="003669C0" w:rsidRDefault="00ED51EF" w:rsidP="00ED51EF">
      <w:pPr>
        <w:spacing w:before="240"/>
        <w:jc w:val="both"/>
        <w:rPr>
          <w:color w:val="auto"/>
          <w:lang w:val="de-DE"/>
        </w:rPr>
      </w:pPr>
      <w:r w:rsidRPr="003669C0">
        <w:rPr>
          <w:color w:val="auto"/>
          <w:lang w:val="de-DE"/>
        </w:rPr>
        <w:t>- Máy photocopy hoặc máy scan.</w:t>
      </w:r>
    </w:p>
    <w:p w14:paraId="04FCC899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Thước Laser.</w:t>
      </w:r>
    </w:p>
    <w:p w14:paraId="70A8380C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Loa cầm tay, còi.</w:t>
      </w:r>
    </w:p>
    <w:p w14:paraId="007B137B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Sổ ghi chép, phiếu ghi chép thông tin liên quan đến sự cố.</w:t>
      </w:r>
    </w:p>
    <w:p w14:paraId="0CA7178D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Pin theo thiết bị đo bức xạ.</w:t>
      </w:r>
    </w:p>
    <w:p w14:paraId="013F22BE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- Các thiết bị hỗ trợ khác (xẻng, cuốc, xà beng, xe đẩy, xe nâng, xe vận chuyển...) theo tình huống sự cố.</w:t>
      </w:r>
    </w:p>
    <w:p w14:paraId="6E247992" w14:textId="77777777" w:rsidR="00ED51EF" w:rsidRPr="003669C0" w:rsidRDefault="00ED51EF" w:rsidP="00ED51EF">
      <w:pPr>
        <w:spacing w:before="240"/>
        <w:jc w:val="both"/>
        <w:rPr>
          <w:color w:val="auto"/>
        </w:rPr>
      </w:pPr>
      <w:r w:rsidRPr="003669C0">
        <w:rPr>
          <w:color w:val="auto"/>
        </w:rPr>
        <w:t> </w:t>
      </w:r>
    </w:p>
    <w:p w14:paraId="651F33BC" w14:textId="4F862007" w:rsidR="00C41E69" w:rsidRPr="00070E39" w:rsidRDefault="00C41E69" w:rsidP="00070E39"/>
    <w:sectPr w:rsidR="00C41E69" w:rsidRPr="00070E39" w:rsidSect="00810C5E">
      <w:headerReference w:type="default" r:id="rId6"/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5075F74" w14:textId="77777777" w:rsidR="00270661" w:rsidRDefault="00270661" w:rsidP="005A555F">
      <w:r>
        <w:separator/>
      </w:r>
    </w:p>
  </w:endnote>
  <w:endnote w:type="continuationSeparator" w:id="0">
    <w:p w14:paraId="06B7168A" w14:textId="77777777" w:rsidR="00270661" w:rsidRDefault="00270661" w:rsidP="005A55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5037248" w14:textId="77777777" w:rsidR="00270661" w:rsidRDefault="00270661" w:rsidP="005A555F">
      <w:r>
        <w:separator/>
      </w:r>
    </w:p>
  </w:footnote>
  <w:footnote w:type="continuationSeparator" w:id="0">
    <w:p w14:paraId="6F666F89" w14:textId="77777777" w:rsidR="00270661" w:rsidRDefault="00270661" w:rsidP="005A55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62645794"/>
      <w:docPartObj>
        <w:docPartGallery w:val="Page Numbers (Top of Page)"/>
        <w:docPartUnique/>
      </w:docPartObj>
    </w:sdtPr>
    <w:sdtEndPr>
      <w:rPr>
        <w:noProof/>
        <w:color w:val="auto"/>
      </w:rPr>
    </w:sdtEndPr>
    <w:sdtContent>
      <w:p w14:paraId="3E303163" w14:textId="0845F05B" w:rsidR="005A555F" w:rsidRPr="005A555F" w:rsidRDefault="005A555F">
        <w:pPr>
          <w:pStyle w:val="Header"/>
          <w:jc w:val="center"/>
          <w:rPr>
            <w:color w:val="auto"/>
          </w:rPr>
        </w:pPr>
        <w:r w:rsidRPr="005A555F">
          <w:rPr>
            <w:color w:val="auto"/>
          </w:rPr>
          <w:fldChar w:fldCharType="begin"/>
        </w:r>
        <w:r w:rsidRPr="005A555F">
          <w:rPr>
            <w:color w:val="auto"/>
          </w:rPr>
          <w:instrText xml:space="preserve"> PAGE   \* MERGEFORMAT </w:instrText>
        </w:r>
        <w:r w:rsidRPr="005A555F">
          <w:rPr>
            <w:color w:val="auto"/>
          </w:rPr>
          <w:fldChar w:fldCharType="separate"/>
        </w:r>
        <w:r w:rsidRPr="005A555F">
          <w:rPr>
            <w:noProof/>
            <w:color w:val="auto"/>
          </w:rPr>
          <w:t>2</w:t>
        </w:r>
        <w:r w:rsidRPr="005A555F">
          <w:rPr>
            <w:noProof/>
            <w:color w:val="auto"/>
          </w:rPr>
          <w:fldChar w:fldCharType="end"/>
        </w:r>
      </w:p>
    </w:sdtContent>
  </w:sdt>
  <w:p w14:paraId="1F64273C" w14:textId="77777777" w:rsidR="005A555F" w:rsidRDefault="005A555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06D3"/>
    <w:rsid w:val="00070E39"/>
    <w:rsid w:val="001102C4"/>
    <w:rsid w:val="0017246C"/>
    <w:rsid w:val="00176E14"/>
    <w:rsid w:val="001C5284"/>
    <w:rsid w:val="002013C3"/>
    <w:rsid w:val="00201BFF"/>
    <w:rsid w:val="00270661"/>
    <w:rsid w:val="002B4C14"/>
    <w:rsid w:val="005A555F"/>
    <w:rsid w:val="006636F1"/>
    <w:rsid w:val="0077423A"/>
    <w:rsid w:val="00775546"/>
    <w:rsid w:val="00783671"/>
    <w:rsid w:val="00783AE2"/>
    <w:rsid w:val="00810C5E"/>
    <w:rsid w:val="00845958"/>
    <w:rsid w:val="009D12E2"/>
    <w:rsid w:val="009D6C21"/>
    <w:rsid w:val="00A54C36"/>
    <w:rsid w:val="00C41E69"/>
    <w:rsid w:val="00CE3EC4"/>
    <w:rsid w:val="00DA64C9"/>
    <w:rsid w:val="00ED51EF"/>
    <w:rsid w:val="00F006D3"/>
    <w:rsid w:val="00F226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353CB"/>
  <w15:chartTrackingRefBased/>
  <w15:docId w15:val="{F175DB3E-A5EA-46F0-BADB-6EA0941008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006D3"/>
    <w:pPr>
      <w:spacing w:after="0" w:line="240" w:lineRule="auto"/>
    </w:pPr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Heading1">
    <w:name w:val="heading 1"/>
    <w:basedOn w:val="Normal"/>
    <w:next w:val="Normal"/>
    <w:link w:val="Heading1Char"/>
    <w:qFormat/>
    <w:rsid w:val="00F006D3"/>
    <w:pPr>
      <w:keepNext/>
      <w:spacing w:before="120" w:after="120" w:line="320" w:lineRule="exact"/>
      <w:outlineLvl w:val="0"/>
    </w:pPr>
    <w:rPr>
      <w:rFonts w:eastAsia="Malgun Gothic"/>
      <w:b/>
      <w:bCs/>
      <w:color w:val="auto"/>
      <w:kern w:val="3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006D3"/>
    <w:rPr>
      <w:rFonts w:ascii="Times New Roman" w:eastAsia="Malgun Gothic" w:hAnsi="Times New Roman" w:cs="Times New Roman"/>
      <w:b/>
      <w:bCs/>
      <w:kern w:val="32"/>
      <w:sz w:val="28"/>
      <w:szCs w:val="28"/>
    </w:rPr>
  </w:style>
  <w:style w:type="character" w:styleId="CommentReference">
    <w:name w:val="annotation reference"/>
    <w:basedOn w:val="DefaultParagraphFont"/>
    <w:uiPriority w:val="99"/>
    <w:semiHidden/>
    <w:unhideWhenUsed/>
    <w:rsid w:val="002013C3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013C3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013C3"/>
    <w:rPr>
      <w:rFonts w:ascii="Times New Roman" w:eastAsia="Times New Roman" w:hAnsi="Times New Roman" w:cs="Times New Roman"/>
      <w:color w:val="0000FF"/>
      <w:sz w:val="20"/>
      <w:szCs w:val="20"/>
      <w:lang w:eastAsia="ko-KR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013C3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013C3"/>
    <w:rPr>
      <w:rFonts w:ascii="Times New Roman" w:eastAsia="Times New Roman" w:hAnsi="Times New Roman" w:cs="Times New Roman"/>
      <w:b/>
      <w:bCs/>
      <w:color w:val="0000FF"/>
      <w:sz w:val="20"/>
      <w:szCs w:val="20"/>
      <w:lang w:eastAsia="ko-KR"/>
    </w:rPr>
  </w:style>
  <w:style w:type="paragraph" w:styleId="Header">
    <w:name w:val="header"/>
    <w:basedOn w:val="Normal"/>
    <w:link w:val="Head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  <w:style w:type="paragraph" w:styleId="Footer">
    <w:name w:val="footer"/>
    <w:basedOn w:val="Normal"/>
    <w:link w:val="FooterChar"/>
    <w:uiPriority w:val="99"/>
    <w:unhideWhenUsed/>
    <w:rsid w:val="005A555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A555F"/>
    <w:rPr>
      <w:rFonts w:ascii="Times New Roman" w:eastAsia="Times New Roman" w:hAnsi="Times New Roman" w:cs="Times New Roman"/>
      <w:color w:val="0000FF"/>
      <w:sz w:val="28"/>
      <w:szCs w:val="28"/>
      <w:lang w:eastAsia="ko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4DA4BD7-A92A-4AE9-B2EE-68DF4395D966}"/>
</file>

<file path=customXml/itemProps2.xml><?xml version="1.0" encoding="utf-8"?>
<ds:datastoreItem xmlns:ds="http://schemas.openxmlformats.org/officeDocument/2006/customXml" ds:itemID="{A9EC9BC2-DD01-4007-AC1E-FE015EADAA8B}"/>
</file>

<file path=customXml/itemProps3.xml><?xml version="1.0" encoding="utf-8"?>
<ds:datastoreItem xmlns:ds="http://schemas.openxmlformats.org/officeDocument/2006/customXml" ds:itemID="{8D9A85E7-79D5-4141-B82F-64C86B873F30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320</Words>
  <Characters>1825</Characters>
  <Application>Microsoft Office Word</Application>
  <DocSecurity>0</DocSecurity>
  <Lines>15</Lines>
  <Paragraphs>4</Paragraphs>
  <ScaleCrop>false</ScaleCrop>
  <Company/>
  <LinksUpToDate>false</LinksUpToDate>
  <CharactersWithSpaces>2141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dcterms:created xsi:type="dcterms:W3CDTF">2026-01-12T09:32:00Z</dcterms:created>
  <dcterms:modified xsi:type="dcterms:W3CDTF">2026-01-12T10:37:00Z</dcterms:modified>
</cp:coreProperties>
</file>