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392"/>
        <w:gridCol w:w="1417"/>
        <w:gridCol w:w="993"/>
        <w:gridCol w:w="6418"/>
      </w:tblGrid>
      <w:tr w:rsidR="008723E2">
        <w:tblPrEx>
          <w:tblCellMar>
            <w:top w:w="0" w:type="dxa"/>
            <w:bottom w:w="0" w:type="dxa"/>
          </w:tblCellMar>
        </w:tblPrEx>
        <w:tc>
          <w:tcPr>
            <w:tcW w:w="2802" w:type="dxa"/>
            <w:gridSpan w:val="3"/>
            <w:shd w:val="clear" w:color="auto" w:fill="auto"/>
          </w:tcPr>
          <w:p w:rsidR="008723E2" w:rsidRDefault="008723E2">
            <w:pPr>
              <w:keepNext/>
              <w:jc w:val="center"/>
              <w:outlineLvl w:val="0"/>
              <w:rPr>
                <w:rFonts w:ascii="Times New Roman" w:eastAsia="Times New Roman" w:hAnsi="Times New Roman"/>
                <w:b/>
                <w:sz w:val="26"/>
              </w:rPr>
            </w:pPr>
            <w:r>
              <w:rPr>
                <w:rFonts w:ascii="Times New Roman" w:eastAsia="Times New Roman" w:hAnsi="Times New Roman"/>
                <w:b/>
                <w:sz w:val="26"/>
              </w:rPr>
              <w:t xml:space="preserve"> BỘ XÂY DỰNG</w:t>
            </w:r>
          </w:p>
          <w:p w:rsidR="008723E2" w:rsidRDefault="008723E2">
            <w:pPr>
              <w:jc w:val="center"/>
              <w:rPr>
                <w:rFonts w:ascii="Times New Roman" w:eastAsia="Times New Roman" w:hAnsi="Times New Roman"/>
                <w:sz w:val="26"/>
              </w:rPr>
            </w:pPr>
          </w:p>
        </w:tc>
        <w:tc>
          <w:tcPr>
            <w:tcW w:w="6202" w:type="dxa"/>
            <w:shd w:val="clear" w:color="auto" w:fill="auto"/>
          </w:tcPr>
          <w:p w:rsidR="008723E2" w:rsidRDefault="008723E2">
            <w:pPr>
              <w:keepNext/>
              <w:jc w:val="center"/>
              <w:outlineLvl w:val="0"/>
              <w:rPr>
                <w:rFonts w:ascii="Times New Roman" w:eastAsia="Times New Roman" w:hAnsi="Times New Roman"/>
                <w:b/>
                <w:sz w:val="26"/>
              </w:rPr>
            </w:pPr>
            <w:r>
              <w:rPr>
                <w:rFonts w:ascii="Times New Roman" w:eastAsia="Times New Roman" w:hAnsi="Times New Roman"/>
                <w:b/>
                <w:sz w:val="26"/>
              </w:rPr>
              <w:t>CỘNG HOÀ XÃ HỘI CHỦ NGHĨA VIỆT NAM</w:t>
            </w:r>
          </w:p>
          <w:p w:rsidR="008723E2" w:rsidRDefault="008723E2">
            <w:pPr>
              <w:jc w:val="center"/>
              <w:rPr>
                <w:rFonts w:ascii="Times New Roman" w:eastAsia="Times New Roman" w:hAnsi="Times New Roman"/>
                <w:b/>
                <w:sz w:val="26"/>
              </w:rPr>
            </w:pPr>
            <w:r>
              <w:rPr>
                <w:rFonts w:ascii="Times New Roman" w:eastAsia="Times New Roman" w:hAnsi="Times New Roman"/>
                <w:b/>
                <w:sz w:val="26"/>
              </w:rPr>
              <w:t>Độc lập - Tự do - Hạnh phúc</w:t>
            </w:r>
          </w:p>
          <w:p w:rsidR="008723E2" w:rsidRDefault="008723E2">
            <w:pPr>
              <w:ind w:left="-108" w:firstLine="108"/>
              <w:jc w:val="center"/>
              <w:rPr>
                <w:rFonts w:ascii="Times New Roman" w:eastAsia="Times New Roman" w:hAnsi="Times New Roman"/>
                <w:sz w:val="26"/>
              </w:rPr>
            </w:pPr>
          </w:p>
        </w:tc>
      </w:tr>
      <w:tr w:rsidR="008723E2">
        <w:tblPrEx>
          <w:tblCellMar>
            <w:top w:w="0" w:type="dxa"/>
            <w:bottom w:w="0" w:type="dxa"/>
          </w:tblCellMar>
        </w:tblPrEx>
        <w:tc>
          <w:tcPr>
            <w:tcW w:w="2802" w:type="dxa"/>
            <w:gridSpan w:val="3"/>
            <w:shd w:val="clear" w:color="auto" w:fill="auto"/>
          </w:tcPr>
          <w:p w:rsidR="008723E2" w:rsidRDefault="008723E2">
            <w:pPr>
              <w:keepNext/>
              <w:jc w:val="center"/>
              <w:outlineLvl w:val="1"/>
              <w:rPr>
                <w:rFonts w:ascii="Times New Roman" w:eastAsia="Times New Roman" w:hAnsi="Times New Roman"/>
              </w:rPr>
            </w:pPr>
            <w:r>
              <w:rPr>
                <w:rFonts w:ascii="Times New Roman" w:eastAsia="Times New Roman" w:hAnsi="Times New Roman"/>
                <w:sz w:val="26"/>
              </w:rPr>
              <w:t>Số: 06/2018/TT-BXD</w:t>
            </w:r>
          </w:p>
        </w:tc>
        <w:tc>
          <w:tcPr>
            <w:tcW w:w="6202" w:type="dxa"/>
            <w:shd w:val="clear" w:color="auto" w:fill="auto"/>
          </w:tcPr>
          <w:p w:rsidR="008723E2" w:rsidRDefault="008723E2">
            <w:pPr>
              <w:keepNext/>
              <w:jc w:val="center"/>
              <w:outlineLvl w:val="5"/>
              <w:rPr>
                <w:rFonts w:ascii="Times New Roman" w:eastAsia="Times New Roman" w:hAnsi="Times New Roman"/>
                <w:i/>
              </w:rPr>
            </w:pPr>
            <w:r>
              <w:rPr>
                <w:rFonts w:ascii="Times New Roman" w:eastAsia="Times New Roman" w:hAnsi="Times New Roman"/>
                <w:i/>
              </w:rPr>
              <w:t>Hà Nội, ngày 08 tháng 8 năm 2018</w:t>
            </w:r>
          </w:p>
          <w:p w:rsidR="008723E2" w:rsidRDefault="008723E2">
            <w:pPr>
              <w:rPr>
                <w:rFonts w:ascii="Times New Roman" w:eastAsia="Times New Roman" w:hAnsi="Times New Roman"/>
              </w:rPr>
            </w:pPr>
          </w:p>
        </w:tc>
      </w:tr>
      <w:tr w:rsidR="008723E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bottom w:w="0" w:type="dxa"/>
          </w:tblCellMar>
        </w:tblPrEx>
        <w:trPr>
          <w:gridBefore w:val="1"/>
          <w:gridAfter w:val="2"/>
          <w:wBefore w:w="392" w:type="dxa"/>
          <w:wAfter w:w="7411" w:type="dxa"/>
          <w:trHeight w:val="391"/>
        </w:trPr>
        <w:tc>
          <w:tcPr>
            <w:tcW w:w="1417" w:type="dxa"/>
            <w:tcBorders>
              <w:top w:val="nil"/>
              <w:left w:val="nil"/>
              <w:bottom w:val="nil"/>
              <w:right w:val="nil"/>
            </w:tcBorders>
            <w:shd w:val="clear" w:color="auto" w:fill="auto"/>
          </w:tcPr>
          <w:p w:rsidR="008723E2" w:rsidRDefault="008723E2">
            <w:pPr>
              <w:jc w:val="center"/>
              <w:rPr>
                <w:rFonts w:ascii="Times New Roman" w:eastAsia="Times New Roman" w:hAnsi="Times New Roman"/>
                <w:b/>
              </w:rPr>
            </w:pPr>
          </w:p>
        </w:tc>
      </w:tr>
    </w:tbl>
    <w:p w:rsidR="008723E2" w:rsidRDefault="008723E2">
      <w:pPr>
        <w:spacing w:before="240" w:after="120"/>
        <w:jc w:val="center"/>
        <w:rPr>
          <w:rFonts w:ascii="Times New Roman" w:eastAsia="Times New Roman" w:hAnsi="Times New Roman"/>
          <w:b/>
        </w:rPr>
      </w:pPr>
      <w:r>
        <w:rPr>
          <w:rFonts w:ascii="Times New Roman" w:eastAsia="Times New Roman" w:hAnsi="Times New Roman"/>
          <w:b/>
        </w:rPr>
        <w:t>THÔNG TƯ</w:t>
      </w:r>
    </w:p>
    <w:p w:rsidR="008723E2" w:rsidRDefault="008723E2">
      <w:pPr>
        <w:jc w:val="center"/>
        <w:rPr>
          <w:rFonts w:ascii="Times New Roman" w:eastAsia="Times New Roman" w:hAnsi="Times New Roman"/>
          <w:b/>
        </w:rPr>
      </w:pPr>
      <w:r>
        <w:rPr>
          <w:rFonts w:ascii="Times New Roman" w:eastAsia="Times New Roman" w:hAnsi="Times New Roman"/>
          <w:b/>
        </w:rPr>
        <w:t>Ban hành Hệ thống chỉ tiêu thống kê ngành Xây dựng</w:t>
      </w:r>
    </w:p>
    <w:p w:rsidR="008723E2" w:rsidRDefault="008723E2">
      <w:pPr>
        <w:rPr>
          <w:rFonts w:ascii="Times New Roman" w:eastAsia="Times New Roman" w:hAnsi="Times New Roman"/>
          <w:b/>
          <w:sz w:val="26"/>
        </w:rPr>
      </w:pPr>
    </w:p>
    <w:p w:rsidR="008723E2" w:rsidRDefault="008723E2">
      <w:pPr>
        <w:spacing w:before="60" w:after="120"/>
        <w:ind w:firstLine="720"/>
        <w:jc w:val="both"/>
        <w:rPr>
          <w:rFonts w:ascii="Times New Roman" w:eastAsia="Times New Roman" w:hAnsi="Times New Roman"/>
          <w:i/>
        </w:rPr>
      </w:pPr>
      <w:r>
        <w:rPr>
          <w:rFonts w:ascii="Times New Roman" w:eastAsia="Times New Roman" w:hAnsi="Times New Roman"/>
          <w:i/>
        </w:rPr>
        <w:t>Căn cứ Luật Thống kê ngày 23/11/2015;</w:t>
      </w:r>
    </w:p>
    <w:p w:rsidR="008723E2" w:rsidRDefault="008723E2">
      <w:pPr>
        <w:spacing w:before="60" w:after="120"/>
        <w:ind w:firstLine="720"/>
        <w:jc w:val="both"/>
        <w:rPr>
          <w:rFonts w:ascii="Times New Roman" w:eastAsia="Times New Roman" w:hAnsi="Times New Roman"/>
          <w:i/>
        </w:rPr>
      </w:pPr>
      <w:r>
        <w:rPr>
          <w:rFonts w:ascii="Times New Roman" w:eastAsia="Times New Roman" w:hAnsi="Times New Roman"/>
          <w:i/>
        </w:rPr>
        <w:t>Căn cứ Nghị định số 94/2016/NĐ-CP ngày 01/7/2016 của Chính phủ quy định chi tiết và hướng dẫn thi hành một số điều của Luật Thống kê;</w:t>
      </w:r>
    </w:p>
    <w:p w:rsidR="008723E2" w:rsidRDefault="008723E2">
      <w:pPr>
        <w:spacing w:before="60" w:after="120"/>
        <w:ind w:firstLine="720"/>
        <w:jc w:val="both"/>
        <w:rPr>
          <w:rFonts w:ascii="Times New Roman" w:eastAsia="Times New Roman" w:hAnsi="Times New Roman"/>
          <w:i/>
        </w:rPr>
      </w:pPr>
      <w:r>
        <w:rPr>
          <w:rFonts w:ascii="Times New Roman" w:eastAsia="Times New Roman" w:hAnsi="Times New Roman"/>
          <w:i/>
        </w:rPr>
        <w:t>Căn cứ Nghị định số 97/2016/NĐ-CP ngày 01/7/2016 của Chính phủ quy định nội dung chỉ tiêu thống kê thuộc Hệ thống chỉ tiêu thống kê quốc gia;</w:t>
      </w:r>
    </w:p>
    <w:p w:rsidR="008723E2" w:rsidRDefault="008723E2">
      <w:pPr>
        <w:spacing w:before="60" w:after="120"/>
        <w:ind w:firstLine="720"/>
        <w:jc w:val="both"/>
        <w:rPr>
          <w:rFonts w:ascii="Times New Roman" w:eastAsia="Times New Roman" w:hAnsi="Times New Roman"/>
          <w:i/>
        </w:rPr>
      </w:pPr>
      <w:r>
        <w:rPr>
          <w:rFonts w:ascii="Times New Roman" w:eastAsia="Times New Roman" w:hAnsi="Times New Roman"/>
          <w:i/>
        </w:rPr>
        <w:t>Căn cứ Nghị định số 81/2017/NĐ-CP ngày 17/7/2017 của Chính phủ quy định chức năng, nhiệm vụ, quyền hạn và cơ cấu tổ chức của Bộ Xây dựng;</w:t>
      </w:r>
    </w:p>
    <w:p w:rsidR="008723E2" w:rsidRDefault="008723E2">
      <w:pPr>
        <w:spacing w:before="60" w:after="120"/>
        <w:ind w:firstLine="720"/>
        <w:jc w:val="both"/>
        <w:rPr>
          <w:rFonts w:ascii="Times New Roman" w:eastAsia="Times New Roman" w:hAnsi="Times New Roman"/>
          <w:i/>
        </w:rPr>
      </w:pPr>
      <w:r>
        <w:rPr>
          <w:rFonts w:ascii="Times New Roman" w:eastAsia="Times New Roman" w:hAnsi="Times New Roman"/>
          <w:i/>
        </w:rPr>
        <w:t>Căn cứ Nghị định số 85/2017/NĐ-CP ngày 19/7/2017 của Chính phủ quy định cơ cấu, nhiệm vụ, quyền hạn của hệ thống tổ chức thống kê tập trung và thống kê bộ, cơ quan ngang bộ;</w:t>
      </w:r>
    </w:p>
    <w:p w:rsidR="008723E2" w:rsidRDefault="008723E2">
      <w:pPr>
        <w:spacing w:before="60" w:after="120"/>
        <w:ind w:firstLine="720"/>
        <w:jc w:val="both"/>
        <w:rPr>
          <w:rFonts w:ascii="Times New Roman" w:eastAsia="Times New Roman" w:hAnsi="Times New Roman"/>
          <w:i/>
        </w:rPr>
      </w:pPr>
      <w:r>
        <w:rPr>
          <w:rFonts w:ascii="Times New Roman" w:eastAsia="Times New Roman" w:hAnsi="Times New Roman"/>
          <w:i/>
        </w:rPr>
        <w:t>Theo đề nghị của Vụ trưởng Vụ Kế hoạch-Tài chính;</w:t>
      </w:r>
    </w:p>
    <w:p w:rsidR="008723E2" w:rsidRDefault="008723E2">
      <w:pPr>
        <w:spacing w:before="60" w:after="360"/>
        <w:ind w:firstLine="720"/>
        <w:jc w:val="both"/>
        <w:rPr>
          <w:rFonts w:ascii="Times New Roman" w:eastAsia="Times New Roman" w:hAnsi="Times New Roman"/>
          <w:i/>
        </w:rPr>
      </w:pPr>
      <w:r>
        <w:rPr>
          <w:rFonts w:ascii="Times New Roman" w:eastAsia="Times New Roman" w:hAnsi="Times New Roman"/>
          <w:i/>
        </w:rPr>
        <w:t>Bộ trưởng Bộ Xây dựng ban hành Thông tư ban hành Hệ thống chỉ tiêu thống kê ngành Xây dựng.</w:t>
      </w:r>
    </w:p>
    <w:p w:rsidR="008723E2" w:rsidRDefault="008723E2">
      <w:pPr>
        <w:spacing w:before="60" w:after="60"/>
        <w:ind w:firstLine="720"/>
        <w:jc w:val="both"/>
        <w:rPr>
          <w:rFonts w:ascii="Times New Roman" w:eastAsia="Times New Roman" w:hAnsi="Times New Roman"/>
          <w:b/>
        </w:rPr>
      </w:pPr>
      <w:r>
        <w:rPr>
          <w:rFonts w:ascii="Times New Roman" w:eastAsia="Times New Roman" w:hAnsi="Times New Roman"/>
          <w:b/>
        </w:rPr>
        <w:t>Điều 1. Ban hành kèm theo Thông tư này Hệ thống chỉ tiêu thống kê ngành Xây dựng bao gồm:</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1. Danh mục chỉ tiêu thống kê ngành Xây dựng (Phụ lục I).</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2. Nội dung chỉ tiêu thống kê ngành Xây dựng (Phụ lục II).</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b/>
        </w:rPr>
        <w:t>Điều 2. Trách nhiệm thu thập tổng hợp và công bố thông tin</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1. Trách nhiệm của Bộ Xây dựng:</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a) Vụ Kế hoạch</w:t>
      </w:r>
      <w:r>
        <w:rPr>
          <w:rFonts w:ascii="Times New Roman" w:eastAsia="Times New Roman" w:hAnsi="Times New Roman"/>
          <w:b/>
        </w:rPr>
        <w:t>-</w:t>
      </w:r>
      <w:r>
        <w:rPr>
          <w:rFonts w:ascii="Times New Roman" w:eastAsia="Times New Roman" w:hAnsi="Times New Roman"/>
        </w:rPr>
        <w:t>Tài chính có trách nhiệm tổ chức phổ biến và công bố các chỉ tiêu trong Hệ thống chỉ tiêu thống kê ngành Xây dựng.</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 xml:space="preserve">b) Cục trưởng, Vụ trưởng, Viện trưởng các Cục, Vụ, Viện chức năng thuộc Bộ Xây dựng căn cứ vào nội dung Hệ thống chỉ tiêu thống kê có trách nhiệm thu thập, tổng hợp trên phạm vi cả nước những chỉ tiêu được phân công trong Hệ thống chỉ tiêu thống kê ngành Xây dựng, cung cấp cho Vụ Kế hoạch </w:t>
      </w:r>
      <w:r>
        <w:rPr>
          <w:rFonts w:ascii="Times New Roman" w:eastAsia="Times New Roman" w:hAnsi="Times New Roman"/>
          <w:b/>
        </w:rPr>
        <w:t>-</w:t>
      </w:r>
      <w:r>
        <w:rPr>
          <w:rFonts w:ascii="Times New Roman" w:eastAsia="Times New Roman" w:hAnsi="Times New Roman"/>
        </w:rPr>
        <w:t xml:space="preserve"> Tài chính tổng hợp chung và công bố. </w:t>
      </w:r>
    </w:p>
    <w:p w:rsidR="008723E2" w:rsidRDefault="008723E2">
      <w:pPr>
        <w:spacing w:before="60" w:after="60"/>
        <w:ind w:firstLine="720"/>
        <w:jc w:val="both"/>
        <w:rPr>
          <w:rFonts w:ascii="Times New Roman" w:eastAsia="Times New Roman" w:hAnsi="Times New Roman"/>
        </w:rPr>
      </w:pP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2. Trách nhiệm của Uỷ ban nhân dân các tỉnh, thành phố trực thuộc Trung ương:</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lastRenderedPageBreak/>
        <w:t>a) Giao Sở Xây dựng là cơ quan đầu mối tại địa phương chịu trách nhiệm thu thập, tổng hợp thông tin thống kê trên địa bàn phục vụ tính toán các chỉ tiêu thống kê trong Hệ thống chỉ tiêu thống kê ngành Xây dựng.</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rPr>
        <w:t>b) Chỉ đạo các Sở, ngành, phòng, ban và các cơ quan chuyên môn khác thuộc thẩm quyền quản lý thực hiện việc thu thập, tổng hợp các thông tin thống kê trên địa bàn thuộc lĩnh vực được phân công, cung cấp cho cơ quan quản lý nhà nước ngành Xây dựng cùng cấp.</w:t>
      </w:r>
    </w:p>
    <w:p w:rsidR="008723E2" w:rsidRDefault="008723E2">
      <w:pPr>
        <w:spacing w:before="60" w:after="60"/>
        <w:ind w:firstLine="720"/>
        <w:jc w:val="both"/>
        <w:rPr>
          <w:rFonts w:ascii="Times New Roman" w:eastAsia="Times New Roman" w:hAnsi="Times New Roman"/>
        </w:rPr>
      </w:pPr>
      <w:r>
        <w:rPr>
          <w:rFonts w:ascii="Times New Roman" w:eastAsia="Times New Roman" w:hAnsi="Times New Roman"/>
          <w:b/>
        </w:rPr>
        <w:t>Điều 3. Hiệu lực thi hành</w:t>
      </w:r>
      <w:r>
        <w:rPr>
          <w:rFonts w:ascii="Times New Roman" w:eastAsia="Times New Roman" w:hAnsi="Times New Roman"/>
        </w:rPr>
        <w:t xml:space="preserve"> </w:t>
      </w:r>
    </w:p>
    <w:p w:rsidR="008723E2" w:rsidRDefault="008723E2">
      <w:pPr>
        <w:spacing w:before="60" w:after="60"/>
        <w:ind w:firstLine="720"/>
        <w:jc w:val="both"/>
        <w:rPr>
          <w:rFonts w:ascii="Times New Roman" w:eastAsia="Times New Roman" w:hAnsi="Times New Roman"/>
          <w:b/>
        </w:rPr>
      </w:pPr>
      <w:r>
        <w:rPr>
          <w:rFonts w:ascii="Times New Roman" w:eastAsia="Times New Roman" w:hAnsi="Times New Roman"/>
        </w:rPr>
        <w:t>Thông tư này có hiệu lực kể từ ngày 25/9/2018 và thay thế Thông tư số 05/2012/TT</w:t>
      </w:r>
      <w:r>
        <w:rPr>
          <w:rFonts w:ascii="Times New Roman" w:eastAsia="Times New Roman" w:hAnsi="Times New Roman"/>
          <w:b/>
        </w:rPr>
        <w:t>-</w:t>
      </w:r>
      <w:r>
        <w:rPr>
          <w:rFonts w:ascii="Times New Roman" w:eastAsia="Times New Roman" w:hAnsi="Times New Roman"/>
        </w:rPr>
        <w:t>BXD ngày 10/10/2012 của Bộ trưởng Bộ Xây dựng ban hành Hệ thống chỉ tiêu thống kê ngành Xây dựng./.</w:t>
      </w:r>
    </w:p>
    <w:p w:rsidR="008723E2" w:rsidRDefault="008723E2">
      <w:pPr>
        <w:spacing w:after="120"/>
        <w:ind w:firstLine="720"/>
        <w:jc w:val="both"/>
        <w:rPr>
          <w:rFonts w:ascii="Times New Roman" w:eastAsia="Times New Roman" w:hAnsi="Times New Roman"/>
        </w:rPr>
      </w:pPr>
    </w:p>
    <w:tbl>
      <w:tblPr>
        <w:tblW w:w="9259" w:type="dxa"/>
        <w:tblInd w:w="250" w:type="dxa"/>
        <w:tblLook w:val="0000"/>
      </w:tblPr>
      <w:tblGrid>
        <w:gridCol w:w="4159"/>
        <w:gridCol w:w="5100"/>
      </w:tblGrid>
      <w:tr w:rsidR="008723E2">
        <w:tblPrEx>
          <w:tblCellMar>
            <w:top w:w="0" w:type="dxa"/>
            <w:bottom w:w="0" w:type="dxa"/>
          </w:tblCellMar>
        </w:tblPrEx>
        <w:tc>
          <w:tcPr>
            <w:tcW w:w="4159" w:type="dxa"/>
            <w:shd w:val="clear" w:color="auto" w:fill="auto"/>
          </w:tcPr>
          <w:p w:rsidR="008723E2" w:rsidRDefault="008723E2">
            <w:pPr>
              <w:jc w:val="both"/>
              <w:rPr>
                <w:rFonts w:ascii="Times New Roman" w:eastAsia="Times New Roman" w:hAnsi="Times New Roman"/>
                <w:b/>
                <w:i/>
                <w:sz w:val="24"/>
              </w:rPr>
            </w:pPr>
            <w:r>
              <w:rPr>
                <w:rFonts w:ascii="Times New Roman" w:eastAsia="Times New Roman" w:hAnsi="Times New Roman"/>
                <w:b/>
                <w:i/>
                <w:sz w:val="24"/>
              </w:rPr>
              <w:t>Nơi nhận:</w:t>
            </w:r>
          </w:p>
        </w:tc>
        <w:tc>
          <w:tcPr>
            <w:tcW w:w="5100" w:type="dxa"/>
            <w:shd w:val="clear" w:color="auto" w:fill="auto"/>
          </w:tcPr>
          <w:p w:rsidR="008723E2" w:rsidRDefault="008723E2">
            <w:pPr>
              <w:keepNext/>
              <w:jc w:val="center"/>
              <w:outlineLvl w:val="3"/>
              <w:rPr>
                <w:rFonts w:ascii="Times New Roman" w:eastAsia="Times New Roman" w:hAnsi="Times New Roman"/>
                <w:b/>
              </w:rPr>
            </w:pPr>
            <w:r>
              <w:rPr>
                <w:rFonts w:ascii="Times New Roman" w:eastAsia="Times New Roman" w:hAnsi="Times New Roman"/>
                <w:b/>
              </w:rPr>
              <w:t>KT.BỘ TRƯỞNG</w:t>
            </w:r>
          </w:p>
        </w:tc>
      </w:tr>
      <w:tr w:rsidR="008723E2">
        <w:tblPrEx>
          <w:tblCellMar>
            <w:top w:w="0" w:type="dxa"/>
            <w:bottom w:w="0" w:type="dxa"/>
          </w:tblCellMar>
        </w:tblPrEx>
        <w:tc>
          <w:tcPr>
            <w:tcW w:w="4159" w:type="dxa"/>
            <w:shd w:val="clear" w:color="auto" w:fill="auto"/>
          </w:tcPr>
          <w:p w:rsidR="008723E2" w:rsidRDefault="008723E2">
            <w:pPr>
              <w:jc w:val="both"/>
              <w:rPr>
                <w:rFonts w:ascii="Times New Roman" w:eastAsia="Times New Roman" w:hAnsi="Times New Roman"/>
                <w:sz w:val="22"/>
              </w:rPr>
            </w:pPr>
            <w:r>
              <w:rPr>
                <w:rFonts w:ascii="Times New Roman" w:eastAsia="Times New Roman" w:hAnsi="Times New Roman"/>
                <w:sz w:val="22"/>
              </w:rPr>
              <w:t>- Thủ tướng, các PTT Chính phủ;</w:t>
            </w:r>
          </w:p>
          <w:p w:rsidR="008723E2" w:rsidRDefault="008723E2">
            <w:pPr>
              <w:jc w:val="both"/>
              <w:rPr>
                <w:rFonts w:ascii="Times New Roman" w:eastAsia="Times New Roman" w:hAnsi="Times New Roman"/>
                <w:sz w:val="22"/>
              </w:rPr>
            </w:pPr>
            <w:r>
              <w:rPr>
                <w:rFonts w:ascii="Times New Roman" w:eastAsia="Times New Roman" w:hAnsi="Times New Roman"/>
                <w:sz w:val="22"/>
              </w:rPr>
              <w:t>- Các Bộ, cơ quan ngang Bộ, cơ quan thuộc Chính phủ;</w:t>
            </w:r>
          </w:p>
          <w:p w:rsidR="008723E2" w:rsidRDefault="008723E2">
            <w:pPr>
              <w:jc w:val="both"/>
              <w:rPr>
                <w:rFonts w:ascii="Times New Roman" w:eastAsia="Times New Roman" w:hAnsi="Times New Roman"/>
                <w:sz w:val="22"/>
              </w:rPr>
            </w:pPr>
            <w:r>
              <w:rPr>
                <w:rFonts w:ascii="Times New Roman" w:eastAsia="Times New Roman" w:hAnsi="Times New Roman"/>
                <w:sz w:val="22"/>
              </w:rPr>
              <w:t>- UBND các tỉnh, thành phố trực thuộc TW;</w:t>
            </w:r>
          </w:p>
          <w:p w:rsidR="008723E2" w:rsidRDefault="008723E2">
            <w:pPr>
              <w:jc w:val="both"/>
              <w:rPr>
                <w:rFonts w:ascii="Times New Roman" w:eastAsia="Times New Roman" w:hAnsi="Times New Roman"/>
                <w:color w:val="000000"/>
                <w:sz w:val="22"/>
              </w:rPr>
            </w:pPr>
            <w:r>
              <w:rPr>
                <w:rFonts w:ascii="Times New Roman" w:eastAsia="Times New Roman" w:hAnsi="Times New Roman"/>
                <w:color w:val="000000"/>
                <w:sz w:val="22"/>
              </w:rPr>
              <w:t>- Văn phòng Quốc hội;</w:t>
            </w:r>
            <w:r>
              <w:rPr>
                <w:rFonts w:ascii="Times New Roman" w:eastAsia="Times New Roman" w:hAnsi="Times New Roman"/>
                <w:color w:val="000000"/>
                <w:sz w:val="22"/>
              </w:rPr>
              <w:tab/>
            </w:r>
          </w:p>
          <w:p w:rsidR="008723E2" w:rsidRDefault="008723E2">
            <w:pPr>
              <w:jc w:val="both"/>
              <w:rPr>
                <w:rFonts w:ascii="Times New Roman" w:eastAsia="Times New Roman" w:hAnsi="Times New Roman"/>
                <w:color w:val="000000"/>
                <w:sz w:val="22"/>
              </w:rPr>
            </w:pPr>
            <w:r>
              <w:rPr>
                <w:rFonts w:ascii="Times New Roman" w:eastAsia="Times New Roman" w:hAnsi="Times New Roman"/>
                <w:color w:val="000000"/>
                <w:sz w:val="22"/>
              </w:rPr>
              <w:t>- Văn phòng Chính phủ;</w:t>
            </w:r>
            <w:r>
              <w:rPr>
                <w:rFonts w:ascii="Times New Roman" w:eastAsia="Times New Roman" w:hAnsi="Times New Roman"/>
                <w:color w:val="000000"/>
                <w:sz w:val="22"/>
              </w:rPr>
              <w:tab/>
            </w:r>
          </w:p>
          <w:p w:rsidR="008723E2" w:rsidRDefault="008723E2">
            <w:pPr>
              <w:jc w:val="both"/>
              <w:rPr>
                <w:rFonts w:ascii="Times New Roman" w:eastAsia="Times New Roman" w:hAnsi="Times New Roman"/>
                <w:color w:val="000000"/>
                <w:sz w:val="22"/>
              </w:rPr>
            </w:pPr>
            <w:r>
              <w:rPr>
                <w:rFonts w:ascii="Times New Roman" w:eastAsia="Times New Roman" w:hAnsi="Times New Roman"/>
                <w:color w:val="000000"/>
                <w:sz w:val="22"/>
              </w:rPr>
              <w:t>- Văn phòng Chủ tịch nước;</w:t>
            </w:r>
          </w:p>
          <w:p w:rsidR="008723E2" w:rsidRDefault="008723E2">
            <w:pPr>
              <w:jc w:val="both"/>
              <w:rPr>
                <w:rFonts w:ascii="Times New Roman" w:eastAsia="Times New Roman" w:hAnsi="Times New Roman"/>
                <w:color w:val="000000"/>
                <w:sz w:val="22"/>
              </w:rPr>
            </w:pPr>
            <w:r>
              <w:rPr>
                <w:rFonts w:ascii="Times New Roman" w:eastAsia="Times New Roman" w:hAnsi="Times New Roman"/>
                <w:color w:val="000000"/>
                <w:sz w:val="22"/>
              </w:rPr>
              <w:t>- Văn phòng TW Đảng;</w:t>
            </w:r>
          </w:p>
          <w:p w:rsidR="008723E2" w:rsidRDefault="008723E2">
            <w:pPr>
              <w:jc w:val="both"/>
              <w:rPr>
                <w:rFonts w:ascii="Times New Roman" w:eastAsia="Times New Roman" w:hAnsi="Times New Roman"/>
                <w:color w:val="000000"/>
                <w:sz w:val="22"/>
              </w:rPr>
            </w:pPr>
            <w:r>
              <w:rPr>
                <w:rFonts w:ascii="Times New Roman" w:eastAsia="Times New Roman" w:hAnsi="Times New Roman"/>
                <w:color w:val="000000"/>
                <w:sz w:val="22"/>
              </w:rPr>
              <w:t>- Viện Kiểm sát nhân dân tối cao;</w:t>
            </w:r>
            <w:r>
              <w:rPr>
                <w:rFonts w:ascii="Times New Roman" w:eastAsia="Times New Roman" w:hAnsi="Times New Roman"/>
                <w:color w:val="000000"/>
                <w:sz w:val="22"/>
              </w:rPr>
              <w:tab/>
            </w:r>
          </w:p>
          <w:p w:rsidR="008723E2" w:rsidRDefault="008723E2">
            <w:pPr>
              <w:jc w:val="both"/>
              <w:rPr>
                <w:rFonts w:ascii="Times New Roman" w:eastAsia="Times New Roman" w:hAnsi="Times New Roman"/>
                <w:sz w:val="22"/>
              </w:rPr>
            </w:pPr>
            <w:r>
              <w:rPr>
                <w:rFonts w:ascii="Times New Roman" w:eastAsia="Times New Roman" w:hAnsi="Times New Roman"/>
                <w:color w:val="000000"/>
                <w:sz w:val="22"/>
              </w:rPr>
              <w:t>- Toà án nhân dân tối cao;</w:t>
            </w:r>
          </w:p>
          <w:p w:rsidR="008723E2" w:rsidRDefault="008723E2">
            <w:pPr>
              <w:jc w:val="both"/>
              <w:rPr>
                <w:rFonts w:ascii="Times New Roman" w:eastAsia="Times New Roman" w:hAnsi="Times New Roman"/>
                <w:color w:val="000000"/>
                <w:sz w:val="22"/>
              </w:rPr>
            </w:pPr>
            <w:r>
              <w:rPr>
                <w:color w:val="000000"/>
                <w:sz w:val="22"/>
              </w:rPr>
              <w:t>- T</w:t>
            </w:r>
            <w:r>
              <w:rPr>
                <w:rFonts w:ascii="Times New Roman" w:eastAsia="Times New Roman" w:hAnsi="Times New Roman"/>
                <w:color w:val="000000"/>
                <w:sz w:val="22"/>
              </w:rPr>
              <w:t>ổng cục Thống kê (Bộ KH&amp;ĐT);</w:t>
            </w:r>
          </w:p>
          <w:p w:rsidR="008723E2" w:rsidRDefault="008723E2">
            <w:pPr>
              <w:jc w:val="both"/>
              <w:rPr>
                <w:rFonts w:ascii="Times New Roman" w:eastAsia="Times New Roman" w:hAnsi="Times New Roman"/>
                <w:sz w:val="22"/>
              </w:rPr>
            </w:pPr>
            <w:r>
              <w:rPr>
                <w:rFonts w:ascii="Times New Roman" w:eastAsia="Times New Roman" w:hAnsi="Times New Roman"/>
                <w:sz w:val="22"/>
              </w:rPr>
              <w:t>- Cục Kiểm tra văn bản (Bộ Tư pháp);</w:t>
            </w:r>
          </w:p>
          <w:p w:rsidR="008723E2" w:rsidRDefault="008723E2">
            <w:pPr>
              <w:jc w:val="both"/>
              <w:rPr>
                <w:rFonts w:ascii="Times New Roman" w:eastAsia="Times New Roman" w:hAnsi="Times New Roman"/>
                <w:sz w:val="22"/>
              </w:rPr>
            </w:pPr>
            <w:r>
              <w:rPr>
                <w:rFonts w:ascii="Times New Roman" w:eastAsia="Times New Roman" w:hAnsi="Times New Roman"/>
                <w:sz w:val="22"/>
              </w:rPr>
              <w:t>- Sở XD các tỉnh, thành phố trực thuộc TW;</w:t>
            </w:r>
          </w:p>
          <w:p w:rsidR="008723E2" w:rsidRDefault="008723E2">
            <w:pPr>
              <w:jc w:val="both"/>
              <w:rPr>
                <w:rFonts w:ascii="Times New Roman" w:eastAsia="Times New Roman" w:hAnsi="Times New Roman"/>
                <w:sz w:val="22"/>
              </w:rPr>
            </w:pPr>
            <w:r>
              <w:rPr>
                <w:rFonts w:ascii="Times New Roman" w:eastAsia="Times New Roman" w:hAnsi="Times New Roman"/>
                <w:sz w:val="22"/>
              </w:rPr>
              <w:t>- Sở QHKT TP Hà Nội; TP Hồ Chí Minh;</w:t>
            </w:r>
          </w:p>
          <w:p w:rsidR="008723E2" w:rsidRDefault="008723E2">
            <w:pPr>
              <w:jc w:val="both"/>
              <w:rPr>
                <w:rFonts w:ascii="Times New Roman" w:eastAsia="Times New Roman" w:hAnsi="Times New Roman"/>
                <w:sz w:val="22"/>
              </w:rPr>
            </w:pPr>
            <w:r>
              <w:rPr>
                <w:rFonts w:ascii="Times New Roman" w:eastAsia="Times New Roman" w:hAnsi="Times New Roman"/>
                <w:sz w:val="22"/>
              </w:rPr>
              <w:t>- Các Cục, Vụ, Viện, Thanh tra Bộ,</w:t>
            </w:r>
          </w:p>
          <w:p w:rsidR="008723E2" w:rsidRDefault="008723E2">
            <w:pPr>
              <w:jc w:val="both"/>
              <w:rPr>
                <w:rFonts w:ascii="Times New Roman" w:eastAsia="Times New Roman" w:hAnsi="Times New Roman"/>
                <w:sz w:val="22"/>
              </w:rPr>
            </w:pPr>
            <w:r>
              <w:rPr>
                <w:rFonts w:ascii="Times New Roman" w:eastAsia="Times New Roman" w:hAnsi="Times New Roman"/>
                <w:sz w:val="22"/>
              </w:rPr>
              <w:t xml:space="preserve"> Trung tâm thông tin thuộc Bộ Xây dựng;</w:t>
            </w:r>
          </w:p>
          <w:p w:rsidR="008723E2" w:rsidRDefault="008723E2">
            <w:pPr>
              <w:jc w:val="both"/>
              <w:rPr>
                <w:rFonts w:ascii="Times New Roman" w:eastAsia="Times New Roman" w:hAnsi="Times New Roman"/>
                <w:sz w:val="22"/>
              </w:rPr>
            </w:pPr>
            <w:r>
              <w:rPr>
                <w:rFonts w:ascii="Times New Roman" w:eastAsia="Times New Roman" w:hAnsi="Times New Roman"/>
                <w:sz w:val="22"/>
              </w:rPr>
              <w:t>- Công báo; Website của Chính phủ;</w:t>
            </w:r>
          </w:p>
          <w:p w:rsidR="008723E2" w:rsidRDefault="008723E2">
            <w:pPr>
              <w:jc w:val="both"/>
              <w:rPr>
                <w:rFonts w:ascii="Times New Roman" w:eastAsia="Times New Roman" w:hAnsi="Times New Roman"/>
                <w:sz w:val="22"/>
              </w:rPr>
            </w:pPr>
            <w:r>
              <w:rPr>
                <w:rFonts w:ascii="Times New Roman" w:eastAsia="Times New Roman" w:hAnsi="Times New Roman"/>
                <w:sz w:val="22"/>
              </w:rPr>
              <w:t>- Website của Bộ Xây dựng;</w:t>
            </w:r>
          </w:p>
          <w:p w:rsidR="008723E2" w:rsidRDefault="008723E2">
            <w:pPr>
              <w:jc w:val="both"/>
              <w:rPr>
                <w:rFonts w:ascii="Times New Roman" w:eastAsia="Times New Roman" w:hAnsi="Times New Roman"/>
                <w:sz w:val="22"/>
              </w:rPr>
            </w:pPr>
            <w:r>
              <w:rPr>
                <w:rFonts w:ascii="Times New Roman" w:eastAsia="Times New Roman" w:hAnsi="Times New Roman"/>
                <w:sz w:val="22"/>
              </w:rPr>
              <w:t>- Lưu: VT, KHTC (05b).</w:t>
            </w:r>
          </w:p>
          <w:p w:rsidR="008723E2" w:rsidRDefault="008723E2">
            <w:pPr>
              <w:jc w:val="both"/>
              <w:rPr>
                <w:rFonts w:ascii="Times New Roman" w:eastAsia="Times New Roman" w:hAnsi="Times New Roman"/>
              </w:rPr>
            </w:pPr>
          </w:p>
        </w:tc>
        <w:tc>
          <w:tcPr>
            <w:tcW w:w="5100" w:type="dxa"/>
            <w:shd w:val="clear" w:color="auto" w:fill="auto"/>
          </w:tcPr>
          <w:p w:rsidR="008723E2" w:rsidRDefault="008723E2">
            <w:pPr>
              <w:jc w:val="center"/>
              <w:rPr>
                <w:rFonts w:ascii="Times New Roman" w:eastAsia="Times New Roman" w:hAnsi="Times New Roman"/>
                <w:b/>
              </w:rPr>
            </w:pPr>
            <w:r>
              <w:rPr>
                <w:rFonts w:ascii="Times New Roman" w:eastAsia="Times New Roman" w:hAnsi="Times New Roman"/>
                <w:b/>
              </w:rPr>
              <w:t>THỨ TRƯỞNG</w:t>
            </w:r>
          </w:p>
          <w:p w:rsidR="008723E2" w:rsidRDefault="008723E2">
            <w:pPr>
              <w:jc w:val="center"/>
              <w:rPr>
                <w:rFonts w:ascii="Times New Roman" w:eastAsia="Times New Roman" w:hAnsi="Times New Roman"/>
                <w:b/>
              </w:rPr>
            </w:pPr>
          </w:p>
          <w:p w:rsidR="008723E2" w:rsidRDefault="008723E2">
            <w:pPr>
              <w:jc w:val="center"/>
              <w:rPr>
                <w:rFonts w:ascii="Times New Roman" w:eastAsia="Times New Roman" w:hAnsi="Times New Roman"/>
                <w:b/>
              </w:rPr>
            </w:pPr>
          </w:p>
          <w:p w:rsidR="008723E2" w:rsidRDefault="008723E2">
            <w:pPr>
              <w:jc w:val="center"/>
              <w:rPr>
                <w:rFonts w:ascii="Times New Roman" w:eastAsia="Times New Roman" w:hAnsi="Times New Roman"/>
                <w:b/>
              </w:rPr>
            </w:pPr>
          </w:p>
          <w:p w:rsidR="008723E2" w:rsidRDefault="008723E2">
            <w:pPr>
              <w:jc w:val="center"/>
              <w:rPr>
                <w:rFonts w:ascii="Times New Roman" w:eastAsia="Times New Roman" w:hAnsi="Times New Roman"/>
                <w:b/>
              </w:rPr>
            </w:pPr>
          </w:p>
          <w:p w:rsidR="008723E2" w:rsidRDefault="008723E2">
            <w:pPr>
              <w:jc w:val="center"/>
              <w:rPr>
                <w:rFonts w:ascii="Times New Roman" w:eastAsia="Times New Roman" w:hAnsi="Times New Roman"/>
                <w:b/>
              </w:rPr>
            </w:pPr>
          </w:p>
          <w:p w:rsidR="008723E2" w:rsidRDefault="008723E2">
            <w:pPr>
              <w:jc w:val="center"/>
              <w:rPr>
                <w:rFonts w:ascii="Times New Roman" w:eastAsia="Times New Roman" w:hAnsi="Times New Roman"/>
                <w:b/>
              </w:rPr>
            </w:pPr>
          </w:p>
          <w:p w:rsidR="008723E2" w:rsidRDefault="008723E2">
            <w:pPr>
              <w:jc w:val="center"/>
              <w:rPr>
                <w:rFonts w:ascii="Times New Roman" w:eastAsia="Times New Roman" w:hAnsi="Times New Roman"/>
              </w:rPr>
            </w:pPr>
          </w:p>
          <w:p w:rsidR="008723E2" w:rsidRDefault="008723E2">
            <w:pPr>
              <w:jc w:val="center"/>
              <w:rPr>
                <w:rFonts w:ascii="Times New Roman" w:eastAsia="Times New Roman" w:hAnsi="Times New Roman"/>
                <w:b/>
              </w:rPr>
            </w:pPr>
            <w:r>
              <w:rPr>
                <w:rFonts w:ascii="Times New Roman" w:eastAsia="Times New Roman" w:hAnsi="Times New Roman"/>
                <w:b/>
              </w:rPr>
              <w:t>Bùi Phạm Khánh</w:t>
            </w:r>
          </w:p>
        </w:tc>
      </w:tr>
    </w:tbl>
    <w:p w:rsidR="008723E2" w:rsidRDefault="008723E2">
      <w:pPr>
        <w:spacing w:line="288" w:lineRule="auto"/>
        <w:ind w:firstLine="720"/>
        <w:jc w:val="both"/>
        <w:rPr>
          <w:rFonts w:ascii="Times New Roman" w:eastAsia="Times New Roman" w:hAnsi="Times New Roman"/>
          <w:b/>
          <w:sz w:val="26"/>
        </w:rPr>
      </w:pPr>
    </w:p>
    <w:sectPr w:rsidR="008723E2">
      <w:footerReference w:type="even" r:id="rId7"/>
      <w:footerReference w:type="default" r:id="rId8"/>
      <w:type w:val="continuous"/>
      <w:pgSz w:w="11907" w:h="16840"/>
      <w:pgMar w:top="1134" w:right="1134" w:bottom="1134" w:left="1701"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6A84" w:rsidRDefault="00F76A84">
      <w:r>
        <w:separator/>
      </w:r>
    </w:p>
  </w:endnote>
  <w:endnote w:type="continuationSeparator" w:id="1">
    <w:p w:rsidR="00F76A84" w:rsidRDefault="00F76A8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23E2" w:rsidRDefault="008723E2">
    <w:pPr>
      <w:pStyle w:val="Footer"/>
      <w:framePr w:wrap="around" w:vAnchor="text" w:hAnchor="margin" w:xAlign="center" w:y="1"/>
      <w:rPr>
        <w:rStyle w:val="PageNumber"/>
      </w:rPr>
    </w:pPr>
    <w:r>
      <w:fldChar w:fldCharType="begin"/>
    </w:r>
    <w:r>
      <w:rPr>
        <w:rStyle w:val="PageNumber"/>
      </w:rPr>
      <w:instrText xml:space="preserve">PAGE  </w:instrText>
    </w:r>
    <w:r>
      <w:rPr>
        <w:rStyle w:val="PageNumber"/>
      </w:rPr>
      <w:fldChar w:fldCharType="separate"/>
    </w:r>
    <w:r>
      <w:rPr>
        <w:rStyle w:val="PageNumber"/>
      </w:rPr>
      <w:t>#</w:t>
    </w:r>
    <w:r>
      <w:rPr>
        <w:rStyle w:val="PageNumber"/>
      </w:rPr>
      <w:fldChar w:fldCharType="end"/>
    </w:r>
  </w:p>
  <w:p w:rsidR="008723E2" w:rsidRDefault="008723E2">
    <w:pPr>
      <w:pStyle w:val="Footer"/>
      <w:rPr>
        <w:rStyle w:val="PageNumbe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23E2" w:rsidRDefault="008723E2">
    <w:pPr>
      <w:pStyle w:val="Footer"/>
      <w:framePr w:wrap="around" w:vAnchor="text" w:hAnchor="margin" w:xAlign="center" w:y="1"/>
      <w:rPr>
        <w:rStyle w:val="PageNumber"/>
      </w:rPr>
    </w:pPr>
    <w:r>
      <w:fldChar w:fldCharType="begin"/>
    </w:r>
    <w:r>
      <w:rPr>
        <w:rStyle w:val="PageNumber"/>
      </w:rPr>
      <w:instrText xml:space="preserve">PAGE  </w:instrText>
    </w:r>
    <w:r>
      <w:rPr>
        <w:rStyle w:val="PageNumber"/>
      </w:rPr>
      <w:fldChar w:fldCharType="separate"/>
    </w:r>
    <w:r w:rsidR="00BE0FA3">
      <w:rPr>
        <w:rStyle w:val="PageNumber"/>
        <w:noProof/>
      </w:rPr>
      <w:t>1</w:t>
    </w:r>
    <w:r>
      <w:rPr>
        <w:rStyle w:val="PageNumber"/>
      </w:rPr>
      <w:fldChar w:fldCharType="end"/>
    </w:r>
  </w:p>
  <w:p w:rsidR="008723E2" w:rsidRDefault="008723E2">
    <w:pPr>
      <w:pStyle w:val="Footer"/>
      <w:rPr>
        <w:rStyle w:val="PageNumb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6A84" w:rsidRDefault="00F76A84">
      <w:r>
        <w:separator/>
      </w:r>
    </w:p>
  </w:footnote>
  <w:footnote w:type="continuationSeparator" w:id="1">
    <w:p w:rsidR="00F76A84" w:rsidRDefault="00F76A8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8F26ED"/>
    <w:multiLevelType w:val="multilevel"/>
    <w:tmpl w:val="032360A9"/>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3BD733A"/>
    <w:multiLevelType w:val="multilevel"/>
    <w:tmpl w:val="01F6872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4477E58"/>
    <w:multiLevelType w:val="multilevel"/>
    <w:tmpl w:val="00A38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81962B2"/>
    <w:multiLevelType w:val="multilevel"/>
    <w:tmpl w:val="01A48875"/>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footnotePr>
    <w:footnote w:id="0"/>
    <w:footnote w:id="1"/>
  </w:footnotePr>
  <w:endnotePr>
    <w:endnote w:id="0"/>
    <w:endnote w:id="1"/>
  </w:endnotePr>
  <w:compat>
    <w:adjustLineHeightInTable/>
  </w:compat>
  <w:rsids>
    <w:rsidRoot w:val="00AF3D94"/>
    <w:rsid w:val="008723E2"/>
    <w:rsid w:val="00AF3D94"/>
    <w:rsid w:val="00BE0FA3"/>
    <w:rsid w:val="00F76A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black" strokecolor="black" shadowcolor="black" extrusioncolor="black"/>
    </o:shapedefaults>
    <o:shapelayout v:ext="edit">
      <o:idmap v:ext="edit" data="1,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 w:qFormat="1"/>
    <w:lsdException w:name="footnote text" w:uiPriority="9" w:qFormat="1"/>
    <w:lsdException w:name="annotation text" w:uiPriority="9" w:qFormat="1"/>
    <w:lsdException w:name="header" w:uiPriority="9" w:qFormat="1"/>
    <w:lsdException w:name="footer" w:uiPriority="9" w:qFormat="1"/>
    <w:lsdException w:name="index heading" w:uiPriority="9" w:qFormat="1"/>
    <w:lsdException w:name="caption" w:semiHidden="1" w:uiPriority="9" w:unhideWhenUsed="1" w:qFormat="1"/>
    <w:lsdException w:name="table of figures" w:uiPriority="9" w:qFormat="1"/>
    <w:lsdException w:name="envelope address" w:uiPriority="9" w:qFormat="1"/>
    <w:lsdException w:name="envelope return" w:uiPriority="9" w:qFormat="1"/>
    <w:lsdException w:name="footnote reference" w:uiPriority="9" w:qFormat="1"/>
    <w:lsdException w:name="annotation reference" w:uiPriority="9" w:qFormat="1"/>
    <w:lsdException w:name="line number" w:uiPriority="9" w:qFormat="1"/>
    <w:lsdException w:name="page number" w:uiPriority="9" w:qFormat="1"/>
    <w:lsdException w:name="endnote reference" w:uiPriority="9" w:qFormat="1"/>
    <w:lsdException w:name="endnote text" w:uiPriority="9" w:qFormat="1"/>
    <w:lsdException w:name="table of authorities" w:uiPriority="9" w:qFormat="1"/>
    <w:lsdException w:name="macro" w:uiPriority="9" w:qFormat="1"/>
    <w:lsdException w:name="toa heading" w:uiPriority="9" w:qFormat="1"/>
    <w:lsdException w:name="List" w:uiPriority="9" w:qFormat="1"/>
    <w:lsdException w:name="List Bullet" w:uiPriority="9" w:qFormat="1"/>
    <w:lsdException w:name="List Number" w:uiPriority="9" w:qFormat="1"/>
    <w:lsdException w:name="List 2" w:uiPriority="9" w:qFormat="1"/>
    <w:lsdException w:name="List 3" w:uiPriority="9" w:qFormat="1"/>
    <w:lsdException w:name="List 4" w:uiPriority="9" w:qFormat="1"/>
    <w:lsdException w:name="List 5" w:uiPriority="9" w:qFormat="1"/>
    <w:lsdException w:name="List Bullet 2" w:uiPriority="9" w:qFormat="1"/>
    <w:lsdException w:name="List Bullet 3" w:uiPriority="9" w:qFormat="1"/>
    <w:lsdException w:name="List Bullet 4" w:uiPriority="9" w:qFormat="1"/>
    <w:lsdException w:name="List Bullet 5" w:uiPriority="9" w:qFormat="1"/>
    <w:lsdException w:name="List Number 2" w:uiPriority="9" w:qFormat="1"/>
    <w:lsdException w:name="List Number 3" w:uiPriority="9" w:qFormat="1"/>
    <w:lsdException w:name="List Number 4" w:uiPriority="9" w:qFormat="1"/>
    <w:lsdException w:name="List Number 5" w:uiPriority="9" w:qFormat="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eastAsia=".VnTime" w:hAnsi=".VnTime"/>
      <w:sz w:val="28"/>
    </w:rPr>
  </w:style>
  <w:style w:type="paragraph" w:styleId="Heading1">
    <w:name w:val="heading 1"/>
    <w:basedOn w:val="Normal"/>
    <w:next w:val="Normal"/>
    <w:qFormat/>
    <w:pPr>
      <w:keepNext/>
      <w:jc w:val="center"/>
      <w:outlineLvl w:val="0"/>
    </w:pPr>
    <w:rPr>
      <w:rFonts w:ascii=".VnTimeH" w:eastAsia=".VnTimeH" w:hAnsi=".VnTimeH"/>
      <w:b/>
      <w:sz w:val="26"/>
    </w:rPr>
  </w:style>
  <w:style w:type="paragraph" w:styleId="Heading10">
    <w:name w:val="heading 1"/>
    <w:basedOn w:val="Normal"/>
    <w:next w:val="Normal"/>
    <w:qFormat/>
    <w:pPr>
      <w:keepNext/>
      <w:jc w:val="center"/>
      <w:outlineLvl w:val="1"/>
    </w:pPr>
  </w:style>
  <w:style w:type="paragraph" w:styleId="Heading11">
    <w:name w:val="heading 1"/>
    <w:basedOn w:val="Normal"/>
    <w:next w:val="Normal"/>
    <w:qFormat/>
    <w:pPr>
      <w:keepNext/>
      <w:jc w:val="center"/>
      <w:outlineLvl w:val="2"/>
    </w:pPr>
    <w:rPr>
      <w:i/>
    </w:rPr>
  </w:style>
  <w:style w:type="paragraph" w:styleId="Heading12">
    <w:name w:val="heading 1"/>
    <w:basedOn w:val="Normal"/>
    <w:next w:val="Normal"/>
    <w:qFormat/>
    <w:pPr>
      <w:keepNext/>
      <w:outlineLvl w:val="3"/>
    </w:pPr>
    <w:rPr>
      <w:rFonts w:ascii=".VnTimeH" w:eastAsia=".VnTimeH" w:hAnsi=".VnTimeH"/>
    </w:rPr>
  </w:style>
  <w:style w:type="paragraph" w:styleId="Heading13">
    <w:name w:val="heading 1"/>
    <w:basedOn w:val="Normal"/>
    <w:next w:val="Normal"/>
    <w:qFormat/>
    <w:pPr>
      <w:keepNext/>
      <w:jc w:val="center"/>
      <w:outlineLvl w:val="4"/>
    </w:pPr>
    <w:rPr>
      <w:b/>
    </w:rPr>
  </w:style>
  <w:style w:type="paragraph" w:styleId="Heading14">
    <w:name w:val="heading 1"/>
    <w:basedOn w:val="Normal"/>
    <w:next w:val="Normal"/>
    <w:qFormat/>
    <w:pPr>
      <w:keepNext/>
      <w:jc w:val="right"/>
      <w:outlineLvl w:val="5"/>
    </w:pPr>
    <w:rPr>
      <w:i/>
      <w:sz w:val="26"/>
    </w:rPr>
  </w:style>
  <w:style w:type="paragraph" w:styleId="Heading15">
    <w:name w:val="heading 1"/>
    <w:basedOn w:val="Normal"/>
    <w:next w:val="Normal"/>
    <w:qFormat/>
    <w:pPr>
      <w:keepNext/>
      <w:outlineLvl w:val="6"/>
    </w:pPr>
    <w:rPr>
      <w:b/>
    </w:rPr>
  </w:style>
  <w:style w:type="character" w:default="1" w:styleId="DefaultParagraphFont">
    <w:name w:val="Default Paragraph Font"/>
    <w:rPr>
      <w:rFonts w:ascii="Tahoma" w:eastAsia="Tahoma" w:hAnsi="Tahoma"/>
      <w:sz w:val="20"/>
    </w:rPr>
  </w:style>
  <w:style w:type="table" w:default="1" w:styleId="TableNormal">
    <w:name w:val="Normal Table"/>
    <w:next w:val="Normal"/>
    <w:rPr>
      <w:sz w:val="28"/>
    </w:rPr>
    <w:tblPr>
      <w:tblInd w:w="0" w:type="dxa"/>
      <w:tblCellMar>
        <w:top w:w="0" w:type="dxa"/>
        <w:left w:w="108" w:type="dxa"/>
        <w:bottom w:w="0" w:type="dxa"/>
        <w:right w:w="108" w:type="dxa"/>
      </w:tblCellMar>
    </w:tblPr>
  </w:style>
  <w:style w:type="numbering" w:default="1" w:styleId="NoList">
    <w:name w:val="No List"/>
    <w:next w:val="Normal"/>
  </w:style>
  <w:style w:type="paragraph" w:styleId="Footer">
    <w:name w:val="footer"/>
    <w:basedOn w:val="Normal"/>
    <w:pPr>
      <w:tabs>
        <w:tab w:val="center" w:pos="4320"/>
        <w:tab w:val="right" w:pos="8640"/>
      </w:tabs>
    </w:pPr>
    <w:rPr>
      <w:rFonts w:ascii="Times New Roman" w:eastAsia="Times New Roman" w:hAnsi="Times New Roman"/>
      <w:sz w:val="20"/>
    </w:rPr>
  </w:style>
  <w:style w:type="paragraph" w:styleId="BodyText3">
    <w:name w:val="Body Text 3"/>
    <w:basedOn w:val="Normal"/>
    <w:pPr>
      <w:jc w:val="both"/>
    </w:pPr>
  </w:style>
  <w:style w:type="paragraph" w:styleId="BodyTextIndent3">
    <w:name w:val="Body Text Indent 3"/>
    <w:basedOn w:val="Normal"/>
    <w:pPr>
      <w:ind w:firstLine="709"/>
      <w:jc w:val="both"/>
    </w:pPr>
  </w:style>
  <w:style w:type="paragraph" w:styleId="BodyText">
    <w:name w:val="Body Text"/>
    <w:basedOn w:val="Normal"/>
    <w:rPr>
      <w:rFonts w:ascii=".VnTimeH" w:eastAsia=".VnTimeH" w:hAnsi=".VnTimeH"/>
      <w:sz w:val="26"/>
    </w:rPr>
  </w:style>
  <w:style w:type="paragraph" w:styleId="BodyTextIndent">
    <w:name w:val="Body Text Indent"/>
    <w:basedOn w:val="Normal"/>
    <w:pPr>
      <w:ind w:hanging="108"/>
    </w:pPr>
  </w:style>
  <w:style w:type="paragraph" w:styleId="BalloonText">
    <w:name w:val="Balloon Text"/>
    <w:basedOn w:val="Normal"/>
    <w:rPr>
      <w:rFonts w:ascii="Tahoma" w:eastAsia="Tahoma" w:hAnsi="Tahoma"/>
      <w:sz w:val="16"/>
    </w:rPr>
  </w:style>
  <w:style w:type="paragraph" w:customStyle="1" w:styleId="CharCharCharChar">
    <w:name w:val="Char Char Char Char"/>
    <w:basedOn w:val="Normal"/>
    <w:link w:val="DefaultParagraphFont"/>
    <w:pPr>
      <w:pageBreakBefore/>
      <w:spacing w:before="100" w:beforeAutospacing="1" w:after="100" w:afterAutospacing="1"/>
      <w:jc w:val="both"/>
    </w:pPr>
    <w:rPr>
      <w:rFonts w:ascii="Tahoma" w:eastAsia="Tahoma" w:hAnsi="Tahoma"/>
      <w:sz w:val="20"/>
    </w:rPr>
  </w:style>
  <w:style w:type="paragraph" w:styleId="Header">
    <w:name w:val="header"/>
    <w:basedOn w:val="Normal"/>
    <w:pPr>
      <w:tabs>
        <w:tab w:val="center" w:pos="4513"/>
        <w:tab w:val="right" w:pos="9026"/>
      </w:tabs>
    </w:pPr>
  </w:style>
  <w:style w:type="character" w:styleId="LineNumber">
    <w:name w:val="line number"/>
    <w:basedOn w:val="DefaultParagraphFont"/>
    <w:rPr>
      <w:sz w:val="28"/>
    </w:rPr>
  </w:style>
  <w:style w:type="character" w:styleId="Hyperlink">
    <w:name w:val="Hyperlink"/>
    <w:rPr>
      <w:color w:val="0000FF"/>
      <w:sz w:val="28"/>
      <w:u w:val="single"/>
    </w:rPr>
  </w:style>
  <w:style w:type="character" w:customStyle="1" w:styleId="HeaderChar">
    <w:name w:val="Header Char"/>
    <w:rPr>
      <w:sz w:val="28"/>
    </w:rPr>
  </w:style>
  <w:style w:type="character" w:customStyle="1" w:styleId="FooterChar">
    <w:name w:val="Footer Char"/>
    <w:rPr>
      <w:rFonts w:ascii="Times New Roman" w:eastAsia="Times New Roman" w:hAnsi="Times New Roman"/>
      <w:sz w:val="20"/>
    </w:rPr>
  </w:style>
  <w:style w:type="character" w:styleId="PageNumber">
    <w:name w:val="page number"/>
    <w:basedOn w:val="DefaultParagraphFont"/>
    <w:rPr>
      <w:sz w:val="28"/>
    </w:rPr>
  </w:style>
  <w:style w:type="table" w:customStyle="1" w:styleId="NormalTable">
    <w:name w:val="Normal Table"/>
    <w:rPr>
      <w:sz w:val="28"/>
    </w:rPr>
    <w:tblPr>
      <w:tblCellMar>
        <w:top w:w="0" w:type="dxa"/>
        <w:left w:w="108" w:type="dxa"/>
        <w:bottom w:w="0" w:type="dxa"/>
        <w:right w:w="108" w:type="dxa"/>
      </w:tblCellMar>
    </w:tblPr>
  </w:style>
  <w:style w:type="table" w:styleId="TableSimple1">
    <w:name w:val="Table Simple 1"/>
    <w:basedOn w:val="NormalTab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0C70A0-E571-4665-ADBC-BCE85846D349}"/>
</file>

<file path=customXml/itemProps2.xml><?xml version="1.0" encoding="utf-8"?>
<ds:datastoreItem xmlns:ds="http://schemas.openxmlformats.org/officeDocument/2006/customXml" ds:itemID="{9F56637B-C141-47E7-B04E-76265AA97282}"/>
</file>

<file path=customXml/itemProps3.xml><?xml version="1.0" encoding="utf-8"?>
<ds:datastoreItem xmlns:ds="http://schemas.openxmlformats.org/officeDocument/2006/customXml" ds:itemID="{11184B0B-3F1B-464F-905C-FD698D67E01D}"/>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CIC</dc:creator>
  <cp:lastModifiedBy>User</cp:lastModifiedBy>
  <cp:revision>2</cp:revision>
  <dcterms:created xsi:type="dcterms:W3CDTF">2018-08-24T04:34:00Z</dcterms:created>
  <dcterms:modified xsi:type="dcterms:W3CDTF">2018-08-24T04:34:00Z</dcterms:modified>
</cp:coreProperties>
</file>