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745DC1" w:rsidRPr="00662546" w14:paraId="4898B755" w14:textId="77777777" w:rsidTr="00662546">
        <w:tc>
          <w:tcPr>
            <w:tcW w:w="1645" w:type="pct"/>
          </w:tcPr>
          <w:p w14:paraId="34177BD6" w14:textId="45204BE8"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CHÍNH PHỦ</w:t>
            </w:r>
            <w:r w:rsidRPr="00662546">
              <w:rPr>
                <w:rFonts w:ascii="Arial" w:hAnsi="Arial" w:cs="Arial"/>
                <w:sz w:val="20"/>
                <w:szCs w:val="20"/>
              </w:rPr>
              <w:br/>
            </w:r>
            <w:r w:rsidRPr="00662546">
              <w:rPr>
                <w:rFonts w:ascii="Arial" w:hAnsi="Arial" w:cs="Arial"/>
                <w:sz w:val="20"/>
                <w:szCs w:val="20"/>
                <w:vertAlign w:val="superscript"/>
              </w:rPr>
              <w:t>_______</w:t>
            </w:r>
            <w:r w:rsidRPr="00662546">
              <w:rPr>
                <w:rFonts w:ascii="Arial" w:hAnsi="Arial" w:cs="Arial"/>
                <w:sz w:val="20"/>
                <w:szCs w:val="20"/>
              </w:rPr>
              <w:br/>
              <w:t xml:space="preserve"> Số: 120/2026/NĐ-CP</w:t>
            </w:r>
          </w:p>
        </w:tc>
        <w:tc>
          <w:tcPr>
            <w:tcW w:w="3355" w:type="pct"/>
          </w:tcPr>
          <w:p w14:paraId="03F69BA2" w14:textId="1309681A"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CỘNG HÒA XÃ HỘI CHỦ NGHĨA VIỆT NAM</w:t>
            </w:r>
            <w:r w:rsidRPr="00662546">
              <w:rPr>
                <w:rFonts w:ascii="Arial" w:hAnsi="Arial" w:cs="Arial"/>
                <w:sz w:val="20"/>
                <w:szCs w:val="20"/>
              </w:rPr>
              <w:br/>
            </w:r>
            <w:r w:rsidRPr="00662546">
              <w:rPr>
                <w:rFonts w:ascii="Arial" w:hAnsi="Arial" w:cs="Arial"/>
                <w:b/>
                <w:sz w:val="20"/>
                <w:szCs w:val="20"/>
              </w:rPr>
              <w:t>Độc lập – Tự do – Hạnh phúc</w:t>
            </w:r>
            <w:r w:rsidRPr="00662546">
              <w:rPr>
                <w:rFonts w:ascii="Arial" w:hAnsi="Arial" w:cs="Arial"/>
                <w:sz w:val="20"/>
                <w:szCs w:val="20"/>
              </w:rPr>
              <w:br/>
            </w:r>
            <w:r w:rsidRPr="00662546">
              <w:rPr>
                <w:rFonts w:ascii="Arial" w:hAnsi="Arial" w:cs="Arial"/>
                <w:sz w:val="20"/>
                <w:szCs w:val="20"/>
                <w:vertAlign w:val="superscript"/>
              </w:rPr>
              <w:t>_________________</w:t>
            </w:r>
          </w:p>
          <w:p w14:paraId="26BD55FE" w14:textId="77777777" w:rsidR="00745DC1" w:rsidRPr="00662546" w:rsidRDefault="00000000" w:rsidP="00662546">
            <w:pPr>
              <w:spacing w:after="0" w:line="240" w:lineRule="auto"/>
              <w:jc w:val="center"/>
              <w:rPr>
                <w:rFonts w:ascii="Arial" w:hAnsi="Arial" w:cs="Arial"/>
                <w:sz w:val="20"/>
                <w:szCs w:val="20"/>
              </w:rPr>
            </w:pPr>
            <w:r w:rsidRPr="00662546">
              <w:rPr>
                <w:rFonts w:ascii="Arial" w:hAnsi="Arial" w:cs="Arial"/>
                <w:i/>
                <w:sz w:val="20"/>
                <w:szCs w:val="20"/>
              </w:rPr>
              <w:t>Hà Nội, ngày 03 tháng 4 năm 2026</w:t>
            </w:r>
          </w:p>
        </w:tc>
      </w:tr>
    </w:tbl>
    <w:p w14:paraId="61821FF5" w14:textId="77777777" w:rsidR="00662546" w:rsidRDefault="00662546" w:rsidP="00662546">
      <w:pPr>
        <w:spacing w:after="0" w:line="240" w:lineRule="auto"/>
        <w:jc w:val="center"/>
        <w:rPr>
          <w:rFonts w:ascii="Arial" w:hAnsi="Arial" w:cs="Arial"/>
          <w:b/>
          <w:sz w:val="20"/>
          <w:szCs w:val="20"/>
        </w:rPr>
      </w:pPr>
    </w:p>
    <w:p w14:paraId="1CE02600" w14:textId="77777777" w:rsidR="00662546" w:rsidRDefault="00662546" w:rsidP="00662546">
      <w:pPr>
        <w:spacing w:after="0" w:line="240" w:lineRule="auto"/>
        <w:jc w:val="center"/>
        <w:rPr>
          <w:rFonts w:ascii="Arial" w:hAnsi="Arial" w:cs="Arial"/>
          <w:b/>
          <w:sz w:val="20"/>
          <w:szCs w:val="20"/>
        </w:rPr>
      </w:pPr>
    </w:p>
    <w:p w14:paraId="25BE0B5A" w14:textId="5810F051"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NGHỊ ĐỊNH</w:t>
      </w:r>
    </w:p>
    <w:p w14:paraId="06C63C83" w14:textId="77777777"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Quy định chi tiết về kinh phí, chi phí,</w:t>
      </w:r>
      <w:r w:rsidRPr="00662546">
        <w:rPr>
          <w:rFonts w:ascii="Arial" w:hAnsi="Arial" w:cs="Arial"/>
          <w:sz w:val="20"/>
          <w:szCs w:val="20"/>
        </w:rPr>
        <w:br/>
      </w:r>
      <w:r w:rsidRPr="00662546">
        <w:rPr>
          <w:rFonts w:ascii="Arial" w:hAnsi="Arial" w:cs="Arial"/>
          <w:b/>
          <w:sz w:val="20"/>
          <w:szCs w:val="20"/>
        </w:rPr>
        <w:t xml:space="preserve"> hỗ trợ hoạt động tư pháp người chưa thành niên</w:t>
      </w:r>
    </w:p>
    <w:p w14:paraId="54512BDF" w14:textId="77777777" w:rsidR="00662546" w:rsidRDefault="00662546" w:rsidP="00662546">
      <w:pPr>
        <w:spacing w:after="0" w:line="240" w:lineRule="auto"/>
        <w:jc w:val="center"/>
        <w:rPr>
          <w:rFonts w:ascii="Arial" w:hAnsi="Arial" w:cs="Arial"/>
          <w:i/>
          <w:sz w:val="20"/>
          <w:szCs w:val="20"/>
        </w:rPr>
      </w:pPr>
    </w:p>
    <w:p w14:paraId="7E0C25A2" w14:textId="5E1E87EB"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i/>
          <w:sz w:val="20"/>
          <w:szCs w:val="20"/>
        </w:rPr>
        <w:t>Căn cứ Luật Tổ chức Chính phủ số 63/2025/QH15;</w:t>
      </w:r>
    </w:p>
    <w:p w14:paraId="330CB2F6"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i/>
          <w:sz w:val="20"/>
          <w:szCs w:val="20"/>
        </w:rPr>
        <w:t>Căn cứ Luật Tư pháp người chưa thành niên số 59/2024/QH15 được sửa đổi, bổ sung bởi Luật số 85/2025/QH15;</w:t>
      </w:r>
    </w:p>
    <w:p w14:paraId="093A4BA1"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i/>
          <w:sz w:val="20"/>
          <w:szCs w:val="20"/>
        </w:rPr>
        <w:t>Căn cứ Luật Ngân sách nhà nước số 89/2025/QH15;</w:t>
      </w:r>
    </w:p>
    <w:p w14:paraId="1C74252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i/>
          <w:sz w:val="20"/>
          <w:szCs w:val="20"/>
        </w:rPr>
        <w:t>Căn cứ Luật Đầu tư công số 58/2024/QH15 được sửa đổi, bổ sung bởi Luật số 90/2025/QH15;</w:t>
      </w:r>
    </w:p>
    <w:p w14:paraId="2EC2DFF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i/>
          <w:sz w:val="20"/>
          <w:szCs w:val="20"/>
        </w:rPr>
        <w:t>Theo đề nghị của Bộ trưởng Bộ Tài chính;</w:t>
      </w:r>
    </w:p>
    <w:p w14:paraId="05174F3E" w14:textId="77777777" w:rsidR="00745DC1" w:rsidRDefault="00000000" w:rsidP="00662546">
      <w:pPr>
        <w:spacing w:after="120" w:line="240" w:lineRule="auto"/>
        <w:ind w:firstLine="720"/>
        <w:jc w:val="both"/>
        <w:rPr>
          <w:rFonts w:ascii="Arial" w:hAnsi="Arial" w:cs="Arial"/>
          <w:i/>
          <w:sz w:val="20"/>
          <w:szCs w:val="20"/>
        </w:rPr>
      </w:pPr>
      <w:r w:rsidRPr="00662546">
        <w:rPr>
          <w:rFonts w:ascii="Arial" w:hAnsi="Arial" w:cs="Arial"/>
          <w:i/>
          <w:sz w:val="20"/>
          <w:szCs w:val="20"/>
        </w:rPr>
        <w:t>Chính phủ ban hành Nghị định quy định chi tiết về kinh phí, chi phí, hỗ trợ hoạt động tư pháp người chưa thành niên.</w:t>
      </w:r>
    </w:p>
    <w:p w14:paraId="71703FA8" w14:textId="77777777" w:rsidR="00662546" w:rsidRPr="00662546" w:rsidRDefault="00662546" w:rsidP="00662546">
      <w:pPr>
        <w:spacing w:after="0" w:line="240" w:lineRule="auto"/>
        <w:jc w:val="center"/>
        <w:rPr>
          <w:rFonts w:ascii="Arial" w:hAnsi="Arial" w:cs="Arial"/>
          <w:sz w:val="20"/>
          <w:szCs w:val="20"/>
        </w:rPr>
      </w:pPr>
    </w:p>
    <w:p w14:paraId="6A47B3B2" w14:textId="77777777"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 xml:space="preserve">Chương I </w:t>
      </w:r>
    </w:p>
    <w:p w14:paraId="5BC59A04" w14:textId="77777777" w:rsidR="00745DC1" w:rsidRDefault="00000000" w:rsidP="00662546">
      <w:pPr>
        <w:spacing w:after="0" w:line="240" w:lineRule="auto"/>
        <w:jc w:val="center"/>
        <w:rPr>
          <w:rFonts w:ascii="Arial" w:hAnsi="Arial" w:cs="Arial"/>
          <w:b/>
          <w:sz w:val="20"/>
          <w:szCs w:val="20"/>
        </w:rPr>
      </w:pPr>
      <w:r w:rsidRPr="00662546">
        <w:rPr>
          <w:rFonts w:ascii="Arial" w:hAnsi="Arial" w:cs="Arial"/>
          <w:b/>
          <w:sz w:val="20"/>
          <w:szCs w:val="20"/>
        </w:rPr>
        <w:t>QUY ĐỊNH CHUNG</w:t>
      </w:r>
    </w:p>
    <w:p w14:paraId="0FE6D672" w14:textId="77777777" w:rsidR="00662546" w:rsidRPr="00662546" w:rsidRDefault="00662546" w:rsidP="00662546">
      <w:pPr>
        <w:spacing w:after="0" w:line="240" w:lineRule="auto"/>
        <w:jc w:val="center"/>
        <w:rPr>
          <w:rFonts w:ascii="Arial" w:hAnsi="Arial" w:cs="Arial"/>
          <w:sz w:val="20"/>
          <w:szCs w:val="20"/>
        </w:rPr>
      </w:pPr>
    </w:p>
    <w:p w14:paraId="46B269F0"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1. Phạm vi điều chỉnh</w:t>
      </w:r>
    </w:p>
    <w:p w14:paraId="4596F7E6"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Nghị định này quy định chi tiết Điều 4 Luật Tư pháp người chưa thành niên số 59/2024/QH15 năm 2024 đã được sửa đổi, bổ sung tại Luật số 85/2025/QH15 (sau đây gọi là Luật số 59/2024/QH15) về kinh phí, chi phí, hỗ trợ hoạt động tư pháp người chưa thành niên.</w:t>
      </w:r>
    </w:p>
    <w:p w14:paraId="4BB118FB"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2. Đối tượng áp dụng</w:t>
      </w:r>
    </w:p>
    <w:p w14:paraId="64183AA2"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Các bộ, cơ quan ngang bộ, các tỉnh, thành phố trực thuộc trung ương, các xã, phường, đặc khu.</w:t>
      </w:r>
    </w:p>
    <w:p w14:paraId="108E56CF"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Tòa án nhân dân các cấp, Viện kiểm sát nhân dân các cấp.</w:t>
      </w:r>
    </w:p>
    <w:p w14:paraId="3FA503A3"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3. Mặt trận Tổ quốc Việt Nam, các tổ chức thành viên của Mặt trận.</w:t>
      </w:r>
    </w:p>
    <w:p w14:paraId="38896626"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4. Các cơ quan, tổ chức, cá nhân khác có liên quan đến việc quản lý, sử dụng kinh phí, chi phí, hỗ trợ hoạt động tư pháp người chưa thành niên.</w:t>
      </w:r>
    </w:p>
    <w:p w14:paraId="0A2082CB"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3. Nguyên tắc quản lý, sử dụng kinh phí, chi phí, hỗ trợ hoạt động tư pháp người chưa thành niên</w:t>
      </w:r>
    </w:p>
    <w:p w14:paraId="1C46680F"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Kinh phí cho hoạt động tư pháp người chưa thành niên được bảo đảm từ nguồn ngân sách nhà nước và các nguồn kinh phí hợp pháp khác theo quy định của pháp luật.</w:t>
      </w:r>
    </w:p>
    <w:p w14:paraId="5412D7C5"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Việc quản lý, sử dụng kinh phí, chi phí, hỗ trợ hoạt động tư pháp người chưa thành niên phải bảo đảm đúng mục đích, đúng đối tượng, đúng chế độ, tiêu chuẩn, định mức; tiết kiệm, công khai, minh bạch, công bằng của cơ quan quản lý nhà nước các cấp theo phân công, phân cấp quản lý.;</w:t>
      </w:r>
    </w:p>
    <w:p w14:paraId="71EC95F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3. Kinh phí từ nguồn ngân sách nhà nước được thực hiện theo quy định</w:t>
      </w:r>
    </w:p>
    <w:p w14:paraId="1C4289D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của pháp luật về ngân sách nhà nước, pháp luật về đầu tư công, pháp luật về khoa học, công nghệ và đổi mới sáng tạo, pháp luật về công nghiệp công nghệ số và các quy định của pháp luật khác có liên quan.</w:t>
      </w:r>
    </w:p>
    <w:p w14:paraId="3FAFA872"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4. Bảo đảm công khai, minh bạch và trách nhiệm giải trình theo quy định.</w:t>
      </w:r>
    </w:p>
    <w:p w14:paraId="3001BC88" w14:textId="77777777" w:rsidR="00662546" w:rsidRDefault="00662546" w:rsidP="00662546">
      <w:pPr>
        <w:spacing w:after="0" w:line="240" w:lineRule="auto"/>
        <w:jc w:val="center"/>
        <w:rPr>
          <w:rFonts w:ascii="Arial" w:hAnsi="Arial" w:cs="Arial"/>
          <w:b/>
          <w:sz w:val="20"/>
          <w:szCs w:val="20"/>
        </w:rPr>
      </w:pPr>
    </w:p>
    <w:p w14:paraId="50DDE9FD" w14:textId="1C818616"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Chương II</w:t>
      </w:r>
    </w:p>
    <w:p w14:paraId="6C66812C" w14:textId="77777777" w:rsidR="00745DC1" w:rsidRDefault="00000000" w:rsidP="00662546">
      <w:pPr>
        <w:spacing w:after="0" w:line="240" w:lineRule="auto"/>
        <w:jc w:val="center"/>
        <w:rPr>
          <w:rFonts w:ascii="Arial" w:hAnsi="Arial" w:cs="Arial"/>
          <w:b/>
          <w:sz w:val="20"/>
          <w:szCs w:val="20"/>
        </w:rPr>
      </w:pPr>
      <w:r w:rsidRPr="00662546">
        <w:rPr>
          <w:rFonts w:ascii="Arial" w:hAnsi="Arial" w:cs="Arial"/>
          <w:b/>
          <w:sz w:val="20"/>
          <w:szCs w:val="20"/>
        </w:rPr>
        <w:t>KINH PHÍ, CHI PHÍ, HỖ TRỢ HOẠT ĐỘNG TƯ PHÁP NGƯỜI CHƯA THÀNH NIÊN TỪ NGUỒN NGÂN SÁCH NHÀ NƯỚC VÀ VIỆC TIẾP NHẬN HỖ TRỢ CỦA CÁC TRƯỜNG GIÁO DƯỠNG</w:t>
      </w:r>
    </w:p>
    <w:p w14:paraId="1E087C1E" w14:textId="77777777" w:rsidR="00662546" w:rsidRPr="00662546" w:rsidRDefault="00662546" w:rsidP="00662546">
      <w:pPr>
        <w:spacing w:after="0" w:line="240" w:lineRule="auto"/>
        <w:jc w:val="center"/>
        <w:rPr>
          <w:rFonts w:ascii="Arial" w:hAnsi="Arial" w:cs="Arial"/>
          <w:sz w:val="20"/>
          <w:szCs w:val="20"/>
        </w:rPr>
      </w:pPr>
    </w:p>
    <w:p w14:paraId="33767543"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lastRenderedPageBreak/>
        <w:t>Điều 4. Chi từ ngân sách nhà nước cho hoạt động tư pháp người chưa thành niên</w:t>
      </w:r>
    </w:p>
    <w:p w14:paraId="627D63F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Chi bảo đảm cơ sở vật chất, mua sắm trang thiết bị</w:t>
      </w:r>
    </w:p>
    <w:p w14:paraId="7F716973"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a) Chi bảo đảm cơ sở vật chất, mua sắm trang thiết bị phòng điều tra thân thiện để thực hiện thủ tục tố tụng thân thiện đối với người chưa thành niên tham gia tố tụng, cơ sở vật chất của trường giáo dưỡng, trại giam riêng, phân trại, khu giam giữ dành riêng cho người chưa thành niên là phạm nhân. </w:t>
      </w:r>
    </w:p>
    <w:p w14:paraId="3CE755BE" w14:textId="5DC74ED5"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b) Kinh phí thực hiện như sau:</w:t>
      </w:r>
    </w:p>
    <w:p w14:paraId="11D12255"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Chi từ nguồn vốn đầu tư công: Thực hiện theo quy định của Luật Đầu tư công số 58/2024/QH15 được sửa đổi, bổ sung tại Luật số 90/2025/QH15 và các văn bản hướng dẫn.</w:t>
      </w:r>
    </w:p>
    <w:p w14:paraId="1F1ED539"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Chi từ nguồn vốn thường xuyên: Thực hiện theo quy định của Luật Ngân sách nhà nước số 89/2025/QH15 và các văn bản hướng dẫn thi hành Luật; Nghị định số 104/2026/NĐ-CP ngày 31 tháng 3 năm 2026 của Chính phủ quy định việc lập dự toán, quản lý, sử dụng và quyết toán chi thường xuyên để thực hiện các nhiệm vụ quy định tại Điều 40 Luật Ngân sách nhà nước; Nghị định số 165/2016/NĐ-CP ngày 24 tháng 12 năm 2016 của Chính phủ quy định về quản lý, sử dụng ngân sách nhà nước đối với một số hoạt động thuộc lĩnh vực quốc phòng, an ninh được sửa đổi, bổ sung tại Nghị định số 01/2021/NĐ-CP của Chính phủ và các văn bản pháp luật khác có liên quan.</w:t>
      </w:r>
    </w:p>
    <w:p w14:paraId="7CE6A3F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 Căn cứ danh mục, tiêu chuẩn định mức về cơ sở vật chất, trang thiết bị do các cơ quan ban hành phù hợp với thẩm quyền, đặc thù của từng cơ quan, đơn vị thực hiện các nhiệm vụ nêu tại điểm a khoản 1 Điều này, Thủ trưởng các cơ quan đề xuất nguồn kinh phí thực hiện (nguồn chi thường xuyên, chi đầu tư công) theo quy định của pháp luật.</w:t>
      </w:r>
    </w:p>
    <w:p w14:paraId="372D9778"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Nội dung, chế độ chi đối với phạm nhân là người dưới 18 tuổi, học sinh trường giáo dưỡng</w:t>
      </w:r>
    </w:p>
    <w:p w14:paraId="6B18B4E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Nội dung chi bao gồm: chi thực hiện chế độ ăn, mặc, ở, đồ dùng sinh hoạt, chăm sóc y tế; chi phí cho các chương trình học văn hóa, giáo dục hướng nghiệp, học nghề, lao động, sinh hoạt văn hóa, văn nghệ và vui chơi giải trí đối với học sinh trường giáo dưỡng và phạm nhân là người chưa thành niên; chi hỗ trợ tái hòa nhập cộng đồng trước khi chấp hành xong quyết định áp dụng biện pháp giáo dục tại trường giáo dưỡng đối với học sinh trường giáo dưỡng và quyết định chấp hành xong án phạt tù đối với phạm nhân là người chưa thành niên trong trại giam.</w:t>
      </w:r>
    </w:p>
    <w:p w14:paraId="2DE1DC3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b) Chế độ chi được thực hiện theo quy định tại Nghị định số 355/2025/NĐ-CP ngày 31 tháng 12 năm 2025 của Chính phủ quy định chi tiết thi hành một số điều của Luật Tư pháp người chưa thành niên về áp dụng biện pháp giáo dục tại trường giáo dưỡng, thi hành án phạt tù tại trại giam và chuẩn bị tái hòa nhập cộng đồng đối với người chưa thành niên.</w:t>
      </w:r>
    </w:p>
    <w:p w14:paraId="4CCAD89E"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3. Chi của Quỹ Bảo trợ trẻ em cho hoạt động tư pháp người chưa thành niên</w:t>
      </w:r>
    </w:p>
    <w:p w14:paraId="1CE4F1AE"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Chi hỗ trợ cho người chưa thành niên là bị hại có hoàn cảnh khó khăn</w:t>
      </w:r>
    </w:p>
    <w:p w14:paraId="1618503E"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Người chưa thành niên là bị hại có hoàn cảnh khó khăn là những người thuộc một trong các trường hợp sau: Không có nguồn nuôi dưỡng, hộ nghèo, hộ cận nghèo, khuyết tật nặng, khuyết tật đặc biệt nặng theo quy định pháp luật về người khuyết tật, bị nhiễm HIV/AIDS thuộc hộ nghèo.</w:t>
      </w:r>
    </w:p>
    <w:p w14:paraId="3DCB1E8F"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Nội dung chi, mức chi:</w:t>
      </w:r>
    </w:p>
    <w:p w14:paraId="34602B18"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Chi phí tư vấn, tham vấn, trị liệu tâm lý cho người chưa thành niên là bị hại do Hội đồng nhân dân cấp tỉnh quyết định mức hỗ trợ một phần kinh phí thực hiện tư vấn, tham vấn, trị liệu tâm lý cho người chưa thành niên là bị hại;</w:t>
      </w:r>
    </w:p>
    <w:p w14:paraId="6861F4B5"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Chi hỗ trợ đột xuất, khẩn cấp 01 lần tối thiểu bằng 10 lần mức chuẩn trợ giúp xã hội theo quy định;</w:t>
      </w:r>
    </w:p>
    <w:p w14:paraId="10F5BE6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Trường hợp người chưa thành niên là bị hại bị tổn hại sức khỏe được chăm sóc, điều trị tại cơ sở khám bệnh, chữa bệnh, được hỗ trợ chi phí khám bệnh, chữa bệnh thực hiện theo quy định của Luật Khám bệnh, chữa bệnh, trừ trường hợp quy định tại Nghị định của Chính phủ quy định chi tiết việc sử dụng kinh phí từ Quỹ Bảo trợ trẻ em cho người chưa thành niên là bị hại;</w:t>
      </w:r>
    </w:p>
    <w:p w14:paraId="3E96A93F"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b) Chi bồi thường cho người chưa thành niên là bị hại: Thực hiện theo Nghị định của Chính phủ quy định chi tiết khoản 3 Điều 160 Luật Tư pháp người chưa thành niên về việc sử dụng kinh phí từ Quỹ Bảo trợ trẻ em cho người chưa thành niên là bị hại.</w:t>
      </w:r>
    </w:p>
    <w:p w14:paraId="34E7AD54" w14:textId="6B200C68"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4. Chi phí cho người làm công tác xã hội tham gia tố tụng, người trực tiếp giám sát thi hành quyết định áp dụng biện pháp xử lý chuyển hướng, người được chỉ định giúp đỡ người chưa thành </w:t>
      </w:r>
      <w:r w:rsidRPr="00662546">
        <w:rPr>
          <w:rFonts w:ascii="Arial" w:hAnsi="Arial" w:cs="Arial"/>
          <w:sz w:val="20"/>
          <w:szCs w:val="20"/>
        </w:rPr>
        <w:lastRenderedPageBreak/>
        <w:t xml:space="preserve">niên tái hòa nhập cộng đồng; chi phí cho chuyên gia y tế, tâm lý, giáo dục, xã hội học, đại diện cơ sở giáo dục, cơ sở giáo dục nghề nghiệp, đại diện </w:t>
      </w:r>
      <w:r w:rsidR="00E57372">
        <w:rPr>
          <w:rFonts w:ascii="Arial" w:hAnsi="Arial" w:cs="Arial"/>
          <w:sz w:val="20"/>
          <w:szCs w:val="20"/>
        </w:rPr>
        <w:t>Ủy ban</w:t>
      </w:r>
      <w:r w:rsidRPr="00662546">
        <w:rPr>
          <w:rFonts w:ascii="Arial" w:hAnsi="Arial" w:cs="Arial"/>
          <w:sz w:val="20"/>
          <w:szCs w:val="20"/>
        </w:rPr>
        <w:t xml:space="preserve"> Mặt trận Tổ quốc Việt Nam, các tổ chức thành viên của Mặt trận và cơ quan, tổ chức, cá nhân khác tham gia vào quá trình giải quyết vụ việc, vụ án theo yêu cầu của cơ quan, người có thẩm quyền</w:t>
      </w:r>
    </w:p>
    <w:p w14:paraId="36F14862"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Chi phí cho người làm công tác xã hội tham gia tố tụng, người trực tiếp giám sát thi hành quyết định áp dụng biện pháp xử lý chuyển hướng, người được chỉ định giúp đỡ người chưa thành niên tái hòa nhập cộng đồng (bao gồm công chức, viên chức, người lao động hưởng lương ngân sách nhà nước và người lao động không hưởng lương ngân sách nhà nước): Được thanh toán chi phí đi lại, lưu trú theo chế độ công tác phí hiện hành khi tham gia vào quá trình giải quyết vụ việc, vụ án theo yêu cầu của cơ quan, người có thẩm quyền.</w:t>
      </w:r>
    </w:p>
    <w:p w14:paraId="61729B69" w14:textId="44EE9E72"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b) Chi phí cho chuyên gia y tế, tâm lý, giáo dục, xã hội học, đại diện cơ sở giáo dục, cơ sở giáo dục nghề nghiệp, đại diện </w:t>
      </w:r>
      <w:r w:rsidR="005A50DB">
        <w:rPr>
          <w:rFonts w:ascii="Arial" w:hAnsi="Arial" w:cs="Arial"/>
          <w:sz w:val="20"/>
          <w:szCs w:val="20"/>
        </w:rPr>
        <w:t xml:space="preserve">Ủy ban </w:t>
      </w:r>
      <w:r w:rsidRPr="00662546">
        <w:rPr>
          <w:rFonts w:ascii="Arial" w:hAnsi="Arial" w:cs="Arial"/>
          <w:sz w:val="20"/>
          <w:szCs w:val="20"/>
        </w:rPr>
        <w:t>Mặt trận Tổ quốc Việt Nam, các tổ chức thành viên của Mặt trận và cơ quan, tổ chức, cá nhân khác tham gia vào quá trình giải quyết vụ việc, vụ án theo yêu cầu của cơ quan, người có thẩm quyền: 200.000 đồng/người/ngày.</w:t>
      </w:r>
    </w:p>
    <w:p w14:paraId="04C0F3C0"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5. Chi đào tạo, bồi dưỡng chuyên môn nghiệp vụ cho người làm công tác xã hội, người trực tiếp giám sát thi hành quyết định áp dụng biện pháp xử lý chuyển hướng: Thực hiện theo quy định của Bộ Tài chính về chi đào tạo, bồi dưỡng cán bộ, công chức, viên chức.</w:t>
      </w:r>
    </w:p>
    <w:p w14:paraId="7953AFB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6. Các nội dung khác cho hoạt động tư pháp người chưa thành niên được ngân sách nhà nước bảo đảm theo quy định của pháp luật có liên quan.</w:t>
      </w:r>
    </w:p>
    <w:p w14:paraId="1A89DF32"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Chi tổ chức các hội nghị tuyên truyền, phổ biến, quán triệt Luật số 59/2024/QH15 và các văn bản hướng dẫn Luật của các cơ quan có liên quan đến hoạt động tư pháp người chưa thành niên; chi tổ chức các lớp tập huấn về tư pháp người chưa thành niên; tập huấn kỹ năng điều tra thân thiện trong các vụ việc liên quan đến người chưa thành niên; tập huấn chuyên môn nghiệp vụ đối với tâm lý tội phạm của người chưa thành niên cho cán bộ trại tạm giam, trại giam, điều tra viên, kiểm sát viên, thẩm phán; kinh phí biên soạn tài liệu, xây dựng biểu mẫu tố tụng thân thiện, tổ chức hội nghị, thí điểm mô hình tư pháp thân thiện: Thực hiện theo quy định của pháp luật hiện hành về chế độ chi hội nghị, chi cho công tác phổ biến, giáo dục pháp luật và các văn bản khác liên quan;</w:t>
      </w:r>
    </w:p>
    <w:p w14:paraId="753C1FDD" w14:textId="338D3B4B"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b) Chi thực hiện trợ giúp pháp lý cho người chưa thành niên: Thực hiện</w:t>
      </w:r>
      <w:r w:rsidR="00662546">
        <w:rPr>
          <w:rFonts w:ascii="Arial" w:hAnsi="Arial" w:cs="Arial"/>
          <w:sz w:val="20"/>
          <w:szCs w:val="20"/>
        </w:rPr>
        <w:t xml:space="preserve"> </w:t>
      </w:r>
      <w:r w:rsidRPr="00662546">
        <w:rPr>
          <w:rFonts w:ascii="Arial" w:hAnsi="Arial" w:cs="Arial"/>
          <w:sz w:val="20"/>
          <w:szCs w:val="20"/>
        </w:rPr>
        <w:t>theo quy định của pháp luật về trợ giúp pháp lý</w:t>
      </w:r>
      <w:r w:rsidR="00662546">
        <w:rPr>
          <w:rFonts w:ascii="Arial" w:hAnsi="Arial" w:cs="Arial"/>
          <w:sz w:val="20"/>
          <w:szCs w:val="20"/>
        </w:rPr>
        <w:t>;</w:t>
      </w:r>
    </w:p>
    <w:p w14:paraId="1E9F52A7"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 Chi phiên dịch, dịch thuật đối với người chưa thành niên là dân tộc thiểu số hoặc có nhu cầu đặc biệt: Thực hiện theo quy định của Pháp lệnh chi phí tố tụng số 05/2024/UBTVQH15 và các văn bản hướng dẫn;</w:t>
      </w:r>
    </w:p>
    <w:p w14:paraId="6132A3C3" w14:textId="121E6816"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d) Các nội dung khác liên quan đến hoạt động tư pháp người chưa thành niên, gồm kinh phí giám định tư pháp, tâm thần pháp y đối với đối tượng người chưa thành niên; chi công tác phí cho người tiến hành tố tụng tham gia điều tra, hỏi cung, đối chất, khám nghiệm hiện trường; các khoản chi phục vụ điều tra, kiểm sát điều tra và truy tố; chi bảo vệ, hỗ trợ nhân chứng, người bị hại; chi tổ chức thi hành biện pháp giám sát điện tử; chi tổ chức thi hành quyết định áp dụng biện pháp </w:t>
      </w:r>
      <w:r w:rsidR="00F8532F">
        <w:rPr>
          <w:rFonts w:ascii="Arial" w:hAnsi="Arial" w:cs="Arial"/>
          <w:sz w:val="20"/>
          <w:szCs w:val="20"/>
        </w:rPr>
        <w:t xml:space="preserve">xử lý </w:t>
      </w:r>
      <w:r w:rsidRPr="00662546">
        <w:rPr>
          <w:rFonts w:ascii="Arial" w:hAnsi="Arial" w:cs="Arial"/>
          <w:sz w:val="20"/>
          <w:szCs w:val="20"/>
        </w:rPr>
        <w:t>chuyển hướng tại cộng đồng; chi tổ chức thi hành quyết định áp dụng biện pháp giáo dục tại trường giáo dưỡng: Thực hiện theo quy định của pháp luật hiện hành về các hoạt động điều tra, tố tụng và các quy định của pháp luật có liên quan.</w:t>
      </w:r>
    </w:p>
    <w:p w14:paraId="6EC15A89"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5. Lập dự toán, quản lý, sử dụng và quyết toán ngân sách nhà nước cho hoạt động tư pháp người chưa thành niên</w:t>
      </w:r>
    </w:p>
    <w:p w14:paraId="0ABB2CC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Việc lập dự toán, quản lý, sử dụng và quyết toán kinh phí, chi phí, hỗ trợ các hoạt động tư pháp người chưa thành niên thực hiện theo quy định của Luật Ngân sách nhà nước số 89/2025/QH15; Luật Đầu tư công số 58/2024/QH15 được sửa đổi, bổ sung tại Luật số 90/2025/QH15; Luật Khoa học, công nghệ và đổi mới sáng tạo số 93/2025/QH15; Luật Kế toán số 88/2015/QH13 được sửa đổi, bổ sung tại Luật số 38/2019/QH14 và Luật số 56/2024/QH15 và các văn bản hướng dẫn thi hành các Luật này. Nghị định này hướng dẫn thêm một số nội dung sau:</w:t>
      </w:r>
    </w:p>
    <w:p w14:paraId="49B1EDF7"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Lập dự toán</w:t>
      </w:r>
    </w:p>
    <w:p w14:paraId="4A02F97E"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a) Hằng năm, vào thời điểm xây dựng dự toán ngân sách nhà nước, căn cứ tình hình thực hiện các hoạt động tư pháp người chưa thành niên thực tế đã chi của năm trước và ước thực hiện năm hiện hành, dự kiến kế hoạch thực hiện các hoạt động của năm kế hoạch, các cơ quan có trách nhiệm lập dự toán kinh phí thực hiện, tổng hợp vào dự toán của cơ quan, đơn vị mình, gửi cơ quan </w:t>
      </w:r>
      <w:r w:rsidRPr="00662546">
        <w:rPr>
          <w:rFonts w:ascii="Arial" w:hAnsi="Arial" w:cs="Arial"/>
          <w:sz w:val="20"/>
          <w:szCs w:val="20"/>
        </w:rPr>
        <w:lastRenderedPageBreak/>
        <w:t>quản lý cấp trên xem xét, tổng hợp chung vào dự toán của đơn vị dự toán cấp I gửi cơ quan tài chính cùng cấp trình cấp có thẩm quyền theo quy định của pháp luật về ngân sách nhà nước.</w:t>
      </w:r>
    </w:p>
    <w:p w14:paraId="6F2A2BA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b) Các cơ quan có thẩm quyền theo quy định của Luật Ngân sách nhà nước, Luật Đầu tư công có trách nhiệm tổng hợp, cân đối, bố trí nguồn ngân sách nhà nước để thực hiện Nghị định theo quy định của pháp luật.</w:t>
      </w:r>
    </w:p>
    <w:p w14:paraId="3FDA113E"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Phân bổ dự toán</w:t>
      </w:r>
    </w:p>
    <w:p w14:paraId="2BD4545C"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Căn cứ dự toán chi ngân sách được cấp có thẩm quyền giao, đơn vị dự toán cấp I ở trung ương và địa phương thực hiện phân bổ, giao dự toán ngân sách cho các đơn vị sử dụng ngân sách thuộc phạm vi quản lý theo quy định của pháp luật về ngân sách nhà nước.</w:t>
      </w:r>
    </w:p>
    <w:p w14:paraId="0BB5294A"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3. Việc thanh toán, quyết toán</w:t>
      </w:r>
    </w:p>
    <w:p w14:paraId="3FFDA385"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Việc thanh toán, quyết toán kinh phí thực hiện các hoạt động tư pháp người chưa thành niên qua Kho bạc Nhà nước thực hiện theo quy định tại Nghị định số 347/2025/NĐ-CP ngày 29 tháng 12 năm 2025 của Chính phủ quy định về thủ tục hành chính thuộc lĩnh vực Kho bạc Nhà nước, Nghị định số 254/2025/NĐ-CP ngày 26 tháng 9 năm 2025 của Chính phủ quy định về quản lý, thanh toán, quyết toán dự án sử dụng vốn đầu tư công và các văn bản pháp luật khác có liên quan.</w:t>
      </w:r>
    </w:p>
    <w:p w14:paraId="00770288" w14:textId="6953DDEA"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b) Các cơ quan có thẩm quyền yêu cầu người làm công tác xã hội tham gia tố tụng, người trực tiếp giám sát thi hành quyết định áp dụng biện pháp xử lý chuyển hướng, người được chỉ định giúp đỡ người chưa thành niên tái hòa nhập cộng đồng, chuyên gia y tế, tâm lý, giáo dục, xã hội học, đại diện cơ sở giáo dục, cơ sở giáo dục nghề nghiệp, đại diện </w:t>
      </w:r>
      <w:r w:rsidR="00E57372">
        <w:rPr>
          <w:rFonts w:ascii="Arial" w:hAnsi="Arial" w:cs="Arial"/>
          <w:sz w:val="20"/>
          <w:szCs w:val="20"/>
        </w:rPr>
        <w:t>Ủy ban</w:t>
      </w:r>
      <w:r w:rsidRPr="00662546">
        <w:rPr>
          <w:rFonts w:ascii="Arial" w:hAnsi="Arial" w:cs="Arial"/>
          <w:sz w:val="20"/>
          <w:szCs w:val="20"/>
        </w:rPr>
        <w:t xml:space="preserve"> Mặt trận Tổ quốc Việt Nam, các tổ chức thành viên của Mặt trận và cơ quan, tổ chức, cá nhân khác theo quy định tại Luật số 59/2024/QH15 có trách nhiệm chi trả kinh phí quy định tại khoản 4 Điều 4 Nghị định này.</w:t>
      </w:r>
    </w:p>
    <w:p w14:paraId="70A8CD61"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6. Việc tiếp nhận hỗ trợ của các trường giáo dưỡng</w:t>
      </w:r>
    </w:p>
    <w:p w14:paraId="16DC085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Trường giáo dưỡng được tiếp nhận sự giúp đỡ về vật chất của chính quyền địa phương, cơ quan, tổ chức, cá nhân trong nước, cá nhân, tổ chức nước ngoài để tổ chức dạy văn hóa, giáo dục hướng nghiệp, dạy nghề, mua sắm đồ dùng học tập và sinh hoạt cho học sinh.</w:t>
      </w:r>
    </w:p>
    <w:p w14:paraId="12399C0C"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Việc quản lý, sử dụng, tiếp nhận sự giúp đỡ nêu tại khoản 1 Điều này thực hiện theo quy định của pháp luật hiện hành đối với từng nội dung và theo thỏa thuận hợp pháp với tổ chức, cá nhân hỗ trợ (nếu có).</w:t>
      </w:r>
    </w:p>
    <w:p w14:paraId="46A8FE63" w14:textId="77777777" w:rsidR="00662546" w:rsidRDefault="00662546" w:rsidP="00662546">
      <w:pPr>
        <w:spacing w:after="0" w:line="240" w:lineRule="auto"/>
        <w:jc w:val="center"/>
        <w:rPr>
          <w:rFonts w:ascii="Arial" w:hAnsi="Arial" w:cs="Arial"/>
          <w:b/>
          <w:sz w:val="20"/>
          <w:szCs w:val="20"/>
        </w:rPr>
      </w:pPr>
    </w:p>
    <w:p w14:paraId="47243E0B" w14:textId="4C2871F7"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 xml:space="preserve">Chương III </w:t>
      </w:r>
    </w:p>
    <w:p w14:paraId="546D02FD" w14:textId="77777777" w:rsidR="00745DC1" w:rsidRDefault="00000000" w:rsidP="00662546">
      <w:pPr>
        <w:spacing w:after="0" w:line="240" w:lineRule="auto"/>
        <w:jc w:val="center"/>
        <w:rPr>
          <w:rFonts w:ascii="Arial" w:hAnsi="Arial" w:cs="Arial"/>
          <w:b/>
          <w:sz w:val="20"/>
          <w:szCs w:val="20"/>
        </w:rPr>
      </w:pPr>
      <w:r w:rsidRPr="00662546">
        <w:rPr>
          <w:rFonts w:ascii="Arial" w:hAnsi="Arial" w:cs="Arial"/>
          <w:b/>
          <w:sz w:val="20"/>
          <w:szCs w:val="20"/>
        </w:rPr>
        <w:t>ĐIỀU KHOẢN THI HÀNH</w:t>
      </w:r>
    </w:p>
    <w:p w14:paraId="524F7BA7" w14:textId="77777777" w:rsidR="00662546" w:rsidRPr="00662546" w:rsidRDefault="00662546" w:rsidP="00662546">
      <w:pPr>
        <w:spacing w:after="0" w:line="240" w:lineRule="auto"/>
        <w:jc w:val="center"/>
        <w:rPr>
          <w:rFonts w:ascii="Arial" w:hAnsi="Arial" w:cs="Arial"/>
          <w:sz w:val="20"/>
          <w:szCs w:val="20"/>
        </w:rPr>
      </w:pPr>
    </w:p>
    <w:p w14:paraId="75187953"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7. Trách nhiệm thi hành</w:t>
      </w:r>
    </w:p>
    <w:p w14:paraId="46F3680D" w14:textId="19A8EE1E"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Bộ trưởng, Thủ trưởng cơ quan ngang bộ, Mặt trận Tổ quốc Việt Nam và các tổ chức thành viên của Mặt trận, Chủ tịch </w:t>
      </w:r>
      <w:r w:rsidR="00E57372">
        <w:rPr>
          <w:rFonts w:ascii="Arial" w:hAnsi="Arial" w:cs="Arial"/>
          <w:sz w:val="20"/>
          <w:szCs w:val="20"/>
        </w:rPr>
        <w:t>Ủy ban</w:t>
      </w:r>
      <w:r w:rsidR="00EB1922">
        <w:rPr>
          <w:rFonts w:ascii="Arial" w:hAnsi="Arial" w:cs="Arial"/>
          <w:sz w:val="20"/>
          <w:szCs w:val="20"/>
        </w:rPr>
        <w:t xml:space="preserve"> </w:t>
      </w:r>
      <w:r w:rsidRPr="00662546">
        <w:rPr>
          <w:rFonts w:ascii="Arial" w:hAnsi="Arial" w:cs="Arial"/>
          <w:sz w:val="20"/>
          <w:szCs w:val="20"/>
        </w:rPr>
        <w:t>nhân dân các tỉnh, thành phố trực thuộc trung ương chỉ đạo, hướng dẫn, kiểm tra, giám sát các cơ quan trực thuộc tổ chức thực hiện theo quy định.</w:t>
      </w:r>
    </w:p>
    <w:p w14:paraId="02EBA127"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b/>
          <w:sz w:val="20"/>
          <w:szCs w:val="20"/>
        </w:rPr>
        <w:t>Điều 8. Hiệu lực thi hành</w:t>
      </w:r>
    </w:p>
    <w:p w14:paraId="24921442"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1. Hiệu lực thi hành</w:t>
      </w:r>
    </w:p>
    <w:p w14:paraId="131FFF93"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a) Nghị định này có hiệu lực thi hành từ ngày 20 tháng 5 năm 2026.</w:t>
      </w:r>
    </w:p>
    <w:p w14:paraId="4D9C5B7B" w14:textId="2964EAE5"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b) Đối với kinh phí thực hiện các nhiệm vụ quy định tại Điều 139, khoản 1 và khoản 2 Điều 162 của Luật số 59/2024/QH15 có hiệu lực thi hành từ ngày 01 tháng 01 năm 2028. </w:t>
      </w:r>
    </w:p>
    <w:p w14:paraId="026E568D" w14:textId="77777777" w:rsidR="00745DC1" w:rsidRPr="00662546"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2. Trong trường hợp văn bản quy phạm pháp luật được viện dẫn tại Nghị định này được sửa đổi, bổ sung hoặc thay thế bởi văn bản quy phạm pháp luật mới thì áp dụng theo văn bản mới đó.</w:t>
      </w:r>
    </w:p>
    <w:p w14:paraId="5DFB2308" w14:textId="6E4D0EF7" w:rsidR="00745DC1" w:rsidRDefault="00000000" w:rsidP="00662546">
      <w:pPr>
        <w:spacing w:after="120" w:line="240" w:lineRule="auto"/>
        <w:ind w:firstLine="720"/>
        <w:jc w:val="both"/>
        <w:rPr>
          <w:rFonts w:ascii="Arial" w:hAnsi="Arial" w:cs="Arial"/>
          <w:sz w:val="20"/>
          <w:szCs w:val="20"/>
        </w:rPr>
      </w:pPr>
      <w:r w:rsidRPr="00662546">
        <w:rPr>
          <w:rFonts w:ascii="Arial" w:hAnsi="Arial" w:cs="Arial"/>
          <w:sz w:val="20"/>
          <w:szCs w:val="20"/>
        </w:rPr>
        <w:t xml:space="preserve">3. Bộ trưởng, Thủ trưởng cơ quan ngang bộ, Chủ tịch </w:t>
      </w:r>
      <w:r w:rsidR="00E57372">
        <w:rPr>
          <w:rFonts w:ascii="Arial" w:hAnsi="Arial" w:cs="Arial"/>
          <w:sz w:val="20"/>
          <w:szCs w:val="20"/>
        </w:rPr>
        <w:t>Ủy ban</w:t>
      </w:r>
      <w:r w:rsidR="00EB1922">
        <w:rPr>
          <w:rFonts w:ascii="Arial" w:hAnsi="Arial" w:cs="Arial"/>
          <w:sz w:val="20"/>
          <w:szCs w:val="20"/>
        </w:rPr>
        <w:t xml:space="preserve"> </w:t>
      </w:r>
      <w:r w:rsidRPr="00662546">
        <w:rPr>
          <w:rFonts w:ascii="Arial" w:hAnsi="Arial" w:cs="Arial"/>
          <w:sz w:val="20"/>
          <w:szCs w:val="20"/>
        </w:rPr>
        <w:t>nhân dân tỉnh, thành phố trực thuộc trung ương chịu trách nhiệm thi hành Nghị định này.</w:t>
      </w:r>
    </w:p>
    <w:p w14:paraId="01564378" w14:textId="77777777" w:rsidR="00662546" w:rsidRPr="00662546" w:rsidRDefault="00662546" w:rsidP="00662546">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300"/>
        <w:gridCol w:w="3726"/>
      </w:tblGrid>
      <w:tr w:rsidR="00745DC1" w:rsidRPr="00662546" w14:paraId="74D171FD" w14:textId="77777777" w:rsidTr="00662546">
        <w:tc>
          <w:tcPr>
            <w:tcW w:w="2936" w:type="pct"/>
          </w:tcPr>
          <w:p w14:paraId="067BD283"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b/>
                <w:i/>
                <w:sz w:val="20"/>
                <w:szCs w:val="20"/>
              </w:rPr>
              <w:t>Nơi nhận:</w:t>
            </w:r>
          </w:p>
          <w:p w14:paraId="5747A595"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Ban Bí thư Trung ương Đảng;</w:t>
            </w:r>
          </w:p>
          <w:p w14:paraId="72A83598"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Thủ tướng, các Phó Thủ tướng Chính phủ;</w:t>
            </w:r>
          </w:p>
          <w:p w14:paraId="3A1CFAB6"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Các bộ, cơ quan ngang bộ;</w:t>
            </w:r>
          </w:p>
          <w:p w14:paraId="04CAE094"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HĐND, UBND các tỉnh, thành phố trực thuộc trung ương;</w:t>
            </w:r>
          </w:p>
          <w:p w14:paraId="761633AD"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lastRenderedPageBreak/>
              <w:t>- Văn phòng Trung ương và các Ban của Đảng;</w:t>
            </w:r>
          </w:p>
          <w:p w14:paraId="4CC9709A" w14:textId="3E0FDED0"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w:t>
            </w:r>
            <w:r w:rsidR="00662546">
              <w:rPr>
                <w:rFonts w:ascii="Arial" w:hAnsi="Arial" w:cs="Arial"/>
                <w:sz w:val="20"/>
                <w:szCs w:val="20"/>
              </w:rPr>
              <w:t xml:space="preserve"> </w:t>
            </w:r>
            <w:r w:rsidRPr="00662546">
              <w:rPr>
                <w:rFonts w:ascii="Arial" w:hAnsi="Arial" w:cs="Arial"/>
                <w:sz w:val="20"/>
                <w:szCs w:val="20"/>
              </w:rPr>
              <w:t>Văn phòng Tổng Bí thư;</w:t>
            </w:r>
          </w:p>
          <w:p w14:paraId="66F1AE6B"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Văn phòng Chủ tịch nước;</w:t>
            </w:r>
          </w:p>
          <w:p w14:paraId="60BD1CFB" w14:textId="56F7764E"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Hội đồng Dân tộc và các</w:t>
            </w:r>
            <w:r w:rsidR="00EB1922">
              <w:rPr>
                <w:rFonts w:ascii="Arial" w:hAnsi="Arial" w:cs="Arial"/>
                <w:sz w:val="20"/>
                <w:szCs w:val="20"/>
              </w:rPr>
              <w:t xml:space="preserve"> </w:t>
            </w:r>
            <w:r w:rsidR="00E57372">
              <w:rPr>
                <w:rFonts w:ascii="Arial" w:hAnsi="Arial" w:cs="Arial"/>
                <w:sz w:val="20"/>
                <w:szCs w:val="20"/>
              </w:rPr>
              <w:t>Ủy ban</w:t>
            </w:r>
            <w:r w:rsidRPr="00662546">
              <w:rPr>
                <w:rFonts w:ascii="Arial" w:hAnsi="Arial" w:cs="Arial"/>
                <w:sz w:val="20"/>
                <w:szCs w:val="20"/>
              </w:rPr>
              <w:t xml:space="preserve"> của Quốc hội;</w:t>
            </w:r>
          </w:p>
          <w:p w14:paraId="520DA86B"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Văn phòng Quốc hội;</w:t>
            </w:r>
          </w:p>
          <w:p w14:paraId="7102E58A"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Tòa án nhân dân tối cao;</w:t>
            </w:r>
          </w:p>
          <w:p w14:paraId="172CC2B7"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Viện kiểm sát nhân dân tối cao;</w:t>
            </w:r>
          </w:p>
          <w:p w14:paraId="2B36A965"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Kiểm toán nhà nước;</w:t>
            </w:r>
          </w:p>
          <w:p w14:paraId="6B0D4308" w14:textId="1BB27A38"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xml:space="preserve">- </w:t>
            </w:r>
            <w:r w:rsidR="00E57372">
              <w:rPr>
                <w:rFonts w:ascii="Arial" w:hAnsi="Arial" w:cs="Arial"/>
                <w:sz w:val="20"/>
                <w:szCs w:val="20"/>
              </w:rPr>
              <w:t>Ủy ban</w:t>
            </w:r>
            <w:r w:rsidRPr="00662546">
              <w:rPr>
                <w:rFonts w:ascii="Arial" w:hAnsi="Arial" w:cs="Arial"/>
                <w:sz w:val="20"/>
                <w:szCs w:val="20"/>
              </w:rPr>
              <w:t xml:space="preserve"> Trung ương Mặt trận Tổ quốc Việt Nam;</w:t>
            </w:r>
          </w:p>
          <w:p w14:paraId="76D184B6" w14:textId="77777777"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Cơ quan trung ương của các tổ chức chính trị - xã hội;</w:t>
            </w:r>
          </w:p>
          <w:p w14:paraId="6669C0AD" w14:textId="17333495"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 VPCP: BTCN, các PCN, Trợ lý TTg, TGĐ cổng TTĐT,</w:t>
            </w:r>
            <w:r w:rsidR="00662546">
              <w:rPr>
                <w:rFonts w:ascii="Arial" w:hAnsi="Arial" w:cs="Arial"/>
                <w:sz w:val="20"/>
                <w:szCs w:val="20"/>
              </w:rPr>
              <w:t xml:space="preserve"> </w:t>
            </w:r>
            <w:r w:rsidRPr="00662546">
              <w:rPr>
                <w:rFonts w:ascii="Arial" w:hAnsi="Arial" w:cs="Arial"/>
                <w:sz w:val="20"/>
                <w:szCs w:val="20"/>
              </w:rPr>
              <w:t>các Vụ, Cục, đơn vị trực thuộc, Công báo;</w:t>
            </w:r>
          </w:p>
          <w:p w14:paraId="02118950" w14:textId="2274FC05" w:rsidR="00745DC1" w:rsidRPr="00662546" w:rsidRDefault="00000000" w:rsidP="00662546">
            <w:pPr>
              <w:spacing w:after="0" w:line="240" w:lineRule="auto"/>
              <w:rPr>
                <w:rFonts w:ascii="Arial" w:hAnsi="Arial" w:cs="Arial"/>
                <w:sz w:val="20"/>
                <w:szCs w:val="20"/>
              </w:rPr>
            </w:pPr>
            <w:r w:rsidRPr="00662546">
              <w:rPr>
                <w:rFonts w:ascii="Arial" w:hAnsi="Arial" w:cs="Arial"/>
                <w:sz w:val="20"/>
                <w:szCs w:val="20"/>
              </w:rPr>
              <w:t>-</w:t>
            </w:r>
            <w:r w:rsidR="00662546">
              <w:rPr>
                <w:rFonts w:ascii="Arial" w:hAnsi="Arial" w:cs="Arial"/>
                <w:sz w:val="20"/>
                <w:szCs w:val="20"/>
              </w:rPr>
              <w:t xml:space="preserve"> </w:t>
            </w:r>
            <w:r w:rsidRPr="00662546">
              <w:rPr>
                <w:rFonts w:ascii="Arial" w:hAnsi="Arial" w:cs="Arial"/>
                <w:sz w:val="20"/>
                <w:szCs w:val="20"/>
              </w:rPr>
              <w:t>Lưu: VT, KTTH(2b).</w:t>
            </w:r>
          </w:p>
        </w:tc>
        <w:tc>
          <w:tcPr>
            <w:tcW w:w="2064" w:type="pct"/>
          </w:tcPr>
          <w:p w14:paraId="75CD7B14" w14:textId="77777777" w:rsidR="00745DC1" w:rsidRPr="00662546" w:rsidRDefault="00000000" w:rsidP="00662546">
            <w:pPr>
              <w:spacing w:after="0" w:line="240" w:lineRule="auto"/>
              <w:jc w:val="center"/>
              <w:rPr>
                <w:rFonts w:ascii="Arial" w:hAnsi="Arial" w:cs="Arial"/>
                <w:b/>
                <w:bCs/>
                <w:sz w:val="20"/>
                <w:szCs w:val="20"/>
              </w:rPr>
            </w:pPr>
            <w:r w:rsidRPr="00662546">
              <w:rPr>
                <w:rFonts w:ascii="Arial" w:hAnsi="Arial" w:cs="Arial"/>
                <w:b/>
                <w:bCs/>
                <w:sz w:val="20"/>
                <w:szCs w:val="20"/>
              </w:rPr>
              <w:lastRenderedPageBreak/>
              <w:t>TM. CHÍNH PHỦ</w:t>
            </w:r>
          </w:p>
          <w:p w14:paraId="66F7B73C" w14:textId="77777777"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KT. THỦ TƯỚNG</w:t>
            </w:r>
          </w:p>
          <w:p w14:paraId="483D6B36" w14:textId="77777777"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PHÓ THỦ TƯỚNG</w:t>
            </w:r>
          </w:p>
          <w:p w14:paraId="13865085" w14:textId="77777777" w:rsidR="00662546" w:rsidRDefault="00662546" w:rsidP="00662546">
            <w:pPr>
              <w:spacing w:after="0" w:line="240" w:lineRule="auto"/>
              <w:jc w:val="center"/>
              <w:rPr>
                <w:rFonts w:ascii="Arial" w:hAnsi="Arial" w:cs="Arial"/>
                <w:b/>
                <w:sz w:val="20"/>
                <w:szCs w:val="20"/>
              </w:rPr>
            </w:pPr>
          </w:p>
          <w:p w14:paraId="7D56548F" w14:textId="77777777" w:rsidR="00662546" w:rsidRDefault="00662546" w:rsidP="00662546">
            <w:pPr>
              <w:spacing w:after="0" w:line="240" w:lineRule="auto"/>
              <w:jc w:val="center"/>
              <w:rPr>
                <w:rFonts w:ascii="Arial" w:hAnsi="Arial" w:cs="Arial"/>
                <w:b/>
                <w:sz w:val="20"/>
                <w:szCs w:val="20"/>
              </w:rPr>
            </w:pPr>
          </w:p>
          <w:p w14:paraId="62C03EFB" w14:textId="77777777" w:rsidR="00662546" w:rsidRDefault="00662546" w:rsidP="00662546">
            <w:pPr>
              <w:spacing w:after="0" w:line="240" w:lineRule="auto"/>
              <w:jc w:val="center"/>
              <w:rPr>
                <w:rFonts w:ascii="Arial" w:hAnsi="Arial" w:cs="Arial"/>
                <w:b/>
                <w:sz w:val="20"/>
                <w:szCs w:val="20"/>
              </w:rPr>
            </w:pPr>
          </w:p>
          <w:p w14:paraId="358C80C8" w14:textId="77777777" w:rsidR="00662546" w:rsidRDefault="00662546" w:rsidP="00662546">
            <w:pPr>
              <w:spacing w:after="0" w:line="240" w:lineRule="auto"/>
              <w:jc w:val="center"/>
              <w:rPr>
                <w:rFonts w:ascii="Arial" w:hAnsi="Arial" w:cs="Arial"/>
                <w:b/>
                <w:sz w:val="20"/>
                <w:szCs w:val="20"/>
              </w:rPr>
            </w:pPr>
          </w:p>
          <w:p w14:paraId="16EA8F02" w14:textId="77777777" w:rsidR="00662546" w:rsidRDefault="00662546" w:rsidP="00662546">
            <w:pPr>
              <w:spacing w:after="0" w:line="240" w:lineRule="auto"/>
              <w:jc w:val="center"/>
              <w:rPr>
                <w:rFonts w:ascii="Arial" w:hAnsi="Arial" w:cs="Arial"/>
                <w:b/>
                <w:sz w:val="20"/>
                <w:szCs w:val="20"/>
              </w:rPr>
            </w:pPr>
          </w:p>
          <w:p w14:paraId="7746DE77" w14:textId="6A353978" w:rsidR="00745DC1" w:rsidRPr="00662546" w:rsidRDefault="00000000" w:rsidP="00662546">
            <w:pPr>
              <w:spacing w:after="0" w:line="240" w:lineRule="auto"/>
              <w:jc w:val="center"/>
              <w:rPr>
                <w:rFonts w:ascii="Arial" w:hAnsi="Arial" w:cs="Arial"/>
                <w:sz w:val="20"/>
                <w:szCs w:val="20"/>
              </w:rPr>
            </w:pPr>
            <w:r w:rsidRPr="00662546">
              <w:rPr>
                <w:rFonts w:ascii="Arial" w:hAnsi="Arial" w:cs="Arial"/>
                <w:b/>
                <w:sz w:val="20"/>
                <w:szCs w:val="20"/>
              </w:rPr>
              <w:t>Hồ Đức Phớc</w:t>
            </w:r>
          </w:p>
        </w:tc>
      </w:tr>
    </w:tbl>
    <w:p w14:paraId="220EF35E" w14:textId="77777777" w:rsidR="00855004" w:rsidRPr="00662546" w:rsidRDefault="00855004" w:rsidP="00662546">
      <w:pPr>
        <w:spacing w:after="120" w:line="240" w:lineRule="auto"/>
        <w:ind w:firstLine="720"/>
        <w:jc w:val="both"/>
        <w:rPr>
          <w:rFonts w:ascii="Arial" w:hAnsi="Arial" w:cs="Arial"/>
          <w:sz w:val="20"/>
          <w:szCs w:val="20"/>
        </w:rPr>
      </w:pPr>
    </w:p>
    <w:sectPr w:rsidR="00855004" w:rsidRPr="00662546" w:rsidSect="0066254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A543" w14:textId="77777777" w:rsidR="00B828C6" w:rsidRDefault="00B828C6">
      <w:pPr>
        <w:spacing w:after="0" w:line="240" w:lineRule="auto"/>
      </w:pPr>
      <w:r>
        <w:separator/>
      </w:r>
    </w:p>
  </w:endnote>
  <w:endnote w:type="continuationSeparator" w:id="0">
    <w:p w14:paraId="672C8318" w14:textId="77777777" w:rsidR="00B828C6" w:rsidRDefault="00B82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1824" w14:textId="77777777" w:rsidR="00B828C6" w:rsidRDefault="00B828C6">
      <w:pPr>
        <w:spacing w:after="0" w:line="240" w:lineRule="auto"/>
      </w:pPr>
      <w:r>
        <w:separator/>
      </w:r>
    </w:p>
  </w:footnote>
  <w:footnote w:type="continuationSeparator" w:id="0">
    <w:p w14:paraId="4F4FAB45" w14:textId="77777777" w:rsidR="00B828C6" w:rsidRDefault="00B828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C1"/>
    <w:rsid w:val="00172895"/>
    <w:rsid w:val="00287EAB"/>
    <w:rsid w:val="00356C95"/>
    <w:rsid w:val="005A50DB"/>
    <w:rsid w:val="00662546"/>
    <w:rsid w:val="00745DC1"/>
    <w:rsid w:val="008272D4"/>
    <w:rsid w:val="00855004"/>
    <w:rsid w:val="008B5848"/>
    <w:rsid w:val="00A46772"/>
    <w:rsid w:val="00B21F52"/>
    <w:rsid w:val="00B828C6"/>
    <w:rsid w:val="00CE3AC0"/>
    <w:rsid w:val="00E57372"/>
    <w:rsid w:val="00EB03AE"/>
    <w:rsid w:val="00EB1922"/>
    <w:rsid w:val="00F8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8EE6"/>
  <w15:docId w15:val="{6B40ADFA-5AC0-4D50-81DF-52768E4E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2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46"/>
  </w:style>
  <w:style w:type="paragraph" w:styleId="Footer">
    <w:name w:val="footer"/>
    <w:basedOn w:val="Normal"/>
    <w:link w:val="FooterChar"/>
    <w:uiPriority w:val="99"/>
    <w:unhideWhenUsed/>
    <w:rsid w:val="00662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2236</Words>
  <Characters>12750</Characters>
  <Application>Microsoft Office Word</Application>
  <DocSecurity>0</DocSecurity>
  <Lines>106</Lines>
  <Paragraphs>29</Paragraphs>
  <ScaleCrop>false</ScaleCrop>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Le Van Toan</cp:lastModifiedBy>
  <cp:revision>4</cp:revision>
  <dcterms:created xsi:type="dcterms:W3CDTF">2026-04-09T01:39:00Z</dcterms:created>
  <dcterms:modified xsi:type="dcterms:W3CDTF">2026-07-13T10:13:00Z</dcterms:modified>
</cp:coreProperties>
</file>