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562A3F" w:rsidRPr="00166775" w14:paraId="58F9D6F6" w14:textId="77777777" w:rsidTr="00245E9F">
        <w:trPr>
          <w:trHeight w:val="920"/>
        </w:trPr>
        <w:tc>
          <w:tcPr>
            <w:tcW w:w="1800" w:type="pct"/>
            <w:tcMar>
              <w:top w:w="0" w:type="dxa"/>
              <w:left w:w="108" w:type="dxa"/>
              <w:bottom w:w="0" w:type="dxa"/>
              <w:right w:w="108" w:type="dxa"/>
            </w:tcMar>
          </w:tcPr>
          <w:p w14:paraId="6E99EF7A" w14:textId="77777777" w:rsidR="00562A3F" w:rsidRPr="00166775" w:rsidRDefault="00562A3F" w:rsidP="00166775">
            <w:pPr>
              <w:adjustRightInd w:val="0"/>
              <w:snapToGrid w:val="0"/>
              <w:spacing w:after="0" w:line="240" w:lineRule="auto"/>
              <w:jc w:val="center"/>
              <w:rPr>
                <w:rFonts w:ascii="Arial" w:hAnsi="Arial" w:cs="Arial"/>
                <w:color w:val="000000"/>
                <w:sz w:val="20"/>
                <w:szCs w:val="20"/>
              </w:rPr>
            </w:pPr>
            <w:r w:rsidRPr="00166775">
              <w:rPr>
                <w:rFonts w:ascii="Arial" w:hAnsi="Arial" w:cs="Arial"/>
                <w:b/>
                <w:bCs/>
                <w:color w:val="000000"/>
                <w:sz w:val="20"/>
                <w:szCs w:val="20"/>
              </w:rPr>
              <w:t>CHÍNH PHỦ</w:t>
            </w:r>
            <w:r w:rsidRPr="00166775">
              <w:rPr>
                <w:rFonts w:ascii="Arial" w:hAnsi="Arial" w:cs="Arial"/>
                <w:b/>
                <w:bCs/>
                <w:color w:val="000000"/>
                <w:sz w:val="20"/>
                <w:szCs w:val="20"/>
              </w:rPr>
              <w:br/>
            </w:r>
            <w:r w:rsidRPr="00166775">
              <w:rPr>
                <w:rFonts w:ascii="Arial" w:hAnsi="Arial" w:cs="Arial"/>
                <w:bCs/>
                <w:color w:val="000000"/>
                <w:sz w:val="20"/>
                <w:szCs w:val="20"/>
                <w:vertAlign w:val="superscript"/>
              </w:rPr>
              <w:t>__________</w:t>
            </w:r>
          </w:p>
          <w:p w14:paraId="22850CB0" w14:textId="171314C6" w:rsidR="00562A3F" w:rsidRPr="00166775" w:rsidRDefault="00562A3F" w:rsidP="00166775">
            <w:pPr>
              <w:adjustRightInd w:val="0"/>
              <w:snapToGrid w:val="0"/>
              <w:spacing w:after="0" w:line="240" w:lineRule="auto"/>
              <w:jc w:val="center"/>
              <w:rPr>
                <w:rFonts w:ascii="Arial" w:hAnsi="Arial" w:cs="Arial"/>
                <w:color w:val="000000"/>
                <w:sz w:val="20"/>
                <w:szCs w:val="20"/>
              </w:rPr>
            </w:pPr>
            <w:r w:rsidRPr="00166775">
              <w:rPr>
                <w:rFonts w:ascii="Arial" w:hAnsi="Arial" w:cs="Arial"/>
                <w:color w:val="000000"/>
                <w:sz w:val="20"/>
                <w:szCs w:val="20"/>
              </w:rPr>
              <w:t>Số: 132/2026/NĐ-CP</w:t>
            </w:r>
          </w:p>
        </w:tc>
        <w:tc>
          <w:tcPr>
            <w:tcW w:w="3200" w:type="pct"/>
            <w:tcMar>
              <w:top w:w="0" w:type="dxa"/>
              <w:left w:w="108" w:type="dxa"/>
              <w:bottom w:w="0" w:type="dxa"/>
              <w:right w:w="108" w:type="dxa"/>
            </w:tcMar>
          </w:tcPr>
          <w:p w14:paraId="65448F08" w14:textId="77777777" w:rsidR="00562A3F" w:rsidRPr="00166775" w:rsidRDefault="00562A3F" w:rsidP="00166775">
            <w:pPr>
              <w:adjustRightInd w:val="0"/>
              <w:snapToGrid w:val="0"/>
              <w:spacing w:after="0" w:line="240" w:lineRule="auto"/>
              <w:jc w:val="center"/>
              <w:rPr>
                <w:rFonts w:ascii="Arial" w:hAnsi="Arial" w:cs="Arial"/>
                <w:color w:val="000000"/>
                <w:sz w:val="20"/>
                <w:szCs w:val="20"/>
                <w:vertAlign w:val="superscript"/>
              </w:rPr>
            </w:pPr>
            <w:bookmarkStart w:id="0" w:name="_Hlk225157734"/>
            <w:r w:rsidRPr="00166775">
              <w:rPr>
                <w:rFonts w:ascii="Arial" w:hAnsi="Arial" w:cs="Arial"/>
                <w:b/>
                <w:bCs/>
                <w:color w:val="000000"/>
                <w:sz w:val="20"/>
                <w:szCs w:val="20"/>
              </w:rPr>
              <w:t>CỘNG HÒA XÃ HỘI CHỦ NGHĨA VIỆT NAM</w:t>
            </w:r>
            <w:r w:rsidRPr="00166775">
              <w:rPr>
                <w:rFonts w:ascii="Arial" w:hAnsi="Arial" w:cs="Arial"/>
                <w:b/>
                <w:bCs/>
                <w:color w:val="000000"/>
                <w:sz w:val="20"/>
                <w:szCs w:val="20"/>
              </w:rPr>
              <w:br/>
              <w:t xml:space="preserve">Độc lập - Tự do - Hạnh phúc </w:t>
            </w:r>
            <w:r w:rsidRPr="00166775">
              <w:rPr>
                <w:rFonts w:ascii="Arial" w:hAnsi="Arial" w:cs="Arial"/>
                <w:b/>
                <w:bCs/>
                <w:color w:val="000000"/>
                <w:sz w:val="20"/>
                <w:szCs w:val="20"/>
              </w:rPr>
              <w:br/>
            </w:r>
            <w:r w:rsidRPr="00166775">
              <w:rPr>
                <w:rFonts w:ascii="Arial" w:hAnsi="Arial" w:cs="Arial"/>
                <w:bCs/>
                <w:color w:val="000000"/>
                <w:sz w:val="20"/>
                <w:szCs w:val="20"/>
                <w:vertAlign w:val="superscript"/>
              </w:rPr>
              <w:t>______________________</w:t>
            </w:r>
          </w:p>
          <w:bookmarkEnd w:id="0"/>
          <w:p w14:paraId="1230109B" w14:textId="77777777" w:rsidR="00562A3F" w:rsidRPr="00166775" w:rsidRDefault="00562A3F" w:rsidP="00166775">
            <w:pPr>
              <w:adjustRightInd w:val="0"/>
              <w:snapToGrid w:val="0"/>
              <w:spacing w:after="0" w:line="240" w:lineRule="auto"/>
              <w:jc w:val="center"/>
              <w:rPr>
                <w:rFonts w:ascii="Arial" w:hAnsi="Arial" w:cs="Arial"/>
                <w:i/>
                <w:color w:val="000000"/>
                <w:sz w:val="20"/>
                <w:szCs w:val="20"/>
              </w:rPr>
            </w:pPr>
            <w:r w:rsidRPr="00166775">
              <w:rPr>
                <w:rFonts w:ascii="Arial" w:hAnsi="Arial" w:cs="Arial"/>
                <w:i/>
                <w:sz w:val="20"/>
                <w:szCs w:val="20"/>
              </w:rPr>
              <w:t>Hà Nội, ngày 06 tháng 4 năm 2026</w:t>
            </w:r>
          </w:p>
        </w:tc>
      </w:tr>
    </w:tbl>
    <w:p w14:paraId="394386DF" w14:textId="77777777" w:rsidR="00562A3F" w:rsidRPr="00166775" w:rsidRDefault="00562A3F" w:rsidP="00166775">
      <w:pPr>
        <w:adjustRightInd w:val="0"/>
        <w:snapToGrid w:val="0"/>
        <w:spacing w:after="0" w:line="240" w:lineRule="auto"/>
        <w:jc w:val="center"/>
        <w:rPr>
          <w:rFonts w:ascii="Arial" w:hAnsi="Arial" w:cs="Arial"/>
          <w:i/>
          <w:sz w:val="20"/>
          <w:szCs w:val="20"/>
        </w:rPr>
      </w:pPr>
    </w:p>
    <w:p w14:paraId="4BF7C03D" w14:textId="5210BC0E" w:rsidR="0001079D" w:rsidRPr="00166775" w:rsidRDefault="0001079D" w:rsidP="00166775">
      <w:pPr>
        <w:adjustRightInd w:val="0"/>
        <w:snapToGrid w:val="0"/>
        <w:spacing w:after="0" w:line="240" w:lineRule="auto"/>
        <w:jc w:val="center"/>
        <w:rPr>
          <w:rFonts w:ascii="Arial" w:hAnsi="Arial" w:cs="Arial"/>
          <w:sz w:val="20"/>
          <w:szCs w:val="20"/>
        </w:rPr>
      </w:pPr>
    </w:p>
    <w:p w14:paraId="7A96B54E" w14:textId="77777777" w:rsidR="0001079D" w:rsidRPr="00166775" w:rsidRDefault="00000000" w:rsidP="00166775">
      <w:pPr>
        <w:adjustRightInd w:val="0"/>
        <w:snapToGrid w:val="0"/>
        <w:spacing w:after="0" w:line="240" w:lineRule="auto"/>
        <w:jc w:val="center"/>
        <w:rPr>
          <w:rFonts w:ascii="Arial" w:hAnsi="Arial" w:cs="Arial"/>
          <w:sz w:val="20"/>
          <w:szCs w:val="20"/>
        </w:rPr>
      </w:pPr>
      <w:r w:rsidRPr="00166775">
        <w:rPr>
          <w:rFonts w:ascii="Arial" w:hAnsi="Arial" w:cs="Arial"/>
          <w:b/>
          <w:sz w:val="20"/>
          <w:szCs w:val="20"/>
        </w:rPr>
        <w:t>NGHỊ ĐỊNH</w:t>
      </w:r>
    </w:p>
    <w:p w14:paraId="02B666AD" w14:textId="77777777" w:rsidR="0001079D" w:rsidRPr="00166775" w:rsidRDefault="00000000" w:rsidP="00166775">
      <w:pPr>
        <w:adjustRightInd w:val="0"/>
        <w:snapToGrid w:val="0"/>
        <w:spacing w:after="0" w:line="240" w:lineRule="auto"/>
        <w:jc w:val="center"/>
        <w:rPr>
          <w:rFonts w:ascii="Arial" w:hAnsi="Arial" w:cs="Arial"/>
          <w:sz w:val="20"/>
          <w:szCs w:val="20"/>
        </w:rPr>
      </w:pPr>
      <w:r w:rsidRPr="00166775">
        <w:rPr>
          <w:rFonts w:ascii="Arial" w:hAnsi="Arial" w:cs="Arial"/>
          <w:b/>
          <w:sz w:val="20"/>
          <w:szCs w:val="20"/>
        </w:rPr>
        <w:t xml:space="preserve">Sửa đổi, bổ sung một số điều của Nghị định số 41/2018/NĐ-CP </w:t>
      </w:r>
      <w:r w:rsidRPr="00166775">
        <w:rPr>
          <w:rFonts w:ascii="Arial" w:hAnsi="Arial" w:cs="Arial"/>
          <w:sz w:val="20"/>
          <w:szCs w:val="20"/>
        </w:rPr>
        <w:br/>
      </w:r>
      <w:r w:rsidRPr="00166775">
        <w:rPr>
          <w:rFonts w:ascii="Arial" w:hAnsi="Arial" w:cs="Arial"/>
          <w:b/>
          <w:sz w:val="20"/>
          <w:szCs w:val="20"/>
        </w:rPr>
        <w:t xml:space="preserve">ngày 12 tháng 3 năm 2018 của Chính phủ quy định xử phạt vi phạm </w:t>
      </w:r>
      <w:r w:rsidRPr="00166775">
        <w:rPr>
          <w:rFonts w:ascii="Arial" w:hAnsi="Arial" w:cs="Arial"/>
          <w:sz w:val="20"/>
          <w:szCs w:val="20"/>
        </w:rPr>
        <w:br/>
      </w:r>
      <w:r w:rsidRPr="00166775">
        <w:rPr>
          <w:rFonts w:ascii="Arial" w:hAnsi="Arial" w:cs="Arial"/>
          <w:b/>
          <w:sz w:val="20"/>
          <w:szCs w:val="20"/>
        </w:rPr>
        <w:t>hành chính trong lĩnh vực kế toán, kiểm toán độc lập</w:t>
      </w:r>
    </w:p>
    <w:p w14:paraId="389EB78F" w14:textId="77777777" w:rsidR="00562A3F" w:rsidRPr="00166775" w:rsidRDefault="00562A3F" w:rsidP="00166775">
      <w:pPr>
        <w:adjustRightInd w:val="0"/>
        <w:snapToGrid w:val="0"/>
        <w:spacing w:after="0" w:line="240" w:lineRule="auto"/>
        <w:jc w:val="center"/>
        <w:rPr>
          <w:rFonts w:ascii="Arial" w:hAnsi="Arial" w:cs="Arial"/>
          <w:i/>
          <w:sz w:val="20"/>
          <w:szCs w:val="20"/>
        </w:rPr>
      </w:pPr>
    </w:p>
    <w:p w14:paraId="2A8DBFB5" w14:textId="670B53E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i/>
          <w:sz w:val="20"/>
          <w:szCs w:val="20"/>
        </w:rPr>
        <w:t>Căn cứ Luật Tổ chức Chính phủ số 63/2025/QH15;</w:t>
      </w:r>
    </w:p>
    <w:p w14:paraId="1B0059D3"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i/>
          <w:sz w:val="20"/>
          <w:szCs w:val="20"/>
        </w:rPr>
        <w:t>Căn cứ Luật Xử lý vi phạm hành chính số 15/2012/QH13; Luật sửa đổi, bổ sung một số điều của Luật Xử lý vi phạm hành chính số 67/2020/QH14; Luật sửa đổi, bổ sung một số điều của Luật Xử lý vi phạm hành chính số 88/2025/QH15;</w:t>
      </w:r>
    </w:p>
    <w:p w14:paraId="7782C0AD"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i/>
          <w:sz w:val="20"/>
          <w:szCs w:val="20"/>
        </w:rPr>
        <w:t>Căn cứ Luật Kế toán số 88/2015/QH13;</w:t>
      </w:r>
    </w:p>
    <w:p w14:paraId="6E26A28F"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i/>
          <w:sz w:val="20"/>
          <w:szCs w:val="20"/>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p>
    <w:p w14:paraId="5B372F93"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i/>
          <w:sz w:val="20"/>
          <w:szCs w:val="20"/>
        </w:rPr>
        <w:t>Căn cứ Luật Phòng, chống rửa tiền số 14/2022/QH15;</w:t>
      </w:r>
    </w:p>
    <w:p w14:paraId="6F28FC55"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i/>
          <w:sz w:val="20"/>
          <w:szCs w:val="20"/>
        </w:rPr>
        <w:t>Căn cứ Luật Phòng, chống khủng bố số 28/2013/QH13;</w:t>
      </w:r>
    </w:p>
    <w:p w14:paraId="1265323B"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i/>
          <w:sz w:val="20"/>
          <w:szCs w:val="20"/>
        </w:rPr>
        <w:t>Theo đề nghị của Bộ trưởng Bộ Tài chính;</w:t>
      </w:r>
    </w:p>
    <w:p w14:paraId="4F44C3E5"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i/>
          <w:sz w:val="20"/>
          <w:szCs w:val="20"/>
        </w:rPr>
        <w:t>Chính phủ ban hành Nghị định sửa đổi, bổ sung một số điều của Nghị định số 41/2018/NĐ-CP ngày 12 tháng 3 năm 2018 của Chính phủ quy định xử phạt vi phạm hành chính trong lĩnh vực kế toán, kiểm toán độc lập.</w:t>
      </w:r>
    </w:p>
    <w:p w14:paraId="1C1C0674"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b/>
          <w:sz w:val="20"/>
          <w:szCs w:val="20"/>
        </w:rPr>
        <w:t>Điều 1. Sửa đổi, bổ sung khoản 3 Điều 3</w:t>
      </w:r>
    </w:p>
    <w:p w14:paraId="7A3056F2"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“3. Thời điểm để tính thời hiệu xử phạt vi phạm hành chính trong lĩnh vực kế toán được quy định như sau:</w:t>
      </w:r>
    </w:p>
    <w:p w14:paraId="2B8474B5"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a) Đối với hành vi vi phạm hành chính đã kết thúc thì thời hiệu được tính từ thời điểm chấm dứt hành vi vi phạm;</w:t>
      </w:r>
    </w:p>
    <w:p w14:paraId="137E01B9"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b) Đối với hành vi vi phạm hành chính đang được thực hiện thì thời hiệu được tính từ thời điểm phát hiện hành vi vi phạm;</w:t>
      </w:r>
    </w:p>
    <w:p w14:paraId="6414D1FF"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c) Đối với hành vi vi phạm về kế toán quy định tại Nghị định này, thời điểm chấm dứt hành vi vi phạm hành chính để tính thời hiệu xử phạt là:</w:t>
      </w:r>
    </w:p>
    <w:p w14:paraId="0DC921E5"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Thời điểm tổ chức, cá nhân thực hiện xong quy trình nghiệp vụ, yêu cầu công việc theo quy định của pháp luật về kế toán;</w:t>
      </w:r>
    </w:p>
    <w:p w14:paraId="78260423"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Thời điểm tổ chức, cá nhân chấm dứt hành vi vi phạm để thực hiện đúng theo quy định của pháp luật về kế toán.</w:t>
      </w:r>
    </w:p>
    <w:p w14:paraId="6579AA86"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d) Để xem xét hành vi vi phạm hành chính đã kết thúc hay đang thực hiện, ngoài việc căn cứ điểm c trên đây, cơ quan, người có thẩm quyền xử phạt vi phạm hành chính căn cứ vào quy định của pháp luật về kế toán, hồ sơ, tài liệu và tình tiết của từng vụ việc cụ thể để xác định hành vi vi phạm đã kết thúc hay hành vi vi phạm đang thực hiện.”.</w:t>
      </w:r>
    </w:p>
    <w:p w14:paraId="078FC19B"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b/>
          <w:sz w:val="20"/>
          <w:szCs w:val="20"/>
        </w:rPr>
        <w:t>Điều 2. Sửa đổi, bổ sung các khoản 2, khoản 3 Điều 6</w:t>
      </w:r>
    </w:p>
    <w:p w14:paraId="31031281"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“2. Mức phạt tiền quy định tại Chương II Nghị định này là mức phạt tiền áp dụng đối với tổ chức trừ trường hợp quy định tại khoản 1 Điều 7; Điều 8; Điều 9; Điều 10; Điều 11; Điều 13; Điều 14; Điều 15; Điều 16; Điều 17; Điều 19; khoản 1, khoản 3 Điều 21; Điều 22; Điều 23; Điều 24; Điều 26; Điều 33; Điều 34; Điều 35a là mức phạt tiền đối với cá nhân. Đối với tổ chức có cùng hành vi vi phạm thì mức phạt tiền gấp 02 lần mức phạt tiền đối với cá nhân.</w:t>
      </w:r>
    </w:p>
    <w:p w14:paraId="5DE9A55F"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3. Thẩm quyền xử phạt của các chức danh quy định tại Chương IV Nghị định này là thẩm quyền áp dụng đối với một hành vi vi phạm hành chính của cá nhân. Trong trường hợp phạt tiền, thẩm quyền xử phạt tổ chức gấp 02 lần thẩm quyền xử phạt cá nhân đối với chức danh đó.”.</w:t>
      </w:r>
    </w:p>
    <w:p w14:paraId="677A046D"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b/>
          <w:sz w:val="20"/>
          <w:szCs w:val="20"/>
        </w:rPr>
        <w:lastRenderedPageBreak/>
        <w:t>Điều 3. Bổ sung Mục 8 và Điều 35a Chương II</w:t>
      </w:r>
    </w:p>
    <w:p w14:paraId="4F08BE69" w14:textId="77777777" w:rsidR="0001079D" w:rsidRPr="00166775" w:rsidRDefault="00000000" w:rsidP="00166775">
      <w:pPr>
        <w:adjustRightInd w:val="0"/>
        <w:snapToGrid w:val="0"/>
        <w:spacing w:after="0" w:line="240" w:lineRule="auto"/>
        <w:jc w:val="center"/>
        <w:rPr>
          <w:rFonts w:ascii="Arial" w:hAnsi="Arial" w:cs="Arial"/>
          <w:sz w:val="20"/>
          <w:szCs w:val="20"/>
        </w:rPr>
      </w:pPr>
      <w:r w:rsidRPr="00166775">
        <w:rPr>
          <w:rFonts w:ascii="Arial" w:hAnsi="Arial" w:cs="Arial"/>
          <w:b/>
          <w:sz w:val="20"/>
          <w:szCs w:val="20"/>
        </w:rPr>
        <w:t>“Mục 8</w:t>
      </w:r>
    </w:p>
    <w:p w14:paraId="77DB7872" w14:textId="00022F22" w:rsidR="0001079D" w:rsidRPr="00166775" w:rsidRDefault="00000000" w:rsidP="00166775">
      <w:pPr>
        <w:adjustRightInd w:val="0"/>
        <w:snapToGrid w:val="0"/>
        <w:spacing w:after="0" w:line="240" w:lineRule="auto"/>
        <w:jc w:val="center"/>
        <w:rPr>
          <w:rFonts w:ascii="Arial" w:hAnsi="Arial" w:cs="Arial"/>
          <w:sz w:val="20"/>
          <w:szCs w:val="20"/>
        </w:rPr>
      </w:pPr>
      <w:r w:rsidRPr="00166775">
        <w:rPr>
          <w:rFonts w:ascii="Arial" w:hAnsi="Arial" w:cs="Arial"/>
          <w:b/>
          <w:sz w:val="20"/>
          <w:szCs w:val="20"/>
        </w:rPr>
        <w:t>HÀNH VI VI PHẠM QUY ĐỊNH VỀ PHÒNG, CHỐNG RỬA TIỀN;</w:t>
      </w:r>
      <w:r w:rsidR="00166775">
        <w:rPr>
          <w:rFonts w:ascii="Arial" w:hAnsi="Arial" w:cs="Arial"/>
          <w:sz w:val="20"/>
          <w:szCs w:val="20"/>
        </w:rPr>
        <w:br/>
      </w:r>
      <w:r w:rsidRPr="00166775">
        <w:rPr>
          <w:rFonts w:ascii="Arial" w:hAnsi="Arial" w:cs="Arial"/>
          <w:b/>
          <w:sz w:val="20"/>
          <w:szCs w:val="20"/>
        </w:rPr>
        <w:t xml:space="preserve">PHÒNG, CHỐNG TÀI TRỢ KHỦNG BỐ; PHÒNG, CHỐNG TÀI TRỢ </w:t>
      </w:r>
      <w:r w:rsidRPr="00166775">
        <w:rPr>
          <w:rFonts w:ascii="Arial" w:hAnsi="Arial" w:cs="Arial"/>
          <w:sz w:val="20"/>
          <w:szCs w:val="20"/>
        </w:rPr>
        <w:br/>
      </w:r>
      <w:r w:rsidRPr="00166775">
        <w:rPr>
          <w:rFonts w:ascii="Arial" w:hAnsi="Arial" w:cs="Arial"/>
          <w:b/>
          <w:sz w:val="20"/>
          <w:szCs w:val="20"/>
        </w:rPr>
        <w:t xml:space="preserve">PHỔ BIẾN VŨ KHÍ HỦY DIỆT HÀNG LOẠT TRONG KINH DOANH </w:t>
      </w:r>
      <w:r w:rsidRPr="00166775">
        <w:rPr>
          <w:rFonts w:ascii="Arial" w:hAnsi="Arial" w:cs="Arial"/>
          <w:sz w:val="20"/>
          <w:szCs w:val="20"/>
        </w:rPr>
        <w:br/>
      </w:r>
      <w:r w:rsidRPr="00166775">
        <w:rPr>
          <w:rFonts w:ascii="Arial" w:hAnsi="Arial" w:cs="Arial"/>
          <w:b/>
          <w:sz w:val="20"/>
          <w:szCs w:val="20"/>
        </w:rPr>
        <w:t>DỊCH VỤ KẾ TOÁN</w:t>
      </w:r>
    </w:p>
    <w:p w14:paraId="39A8B5C9"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b/>
          <w:sz w:val="20"/>
          <w:szCs w:val="20"/>
        </w:rPr>
        <w:t>Điều 35a. Xử phạt hành vi vi phạm quy định về phòng, chống rửa tiền; phòng, chống tài trợ khủng bố; phòng, chống tài trợ phổ biến vũ khí hủy diệt hàng loạt trong kinh doanh dịch vụ kế toán</w:t>
      </w:r>
    </w:p>
    <w:p w14:paraId="1852A9FA"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1. Xử phạt hành vi vi phạm quy định về nhận biết khách hàng; quy định về đánh giá rủi ro; quy định về phân loại khách hàng theo mức độ rủi ro</w:t>
      </w:r>
    </w:p>
    <w:p w14:paraId="364F9A03"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a) Phạt tiền từ 10.000.000 đồng đến 15.000.000 đồng đối với một trong các hành vi vi phạm sau đây:</w:t>
      </w:r>
    </w:p>
    <w:p w14:paraId="26D435CA"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Hành vi không nhận biết khách hàng; không cập nhật; không xác minh thông tin nhận biết khách hàng hoặc nhận biết khách hàng; cập nhật; xác minh thông tin nhận biết khách hàng không đúng quy định của pháp luật về phòng, chống rửa tiền, phòng, chống tài trợ khủng bố, phòng, chống tài trợ phổ biến vũ khí hủy diệt hàng loạt;</w:t>
      </w:r>
    </w:p>
    <w:p w14:paraId="362051E9"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Hành vi không cập nhật danh sách đen;</w:t>
      </w:r>
    </w:p>
    <w:p w14:paraId="10F33515"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Hành vi không thực hiện đánh giá, không cập nhật kết quả đánh giá rủi ro rửa tiền, tài trợ khủng bố, tài trợ phổ biến vũ khí hủy diệt hàng loạt theo quy định của pháp luật;</w:t>
      </w:r>
    </w:p>
    <w:p w14:paraId="5D482D82"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Hành vi không báo cáo hoặc không phổ biến kết quả đánh giá, cập nhật rủi ro về rửa tiền, tài trợ khủng bố, tài trợ phổ biến vũ khí hủy diệt hàng loạt theo quy định của pháp luật.</w:t>
      </w:r>
    </w:p>
    <w:p w14:paraId="3506CDFC"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b) Phạt tiền từ 15.000.000 đồng đến 20.000.000 đồng đối với hành vi không xây dựng hoặc không ban hành quy trình quản lý rủi ro, không phân loại khách hàng theo mức độ rủi ro hoặc xây dựng quy trình quản lý rủi ro, phân loại khách hàng theo mức độ rủi ro không đúng quy định của pháp luật về phòng, chống rửa tiền, phòng, chống tài trợ khủng bố, phòng, chống tài trợ phổ biến vũ khí hủy diệt hàng loạt.</w:t>
      </w:r>
    </w:p>
    <w:p w14:paraId="61191CC1"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2. Xử phạt hành vi vi phạm quy định về quy định nội bộ về phòng, chống rửa tiền, phòng, chống tài trợ khủng bố, phòng, chống tài trợ phổ biến vũ khí hủy diệt hàng loạt; quy định về lưu trữ, cung cấp và bảo đảm bí mật thông tin, hồ sơ, tài liệu, báo cáo</w:t>
      </w:r>
    </w:p>
    <w:p w14:paraId="1B70FAA6"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a) Phạt tiền từ 10.000.000 đồng đến 20.000.000 đồng đối với một trong các hành vi vi phạm sau đây:</w:t>
      </w:r>
    </w:p>
    <w:p w14:paraId="584C604F"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Không áp dụng hoặc áp dụng không đúng quy định nội bộ trong việc thực hiện kiểm soát, kiểm toán nội bộ theo quy định của pháp luật về phòng, chống rửa tiền, phòng, chống tài trợ khủng bố, phòng, chống tài trợ phổ biến vũ khí hủy diệt hàng loạt;</w:t>
      </w:r>
    </w:p>
    <w:p w14:paraId="0517A4C6"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Không áp dụng quy định nội bộ về phân công hoặc không đăng ký phân công người chịu trách nhiệm, cán bộ, bộ phận phụ trách về phòng, chống rửa tiền, phòng, chống tài trợ khủng bố, phòng, chống tài trợ phổ biến vũ khí hủy diệt hàng loạt theo quy định của pháp luật về phòng, chống rửa tiền, phòng, chống tài trợ khủng bố, phòng, chống tài trợ phổ biến vũ khí hủy diệt hàng loạt;</w:t>
      </w:r>
    </w:p>
    <w:p w14:paraId="7718ECE2"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Không áp dụng hoặc áp dụng không đúng quy định nội bộ về đào tạo, bồi dưỡng, tuyển dụng theo quy định của pháp luật về phòng, chống rửa tiền, phòng, chống tài trợ khủng bố, phòng, chống tài trợ phổ biến vũ khí hủy diệt hàng loạt.</w:t>
      </w:r>
    </w:p>
    <w:p w14:paraId="124499B5"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b) Phạt tiền từ 20.000.000 đồng đến 30.000.000 đồng đối với hành vi không ban hành quy định nội bộ hoặc ban hành quy định nội bộ không đúng quy định của pháp luật về phòng, chống rửa tiền, phòng, chống tài trợ khủng bố, phòng, chống tài trợ phổ biến vũ khí hủy diệt hàng loạt;</w:t>
      </w:r>
    </w:p>
    <w:p w14:paraId="6CC9751D"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c) Phạt tiền từ 15.000.000 đồng đến 25.000.000 đồng đối với một trong các hành vi vi phạm sau đây:</w:t>
      </w:r>
    </w:p>
    <w:p w14:paraId="079EDADD"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Không cung cấp kịp thời thông tin, hồ sơ, tài liệu, báo cáo theo quy định của pháp luật về phòng, chống rửa tiền, phòng, chống tài trợ khủng bố, phòng, chống tài trợ phổ biến vũ khí hủy diệt hàng loạt mà chưa đến mức bị truy cứu trách nhiệm hình sự;</w:t>
      </w:r>
    </w:p>
    <w:p w14:paraId="743F178A"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lastRenderedPageBreak/>
        <w:t>Không lưu trữ hoặc lưu trữ không đầy đủ thông tin, hồ sơ, tài liệu, báo cáo; lưu trữ thông tin, hồ sơ, tài liệu không đúng thời hạn theo quy định của pháp luật phòng, chống rửa tiền, phòng, chống tài trợ khủng bố, phòng, chống tài trợ phổ biến vũ khí hủy diệt hàng loạt;</w:t>
      </w:r>
    </w:p>
    <w:p w14:paraId="3376FF5F"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Không tuân thủ quy định về bảo mật thông tin nhận biết khách hàng đối với thông tin, hồ sơ, tài liệu, báo cáo liên quan đến các giao dịch phải báo cáo theo quy định của pháp luật phòng, chống rửa tiền, tài trợ khủng bố, tài trợ phổ biến vũ khí hủy diệt hàng loạt.</w:t>
      </w:r>
    </w:p>
    <w:p w14:paraId="772FAB43"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3. Xử phạt hành vi vi phạm quy định liên quan đến khách hàng nước ngoài là cá nhân có ảnh hưởng chính trị</w:t>
      </w:r>
    </w:p>
    <w:p w14:paraId="7ACA1BAD"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Phạt tiền từ 15.000.000 đồng đến 20.000.000 đồng đối với hành vi không thực hiện các quy định liên quan đến khách hàng là cá nhân nước ngoài có ảnh hưởng chính trị theo quy định tại Luật Phòng, chống rửa tiền.</w:t>
      </w:r>
    </w:p>
    <w:p w14:paraId="3694C33E"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4. Xử phạt hành vi vi phạm quy định về giám sát giao dịch đặc biệt</w:t>
      </w:r>
    </w:p>
    <w:p w14:paraId="0413040F"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Phạt tiền từ 20.000.000 đồng đến 30.000.000 đồng đối với hành vi không giám sát giao dịch đặc biệt theo quy định tại Luật Phòng, chống rửa tiền.</w:t>
      </w:r>
    </w:p>
    <w:p w14:paraId="688F6174"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5. Xử phạt hành vi vi phạm quy định về báo cáo giao dịch có giá trị lớn, giao dịch đáng ngờ, báo cáo hành vi nghi ngờ liên quan đến tài trợ khủng bố, tài trợ phổ biến vũ khí hủy diệt hàng loạt</w:t>
      </w:r>
    </w:p>
    <w:p w14:paraId="5F9A8D35"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a) Phạt tiền từ 8.000.000 đồng đến 12.000.000 đồng đối với một trong các hành vi vi phạm sau đây:</w:t>
      </w:r>
    </w:p>
    <w:p w14:paraId="472823F0"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Vi phạm quy định về thời hạn hoặc yêu cầu về tính đầy đủ, chính xác về thông tin báo cáo từ lần thứ ba trở lên trong năm tài chính đối với báo cáo giao dịch có giá trị lớn theo quy định của pháp luật về phòng, chống rửa tiền, phòng, chống tài trợ khủng bố, tài trợ phổ biến vũ khí hủy diệt hàng loạt;</w:t>
      </w:r>
    </w:p>
    <w:p w14:paraId="69F7876D"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Gửi báo cáo không đầy đủ thông tin theo quy định của pháp luật đối với báo cáo giao dịch đáng ngờ liên quan đến rửa tiền, tài trợ khủng bố, tài trợ phổ biến vũ khí hủy diệt hàng loạt.</w:t>
      </w:r>
    </w:p>
    <w:p w14:paraId="58134740"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b) Phạt tiền từ 15.000.000 đồng đến 25.000.000 đồng đối với một trong các hành vi vi phạm sau đây:</w:t>
      </w:r>
    </w:p>
    <w:p w14:paraId="76A1363E"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Không báo cáo giao dịch có giá trị lớn phải báo cáo;</w:t>
      </w:r>
    </w:p>
    <w:p w14:paraId="21AADA1E"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Không báo cáo giao dịch đáng ngờ liên quan đến rửa tiền, tài trợ khủng bố, tài trợ phổ biến vũ khí hủy diệt hàng loạt;</w:t>
      </w:r>
    </w:p>
    <w:p w14:paraId="327E7276"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Không báo cáo khi có nghi ngờ khách hàng hoặc giao dịch của khách hàng liên quan đến tài trợ khủng bố, tài trợ phổ biến vũ khí hủy diệt hàng loạt hoặc khách hàng nằm trong danh sách đen, danh sách bị chỉ định theo quy định của pháp luật phòng, chống khủng bố, pháp luật về phòng, chống tài trợ phổ biến vũ khí hủy diệt hàng loạt.</w:t>
      </w:r>
    </w:p>
    <w:p w14:paraId="37F9F03C"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6. Xử phạt hành vi vi phạm quy định về các hành vi bị cấm trong phòng, chống rửa tiền, phòng, chống tài trợ khủng bố</w:t>
      </w:r>
    </w:p>
    <w:p w14:paraId="0A81FFB2"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a) Phạt tiền từ 15.000.000 đồng đến 25.000.000 đồng đối với hành vi cản trở việc cung cấp thông tin phục vụ công tác phòng, chống rửa tiền, phòng, chống tài trợ khủng bố;</w:t>
      </w:r>
    </w:p>
    <w:p w14:paraId="383B1799"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b) Phạt tiền từ 30.000.000 đồng đến 40.000.000 đồng đối với hành vi cung cấp trái phép dịch vụ nhận tiền mặt, séc, công cụ tiền tệ khác hoặc công cụ lưu trữ giá trị và thực hiện thanh toán cho người thụ hưởng;</w:t>
      </w:r>
    </w:p>
    <w:p w14:paraId="4E050A72"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c) Phạt tiền từ 40.000.000 đồng đến 50.000.000 đồng đối với một trong các hành vi vi phạm sau đây:</w:t>
      </w:r>
    </w:p>
    <w:p w14:paraId="326E844B"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Tổ chức, tham gia hoặc tạo điều kiện, trợ giúp thực hiện hành vi rửa tiền mà chưa đến mức bị truy cứu trách nhiệm hình sự;</w:t>
      </w:r>
    </w:p>
    <w:p w14:paraId="54D5F2A8"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Thiết lập, duy trì quan hệ kinh doanh với ngân hàng vỏ bọc mà chưa đến mức bị truy cứu trách nhiệm hình sự;</w:t>
      </w:r>
    </w:p>
    <w:p w14:paraId="2ECB06D3"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Không tố giác hành vi tài trợ khủng bố mà chưa đến mức bị truy cứu trách nhiệm hình sự;</w:t>
      </w:r>
    </w:p>
    <w:p w14:paraId="3DD1A6CB"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Lợi dụng việc tạm ngừng lưu thông, phong tỏa, niêm phong, tạm giữ, xử lý tiền, tài sản liên quan đến tài trợ khủng bố để xâm phạm lợi ích của Nhà nước, quyền, lợi ích hợp pháp của cơ quan, tổ chức, cá nhân mà chưa đến mức bị truy cứu trách nhiệm hình sự;</w:t>
      </w:r>
    </w:p>
    <w:p w14:paraId="2EF880EE"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lastRenderedPageBreak/>
        <w:t>Trực tiếp hoặc gián tiếp cung cấp tiền, tài sản, nguồn tài chính, nguồn lực kinh tế, dịch vụ tài chính hoặc dịch vụ khác cho tổ chức, cá nhân liên quan đến khủng bố, tài trợ khủng bố mà chưa đến mức bị truy cứu trách nhiệm hình sự.</w:t>
      </w:r>
    </w:p>
    <w:p w14:paraId="0E76F35F"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7. Tổ chức, cá nhân có hành vi vi phạm quy định về phòng, chống rửa tiền; phòng, chống tài trợ khủng bố; phòng, chống tài trợ phổ biến vũ khí hủy diệt hàng loạt trong kinh doanh dịch vụ kế toán chưa được quy định tại Nghị định này thì bị xử phạt theo quy định tại Nghị định số 340/2025/NĐ-CP ngày 25 tháng 12 năm 2025 của Chính phủ quy định xử phạt vi phạm hành chính trong lĩnh vực tiền tệ và ngân hàng.”.</w:t>
      </w:r>
    </w:p>
    <w:p w14:paraId="04632CE0"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b/>
          <w:sz w:val="20"/>
          <w:szCs w:val="20"/>
        </w:rPr>
        <w:t>Điều 4. Sửa đổi, bổ sung Chương IV</w:t>
      </w:r>
    </w:p>
    <w:p w14:paraId="6BBD4B0A" w14:textId="77777777" w:rsidR="0001079D" w:rsidRPr="00166775" w:rsidRDefault="00000000" w:rsidP="00166775">
      <w:pPr>
        <w:adjustRightInd w:val="0"/>
        <w:snapToGrid w:val="0"/>
        <w:spacing w:after="0" w:line="240" w:lineRule="auto"/>
        <w:jc w:val="center"/>
        <w:rPr>
          <w:rFonts w:ascii="Arial" w:hAnsi="Arial" w:cs="Arial"/>
          <w:sz w:val="20"/>
          <w:szCs w:val="20"/>
        </w:rPr>
      </w:pPr>
      <w:r w:rsidRPr="00166775">
        <w:rPr>
          <w:rFonts w:ascii="Arial" w:hAnsi="Arial" w:cs="Arial"/>
          <w:b/>
          <w:sz w:val="20"/>
          <w:szCs w:val="20"/>
        </w:rPr>
        <w:t>“Chương IV</w:t>
      </w:r>
    </w:p>
    <w:p w14:paraId="57F4AB47" w14:textId="77777777" w:rsidR="0001079D" w:rsidRPr="00166775" w:rsidRDefault="00000000" w:rsidP="00166775">
      <w:pPr>
        <w:adjustRightInd w:val="0"/>
        <w:snapToGrid w:val="0"/>
        <w:spacing w:after="0" w:line="240" w:lineRule="auto"/>
        <w:jc w:val="center"/>
        <w:rPr>
          <w:rFonts w:ascii="Arial" w:hAnsi="Arial" w:cs="Arial"/>
          <w:sz w:val="20"/>
          <w:szCs w:val="20"/>
        </w:rPr>
      </w:pPr>
      <w:r w:rsidRPr="00166775">
        <w:rPr>
          <w:rFonts w:ascii="Arial" w:hAnsi="Arial" w:cs="Arial"/>
          <w:b/>
          <w:sz w:val="20"/>
          <w:szCs w:val="20"/>
        </w:rPr>
        <w:t xml:space="preserve">THẨM QUYỀN LẬP BIÊN BẢN, XỬ PHẠT VI PHẠM </w:t>
      </w:r>
      <w:r w:rsidRPr="00166775">
        <w:rPr>
          <w:rFonts w:ascii="Arial" w:hAnsi="Arial" w:cs="Arial"/>
          <w:sz w:val="20"/>
          <w:szCs w:val="20"/>
        </w:rPr>
        <w:br/>
      </w:r>
      <w:r w:rsidRPr="00166775">
        <w:rPr>
          <w:rFonts w:ascii="Arial" w:hAnsi="Arial" w:cs="Arial"/>
          <w:b/>
          <w:sz w:val="20"/>
          <w:szCs w:val="20"/>
        </w:rPr>
        <w:t>HÀNH CHÍNH TRONG LĨNH VỰC KẾ TOÁN</w:t>
      </w:r>
    </w:p>
    <w:p w14:paraId="605BAB51"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b/>
          <w:sz w:val="20"/>
          <w:szCs w:val="20"/>
        </w:rPr>
        <w:t>Điều 69. Thẩm quyền lập biên bản vi phạm hành chính trong lĩnh vực kế toán</w:t>
      </w:r>
    </w:p>
    <w:p w14:paraId="37C82B2D"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Người có thẩm quyền lập biên bản vi phạm hành chính trong lĩnh vực kế toán gồm:</w:t>
      </w:r>
    </w:p>
    <w:p w14:paraId="152D34A4"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1. Người có thẩm quyền xử phạt vi phạm hành chính trong lĩnh vực kế toán quy định tại Nghị định này.</w:t>
      </w:r>
    </w:p>
    <w:p w14:paraId="02494283"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2. Công chức, viên chức và người thuộc lực lượng Quân đội nhân dân, Công an nhân dân đang thi hành công vụ, nhiệm vụ theo quy định của pháp luật hoặc quyết định của cơ quan, người có thẩm quyền.</w:t>
      </w:r>
    </w:p>
    <w:p w14:paraId="4F894147"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b/>
          <w:sz w:val="20"/>
          <w:szCs w:val="20"/>
        </w:rPr>
        <w:t>Điều 70. Thẩm quyền xử phạt vi phạm hành chính của thủ trưởng cơ quan thực hiện nhiệm vụ quản lý nhà nước theo chuyên ngành, lĩnh vực và một số chức danh khác</w:t>
      </w:r>
    </w:p>
    <w:p w14:paraId="5F9A28A5"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1. Giám đốc Sở Tài chính có quyền xử phạt vi phạm hành chính trong lĩnh vực kế toán như sau:</w:t>
      </w:r>
    </w:p>
    <w:p w14:paraId="38162958"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a) Phạt cảnh cáo;</w:t>
      </w:r>
    </w:p>
    <w:p w14:paraId="453CE1EC"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b) Phạt tiền đến 40.000.000 đồng;</w:t>
      </w:r>
    </w:p>
    <w:p w14:paraId="4BB3E31D"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c) Tịch thu tang vật vi phạm hành chính;</w:t>
      </w:r>
    </w:p>
    <w:p w14:paraId="4F1CBB35"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d) Tước quyền sử dụng Giấy chứng nhận đăng ký hành nghề dịch vụ kế toán, Giấy chứng nhận đủ điều kiện kinh doanh dịch vụ kế toán có thời hạn hoặc đình chỉ hoạt động có thời hạn;</w:t>
      </w:r>
    </w:p>
    <w:p w14:paraId="1C46BAC5"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đ) Áp dụng các biện pháp khắc phục hậu quả quy định tại Điều 5 Nghị định này.</w:t>
      </w:r>
    </w:p>
    <w:p w14:paraId="6077DB3A"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2. Cục trưởng Cục Quản lý, giám sát kế toán, kiểm toán - Bộ Tài chính có quyền xử phạt vi phạm hành chính trong lĩnh vực kế toán như sau:</w:t>
      </w:r>
    </w:p>
    <w:p w14:paraId="71221ABB"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a) Phạt cảnh cáo;</w:t>
      </w:r>
    </w:p>
    <w:p w14:paraId="44686FE5"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b) Phạt tiền đến 50.000.000 đồng;</w:t>
      </w:r>
    </w:p>
    <w:p w14:paraId="759976AF"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c) Tịch thu tang vật vi phạm hành chính;</w:t>
      </w:r>
    </w:p>
    <w:p w14:paraId="1B6B1741"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d) Tước quyền sử dụng Giấy chứng nhận đăng ký hành nghề dịch vụ kế toán, Giấy chứng nhận đủ điều kiện kinh doanh dịch vụ kế toán có thời hạn hoặc đình chỉ hoạt động có thời hạn;</w:t>
      </w:r>
    </w:p>
    <w:p w14:paraId="7667DFDE"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đ) Áp dụng các biện pháp khắc phục hậu quả quy định tại Điều 5 Nghị định này.</w:t>
      </w:r>
    </w:p>
    <w:p w14:paraId="0A043DE4"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3. Trưởng đoàn kiểm tra do Thủ trưởng tổ chức thuộc bộ, cơ quan ngang bộ thực hiện nhiệm vụ quản lý nhà nước của bộ, cơ quan ngang bộ thành lập có thẩm quyền xử phạt theo quy định tại khoản 1 Điều này.</w:t>
      </w:r>
    </w:p>
    <w:p w14:paraId="5FC6F937"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Trưởng đoàn kiểm tra do Bộ trưởng, Thủ trưởng cơ quan ngang bộ thành lập có thẩm quyền xử phạt theo quy định tại khoản 2 Điều này.</w:t>
      </w:r>
    </w:p>
    <w:p w14:paraId="6F53A552"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b/>
          <w:sz w:val="20"/>
          <w:szCs w:val="20"/>
        </w:rPr>
        <w:t>Điều 70a. Thẩm quyền xử phạt vi phạm hành chính của Thanh tra Ngân hàng Nhà nước Việt Nam</w:t>
      </w:r>
    </w:p>
    <w:p w14:paraId="76FA1BAB"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1. Thanh tra viên Ngân hàng Nhà nước Việt Nam có quyền xử phạt vi phạm hành chính trong lĩnh vực kế toán như sau:</w:t>
      </w:r>
    </w:p>
    <w:p w14:paraId="74046A13"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a) Phạt cảnh cáo;</w:t>
      </w:r>
    </w:p>
    <w:p w14:paraId="68665DF3"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lastRenderedPageBreak/>
        <w:t>b) Phạt tiền đến 5.000.000 đồng;</w:t>
      </w:r>
    </w:p>
    <w:p w14:paraId="3A2F27A4"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c) Tịch thu tang vật, phương tiện vi phạm hành chính có giá trị không vượt quá 02 lần mức tiền phạt quy định tại điểm b khoản này.</w:t>
      </w:r>
    </w:p>
    <w:p w14:paraId="3E109BCA"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2. Trưởng đoàn thanh tra do Chánh Thanh tra Ngân hàng Nhà nước khu vực thành lập có quyền xử phạt vi phạm hành chính trong lĩnh vực kế toán như sau:</w:t>
      </w:r>
    </w:p>
    <w:p w14:paraId="1E356CBA"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a) Phạt cảnh cáo;</w:t>
      </w:r>
    </w:p>
    <w:p w14:paraId="0298D4F8"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b) Phạt tiền đến 25.000.000 đồng;</w:t>
      </w:r>
    </w:p>
    <w:p w14:paraId="3C2EE6D1"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c) Tịch thu tang vật, phương tiện vi phạm hành chính;</w:t>
      </w:r>
    </w:p>
    <w:p w14:paraId="6E59A6A8"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d) Áp dụng biện pháp khắc phục hậu quả quy định tại Điều 5 Nghị định này.</w:t>
      </w:r>
    </w:p>
    <w:p w14:paraId="005B7DDC"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3. Chánh Thanh tra Ngân hàng Nhà nước khu vực có quyền xử phạt vi phạm hành chính trong lĩnh vực kế toán như sau:</w:t>
      </w:r>
    </w:p>
    <w:p w14:paraId="50F81A17"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a) Phạt cảnh cáo;</w:t>
      </w:r>
    </w:p>
    <w:p w14:paraId="590DD4E6"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b) Phạt tiền đến 40.000.000 đồng;</w:t>
      </w:r>
    </w:p>
    <w:p w14:paraId="02AD5D0A"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c) Tịch thu tang vật vi phạm hành chính;</w:t>
      </w:r>
    </w:p>
    <w:p w14:paraId="4FD7082C"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d) Tước quyền sử dụng Giấy chứng nhận đăng ký hành nghề dịch vụ kế toán, Giấy chứng nhận đủ điều kiện kinh doanh dịch vụ kế toán có thời hạn hoặc đình chỉ hoạt động có thời hạn;</w:t>
      </w:r>
    </w:p>
    <w:p w14:paraId="07615B07"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đ) Áp dụng các biện pháp khắc phục hậu quả quy định tại Điều 5 Nghị định này.</w:t>
      </w:r>
    </w:p>
    <w:p w14:paraId="3CEDDA42"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4. Chánh Thanh tra Ngân hàng Nhà nước Việt Nam; Trưởng đoàn thanh tra do Chánh Thanh tra Ngân hàng Nhà nước Việt Nam thành lập có quyền:</w:t>
      </w:r>
    </w:p>
    <w:p w14:paraId="0BDAF118"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a) Phạt cảnh cáo;</w:t>
      </w:r>
    </w:p>
    <w:p w14:paraId="695FD466"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b) Phạt tiền đến 50.000.000 đồng;</w:t>
      </w:r>
    </w:p>
    <w:p w14:paraId="1C642D1E"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c) Tịch thu tang vật vi phạm hành chính;</w:t>
      </w:r>
    </w:p>
    <w:p w14:paraId="4A238621"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d) Tước quyền sử dụng Giấy chứng nhận đăng ký hành nghề dịch vụ kế toán, Giấy chứng nhận đủ điều kiện kinh doanh dịch vụ kế toán có thời hạn hoặc đình chỉ hoạt động có thời hạn;</w:t>
      </w:r>
    </w:p>
    <w:p w14:paraId="4FDD7C99"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đ) Áp dụng các biện pháp khắc phục hậu quả quy định tại Điều 5 Nghị định này.</w:t>
      </w:r>
    </w:p>
    <w:p w14:paraId="7F01E6E6" w14:textId="03AB8DA1"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b/>
          <w:sz w:val="20"/>
          <w:szCs w:val="20"/>
        </w:rPr>
        <w:t xml:space="preserve">Điều 71. Thẩm quyền xử phạt vi phạm hành chính của Chủ tịch </w:t>
      </w:r>
      <w:r w:rsidR="00166775">
        <w:rPr>
          <w:rFonts w:ascii="Arial" w:hAnsi="Arial" w:cs="Arial"/>
          <w:b/>
          <w:sz w:val="20"/>
          <w:szCs w:val="20"/>
        </w:rPr>
        <w:t>Ủy ban</w:t>
      </w:r>
      <w:r w:rsidRPr="00166775">
        <w:rPr>
          <w:rFonts w:ascii="Arial" w:hAnsi="Arial" w:cs="Arial"/>
          <w:b/>
          <w:sz w:val="20"/>
          <w:szCs w:val="20"/>
        </w:rPr>
        <w:t xml:space="preserve"> nhân dân các cấp</w:t>
      </w:r>
    </w:p>
    <w:p w14:paraId="07040649" w14:textId="2A955291"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 xml:space="preserve">1. Chủ tịch </w:t>
      </w:r>
      <w:r w:rsidR="00166775">
        <w:rPr>
          <w:rFonts w:ascii="Arial" w:hAnsi="Arial" w:cs="Arial"/>
          <w:sz w:val="20"/>
          <w:szCs w:val="20"/>
        </w:rPr>
        <w:t>Ủy ban</w:t>
      </w:r>
      <w:r w:rsidRPr="00166775">
        <w:rPr>
          <w:rFonts w:ascii="Arial" w:hAnsi="Arial" w:cs="Arial"/>
          <w:sz w:val="20"/>
          <w:szCs w:val="20"/>
        </w:rPr>
        <w:t xml:space="preserve"> nhân dân xã, phường, đặc khu có quyền xử phạt vi phạm hành chính trong lĩnh vực kế toán như sau:</w:t>
      </w:r>
    </w:p>
    <w:p w14:paraId="4071D465"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a) Phạt cảnh cáo;</w:t>
      </w:r>
    </w:p>
    <w:p w14:paraId="69EDF12B"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b) Phạt tiền đến 25.000.000 đồng;</w:t>
      </w:r>
    </w:p>
    <w:p w14:paraId="6849ED96"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c) Tịch thu tang vật vi phạm hành chính;</w:t>
      </w:r>
    </w:p>
    <w:p w14:paraId="772C9411"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d) Tước quyền sử dụng Giấy chứng nhận đăng ký hành nghề dịch vụ kế toán, Giấy chứng nhận đủ điều kiện kinh doanh dịch vụ kế toán có thời hạn hoặc đình chỉ hoạt động có thời hạn;</w:t>
      </w:r>
    </w:p>
    <w:p w14:paraId="043944B1"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đ) Áp dụng các biện pháp khắc phục hậu quả quy định tại Điều 5 Nghị định này.</w:t>
      </w:r>
    </w:p>
    <w:p w14:paraId="240CFF29" w14:textId="732DA299"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 xml:space="preserve">2. Chủ tịch </w:t>
      </w:r>
      <w:r w:rsidR="00166775">
        <w:rPr>
          <w:rFonts w:ascii="Arial" w:hAnsi="Arial" w:cs="Arial"/>
          <w:sz w:val="20"/>
          <w:szCs w:val="20"/>
        </w:rPr>
        <w:t>Ủy ban</w:t>
      </w:r>
      <w:r w:rsidRPr="00166775">
        <w:rPr>
          <w:rFonts w:ascii="Arial" w:hAnsi="Arial" w:cs="Arial"/>
          <w:sz w:val="20"/>
          <w:szCs w:val="20"/>
        </w:rPr>
        <w:t xml:space="preserve"> nhân dân tỉnh, thành phố trực thuộc trung ương có quyền xử phạt vi phạm hành chính trong lĩnh vực kế toán như sau:</w:t>
      </w:r>
    </w:p>
    <w:p w14:paraId="21A59EF7"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a) Phạt cảnh cáo;</w:t>
      </w:r>
    </w:p>
    <w:p w14:paraId="69D01FC0"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b) Phạt tiền đến 50.000.000 đồng;</w:t>
      </w:r>
    </w:p>
    <w:p w14:paraId="705F0787"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c) Tịch thu tang vật vi phạm hành chính;</w:t>
      </w:r>
    </w:p>
    <w:p w14:paraId="08B0ACC6"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d) Tước quyền sử dụng Giấy chứng nhận đăng ký hành nghề dịch vụ kế toán, Giấy chứng nhận đủ điều kiện kinh doanh dịch vụ kế toán có thời hạn hoặc đình chỉ hoạt động có thời hạn;</w:t>
      </w:r>
    </w:p>
    <w:p w14:paraId="7CE0DC9A"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đ) Áp dụng các biện pháp khắc phục hậu quả quy định tại Điều 5 Nghị định này.</w:t>
      </w:r>
    </w:p>
    <w:p w14:paraId="597BF462"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b/>
          <w:sz w:val="20"/>
          <w:szCs w:val="20"/>
        </w:rPr>
        <w:t>Điều 71a. Xử lý vi phạm hành chính trên môi trường điện tử</w:t>
      </w:r>
    </w:p>
    <w:p w14:paraId="035B37EF"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lastRenderedPageBreak/>
        <w:t>Việc xử lý vi phạm hành chính theo quy định tại Nghị định này trên môi trường điện tử thực hiện theo quy định tại Điều 18a Luật Xử lý vi phạm hành chính và Điều 28a, Điều 28b Nghị định số 118/2021/NĐ-CP ngày 23 tháng 12 năm 2021 của Chính phủ quy định chi tiết một số điều và biện pháp thi hành Luật Xử lý vi phạm hành chính được sửa đổi, bổ sung bởi Nghị định số 68/2025/NĐ-CP ngày 18 tháng 3 năm 2025 của Chính phủ và Nghị định số 190/2025/NĐ-CP ngày 01 tháng 7 năm 2025 của Chính phủ.”.</w:t>
      </w:r>
    </w:p>
    <w:p w14:paraId="5D7D879E"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b/>
          <w:sz w:val="20"/>
          <w:szCs w:val="20"/>
        </w:rPr>
        <w:t>Điều 5. Hiệu lực thi hành</w:t>
      </w:r>
    </w:p>
    <w:p w14:paraId="33C8904A"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1. Nghị định này có hiệu lực thi hành kể từ ngày 21 tháng 5 năm 2026.</w:t>
      </w:r>
    </w:p>
    <w:p w14:paraId="30544332"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2. Trường hợp các văn bản quy phạm pháp luật được dẫn chiếu để áp dụng tại Nghị định này được sửa đổi, bổ sung hoặc thay thế bằng văn bản mới thì áp dụng theo các văn bản sửa đổi, bổ sung hoặc thay thế đó.</w:t>
      </w:r>
    </w:p>
    <w:p w14:paraId="2BA2A69D"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b/>
          <w:sz w:val="20"/>
          <w:szCs w:val="20"/>
        </w:rPr>
        <w:t>Điều 6. Trách nhiệm thi hành</w:t>
      </w:r>
    </w:p>
    <w:p w14:paraId="19DE9986" w14:textId="77777777" w:rsidR="0001079D" w:rsidRPr="00166775" w:rsidRDefault="00000000" w:rsidP="00562A3F">
      <w:pPr>
        <w:adjustRightInd w:val="0"/>
        <w:snapToGrid w:val="0"/>
        <w:spacing w:after="120" w:line="240" w:lineRule="auto"/>
        <w:ind w:firstLine="720"/>
        <w:jc w:val="both"/>
        <w:rPr>
          <w:rFonts w:ascii="Arial" w:hAnsi="Arial" w:cs="Arial"/>
          <w:sz w:val="20"/>
          <w:szCs w:val="20"/>
        </w:rPr>
      </w:pPr>
      <w:r w:rsidRPr="00166775">
        <w:rPr>
          <w:rFonts w:ascii="Arial" w:hAnsi="Arial" w:cs="Arial"/>
          <w:sz w:val="20"/>
          <w:szCs w:val="20"/>
        </w:rPr>
        <w:t>1. Bộ trưởng Bộ Tài chính có trách nhiệm hướng dẫn, tổ chức thi hành Nghị định này.</w:t>
      </w:r>
    </w:p>
    <w:p w14:paraId="0BB45DE9" w14:textId="46B7FFAA" w:rsidR="0001079D" w:rsidRDefault="00000000" w:rsidP="00166775">
      <w:pPr>
        <w:adjustRightInd w:val="0"/>
        <w:snapToGrid w:val="0"/>
        <w:spacing w:after="0" w:line="240" w:lineRule="auto"/>
        <w:ind w:firstLine="720"/>
        <w:jc w:val="both"/>
        <w:rPr>
          <w:rFonts w:ascii="Arial" w:hAnsi="Arial" w:cs="Arial"/>
          <w:sz w:val="20"/>
          <w:szCs w:val="20"/>
        </w:rPr>
      </w:pPr>
      <w:r w:rsidRPr="00166775">
        <w:rPr>
          <w:rFonts w:ascii="Arial" w:hAnsi="Arial" w:cs="Arial"/>
          <w:sz w:val="20"/>
          <w:szCs w:val="20"/>
        </w:rPr>
        <w:t xml:space="preserve">2. Các Bộ trưởng, Thủ trưởng cơ quan ngang bộ, Thủ trưởng cơ quan thuộc Chính phủ, Chủ tịch </w:t>
      </w:r>
      <w:r w:rsidR="00166775">
        <w:rPr>
          <w:rFonts w:ascii="Arial" w:hAnsi="Arial" w:cs="Arial"/>
          <w:sz w:val="20"/>
          <w:szCs w:val="20"/>
        </w:rPr>
        <w:t>Ủy ban</w:t>
      </w:r>
      <w:r w:rsidRPr="00166775">
        <w:rPr>
          <w:rFonts w:ascii="Arial" w:hAnsi="Arial" w:cs="Arial"/>
          <w:sz w:val="20"/>
          <w:szCs w:val="20"/>
        </w:rPr>
        <w:t xml:space="preserve"> nhân dân các tỉnh, thành phố trực thuộc trung ương và tổ chức, cá nhân có liên quan chịu trách nhiệm thi hành Nghị định này.</w:t>
      </w:r>
    </w:p>
    <w:p w14:paraId="411A3030" w14:textId="77777777" w:rsidR="00166775" w:rsidRDefault="00166775" w:rsidP="00166775">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29"/>
        <w:gridCol w:w="3497"/>
      </w:tblGrid>
      <w:tr w:rsidR="00166775" w:rsidRPr="00A13C91" w14:paraId="0EF0CB31" w14:textId="77777777" w:rsidTr="00166775">
        <w:trPr>
          <w:tblCellSpacing w:w="0" w:type="dxa"/>
        </w:trPr>
        <w:tc>
          <w:tcPr>
            <w:tcW w:w="3063" w:type="pct"/>
            <w:shd w:val="clear" w:color="auto" w:fill="FFFFFF"/>
            <w:tcMar>
              <w:top w:w="0" w:type="dxa"/>
              <w:left w:w="108" w:type="dxa"/>
              <w:bottom w:w="0" w:type="dxa"/>
              <w:right w:w="108" w:type="dxa"/>
            </w:tcMar>
            <w:hideMark/>
          </w:tcPr>
          <w:p w14:paraId="433F9CAC" w14:textId="77777777" w:rsidR="00166775" w:rsidRPr="00166775" w:rsidRDefault="00166775" w:rsidP="00166775">
            <w:pPr>
              <w:adjustRightInd w:val="0"/>
              <w:snapToGrid w:val="0"/>
              <w:spacing w:after="0" w:line="240" w:lineRule="auto"/>
              <w:rPr>
                <w:rFonts w:ascii="Arial" w:hAnsi="Arial" w:cs="Arial"/>
                <w:sz w:val="20"/>
                <w:szCs w:val="20"/>
              </w:rPr>
            </w:pPr>
            <w:r w:rsidRPr="00A13C91">
              <w:rPr>
                <w:rFonts w:ascii="Arial" w:hAnsi="Arial" w:cs="Arial"/>
                <w:b/>
                <w:bCs/>
                <w:i/>
                <w:iCs/>
                <w:color w:val="000000"/>
                <w:sz w:val="20"/>
                <w:szCs w:val="20"/>
              </w:rPr>
              <w:t>Nơi nhận:</w:t>
            </w:r>
            <w:r w:rsidRPr="00A13C91">
              <w:rPr>
                <w:rFonts w:ascii="Arial" w:hAnsi="Arial" w:cs="Arial"/>
                <w:b/>
                <w:bCs/>
                <w:i/>
                <w:iCs/>
                <w:color w:val="000000"/>
                <w:sz w:val="20"/>
                <w:szCs w:val="20"/>
              </w:rPr>
              <w:br/>
            </w:r>
            <w:r w:rsidRPr="00166775">
              <w:rPr>
                <w:rFonts w:ascii="Arial" w:hAnsi="Arial" w:cs="Arial"/>
                <w:sz w:val="20"/>
                <w:szCs w:val="20"/>
              </w:rPr>
              <w:t>- Ban Bí thư Trung ương Đảng;</w:t>
            </w:r>
          </w:p>
          <w:p w14:paraId="7A6A3E02" w14:textId="77777777" w:rsidR="00166775" w:rsidRPr="00166775" w:rsidRDefault="00166775" w:rsidP="00166775">
            <w:pPr>
              <w:adjustRightInd w:val="0"/>
              <w:snapToGrid w:val="0"/>
              <w:spacing w:after="0" w:line="240" w:lineRule="auto"/>
              <w:rPr>
                <w:rFonts w:ascii="Arial" w:hAnsi="Arial" w:cs="Arial"/>
                <w:sz w:val="20"/>
                <w:szCs w:val="20"/>
              </w:rPr>
            </w:pPr>
            <w:r w:rsidRPr="00166775">
              <w:rPr>
                <w:rFonts w:ascii="Arial" w:hAnsi="Arial" w:cs="Arial"/>
                <w:sz w:val="20"/>
                <w:szCs w:val="20"/>
              </w:rPr>
              <w:t>- Thủ tướng, các Phó Thủ tướng Chính phủ;</w:t>
            </w:r>
          </w:p>
          <w:p w14:paraId="58D9D686" w14:textId="77777777" w:rsidR="00166775" w:rsidRPr="00166775" w:rsidRDefault="00166775" w:rsidP="00166775">
            <w:pPr>
              <w:adjustRightInd w:val="0"/>
              <w:snapToGrid w:val="0"/>
              <w:spacing w:after="0" w:line="240" w:lineRule="auto"/>
              <w:rPr>
                <w:rFonts w:ascii="Arial" w:hAnsi="Arial" w:cs="Arial"/>
                <w:sz w:val="20"/>
                <w:szCs w:val="20"/>
              </w:rPr>
            </w:pPr>
            <w:r w:rsidRPr="00166775">
              <w:rPr>
                <w:rFonts w:ascii="Arial" w:hAnsi="Arial" w:cs="Arial"/>
                <w:sz w:val="20"/>
                <w:szCs w:val="20"/>
              </w:rPr>
              <w:t>- Các bộ, cơ quan ngang bộ, cơ quan thuộc Chính phủ;</w:t>
            </w:r>
          </w:p>
          <w:p w14:paraId="3807C000" w14:textId="036487BE" w:rsidR="00166775" w:rsidRPr="00166775" w:rsidRDefault="00166775" w:rsidP="00166775">
            <w:pPr>
              <w:adjustRightInd w:val="0"/>
              <w:snapToGrid w:val="0"/>
              <w:spacing w:after="0" w:line="240" w:lineRule="auto"/>
              <w:rPr>
                <w:rFonts w:ascii="Arial" w:hAnsi="Arial" w:cs="Arial"/>
                <w:sz w:val="20"/>
                <w:szCs w:val="20"/>
              </w:rPr>
            </w:pPr>
            <w:r w:rsidRPr="00166775">
              <w:rPr>
                <w:rFonts w:ascii="Arial" w:hAnsi="Arial" w:cs="Arial"/>
                <w:sz w:val="20"/>
                <w:szCs w:val="20"/>
              </w:rPr>
              <w:t xml:space="preserve">- HĐND, UBND các tỉnh, thành phố trực thuộc </w:t>
            </w:r>
            <w:r w:rsidR="00C15F26" w:rsidRPr="00166775">
              <w:rPr>
                <w:rFonts w:ascii="Arial" w:hAnsi="Arial" w:cs="Arial"/>
                <w:sz w:val="20"/>
                <w:szCs w:val="20"/>
              </w:rPr>
              <w:t>tr</w:t>
            </w:r>
            <w:r w:rsidRPr="00166775">
              <w:rPr>
                <w:rFonts w:ascii="Arial" w:hAnsi="Arial" w:cs="Arial"/>
                <w:sz w:val="20"/>
                <w:szCs w:val="20"/>
              </w:rPr>
              <w:t>ung ương</w:t>
            </w:r>
            <w:r>
              <w:rPr>
                <w:rFonts w:ascii="Arial" w:hAnsi="Arial" w:cs="Arial"/>
                <w:sz w:val="20"/>
                <w:szCs w:val="20"/>
              </w:rPr>
              <w:t>;</w:t>
            </w:r>
          </w:p>
          <w:p w14:paraId="1C5D9A5E" w14:textId="77777777" w:rsidR="00166775" w:rsidRPr="00166775" w:rsidRDefault="00166775" w:rsidP="00166775">
            <w:pPr>
              <w:adjustRightInd w:val="0"/>
              <w:snapToGrid w:val="0"/>
              <w:spacing w:after="0" w:line="240" w:lineRule="auto"/>
              <w:rPr>
                <w:rFonts w:ascii="Arial" w:hAnsi="Arial" w:cs="Arial"/>
                <w:sz w:val="20"/>
                <w:szCs w:val="20"/>
              </w:rPr>
            </w:pPr>
            <w:r w:rsidRPr="00166775">
              <w:rPr>
                <w:rFonts w:ascii="Arial" w:hAnsi="Arial" w:cs="Arial"/>
                <w:sz w:val="20"/>
                <w:szCs w:val="20"/>
              </w:rPr>
              <w:t>- Văn phòng Trung ương và các Ban của Đảng;</w:t>
            </w:r>
          </w:p>
          <w:p w14:paraId="4DF7BDDF" w14:textId="77777777" w:rsidR="00166775" w:rsidRPr="00166775" w:rsidRDefault="00166775" w:rsidP="00166775">
            <w:pPr>
              <w:adjustRightInd w:val="0"/>
              <w:snapToGrid w:val="0"/>
              <w:spacing w:after="0" w:line="240" w:lineRule="auto"/>
              <w:rPr>
                <w:rFonts w:ascii="Arial" w:hAnsi="Arial" w:cs="Arial"/>
                <w:sz w:val="20"/>
                <w:szCs w:val="20"/>
              </w:rPr>
            </w:pPr>
            <w:r w:rsidRPr="00166775">
              <w:rPr>
                <w:rFonts w:ascii="Arial" w:hAnsi="Arial" w:cs="Arial"/>
                <w:sz w:val="20"/>
                <w:szCs w:val="20"/>
              </w:rPr>
              <w:t>- Văn phòng Tổng Bí thư;</w:t>
            </w:r>
          </w:p>
          <w:p w14:paraId="343BF6EB" w14:textId="77777777" w:rsidR="00166775" w:rsidRPr="00166775" w:rsidRDefault="00166775" w:rsidP="00166775">
            <w:pPr>
              <w:adjustRightInd w:val="0"/>
              <w:snapToGrid w:val="0"/>
              <w:spacing w:after="0" w:line="240" w:lineRule="auto"/>
              <w:rPr>
                <w:rFonts w:ascii="Arial" w:hAnsi="Arial" w:cs="Arial"/>
                <w:sz w:val="20"/>
                <w:szCs w:val="20"/>
              </w:rPr>
            </w:pPr>
            <w:r w:rsidRPr="00166775">
              <w:rPr>
                <w:rFonts w:ascii="Arial" w:hAnsi="Arial" w:cs="Arial"/>
                <w:sz w:val="20"/>
                <w:szCs w:val="20"/>
              </w:rPr>
              <w:t>-</w:t>
            </w:r>
            <w:r>
              <w:rPr>
                <w:rFonts w:ascii="Arial" w:hAnsi="Arial" w:cs="Arial"/>
                <w:sz w:val="20"/>
                <w:szCs w:val="20"/>
              </w:rPr>
              <w:t xml:space="preserve"> </w:t>
            </w:r>
            <w:r w:rsidRPr="00166775">
              <w:rPr>
                <w:rFonts w:ascii="Arial" w:hAnsi="Arial" w:cs="Arial"/>
                <w:sz w:val="20"/>
                <w:szCs w:val="20"/>
              </w:rPr>
              <w:t>Văn phòng Chủ tịch nước;</w:t>
            </w:r>
          </w:p>
          <w:p w14:paraId="7B7C6637" w14:textId="77777777" w:rsidR="00166775" w:rsidRPr="00166775" w:rsidRDefault="00166775" w:rsidP="00166775">
            <w:pPr>
              <w:adjustRightInd w:val="0"/>
              <w:snapToGrid w:val="0"/>
              <w:spacing w:after="0" w:line="240" w:lineRule="auto"/>
              <w:rPr>
                <w:rFonts w:ascii="Arial" w:hAnsi="Arial" w:cs="Arial"/>
                <w:sz w:val="20"/>
                <w:szCs w:val="20"/>
              </w:rPr>
            </w:pPr>
            <w:r w:rsidRPr="00166775">
              <w:rPr>
                <w:rFonts w:ascii="Arial" w:hAnsi="Arial" w:cs="Arial"/>
                <w:sz w:val="20"/>
                <w:szCs w:val="20"/>
              </w:rPr>
              <w:t xml:space="preserve">- Hội đồng Dân tộc và các </w:t>
            </w:r>
            <w:r>
              <w:rPr>
                <w:rFonts w:ascii="Arial" w:hAnsi="Arial" w:cs="Arial"/>
                <w:sz w:val="20"/>
                <w:szCs w:val="20"/>
              </w:rPr>
              <w:t>Ủy ban</w:t>
            </w:r>
            <w:r w:rsidRPr="00166775">
              <w:rPr>
                <w:rFonts w:ascii="Arial" w:hAnsi="Arial" w:cs="Arial"/>
                <w:sz w:val="20"/>
                <w:szCs w:val="20"/>
              </w:rPr>
              <w:t xml:space="preserve"> của Quốc hội;</w:t>
            </w:r>
          </w:p>
          <w:p w14:paraId="6E6A4BCE" w14:textId="77777777" w:rsidR="00166775" w:rsidRPr="00166775" w:rsidRDefault="00166775" w:rsidP="00166775">
            <w:pPr>
              <w:adjustRightInd w:val="0"/>
              <w:snapToGrid w:val="0"/>
              <w:spacing w:after="0" w:line="240" w:lineRule="auto"/>
              <w:rPr>
                <w:rFonts w:ascii="Arial" w:hAnsi="Arial" w:cs="Arial"/>
                <w:sz w:val="20"/>
                <w:szCs w:val="20"/>
              </w:rPr>
            </w:pPr>
            <w:r w:rsidRPr="00166775">
              <w:rPr>
                <w:rFonts w:ascii="Arial" w:hAnsi="Arial" w:cs="Arial"/>
                <w:sz w:val="20"/>
                <w:szCs w:val="20"/>
              </w:rPr>
              <w:t>- Văn phòng Quốc hội;</w:t>
            </w:r>
          </w:p>
          <w:p w14:paraId="7EEB198A" w14:textId="77777777" w:rsidR="00166775" w:rsidRPr="00166775" w:rsidRDefault="00166775" w:rsidP="00166775">
            <w:pPr>
              <w:adjustRightInd w:val="0"/>
              <w:snapToGrid w:val="0"/>
              <w:spacing w:after="0" w:line="240" w:lineRule="auto"/>
              <w:rPr>
                <w:rFonts w:ascii="Arial" w:hAnsi="Arial" w:cs="Arial"/>
                <w:sz w:val="20"/>
                <w:szCs w:val="20"/>
              </w:rPr>
            </w:pPr>
            <w:r w:rsidRPr="00166775">
              <w:rPr>
                <w:rFonts w:ascii="Arial" w:hAnsi="Arial" w:cs="Arial"/>
                <w:sz w:val="20"/>
                <w:szCs w:val="20"/>
              </w:rPr>
              <w:t>- Tòa án nhân dân tối cao;</w:t>
            </w:r>
          </w:p>
          <w:p w14:paraId="1C3FBF24" w14:textId="77777777" w:rsidR="00166775" w:rsidRPr="00166775" w:rsidRDefault="00166775" w:rsidP="00166775">
            <w:pPr>
              <w:adjustRightInd w:val="0"/>
              <w:snapToGrid w:val="0"/>
              <w:spacing w:after="0" w:line="240" w:lineRule="auto"/>
              <w:rPr>
                <w:rFonts w:ascii="Arial" w:hAnsi="Arial" w:cs="Arial"/>
                <w:sz w:val="20"/>
                <w:szCs w:val="20"/>
              </w:rPr>
            </w:pPr>
            <w:r w:rsidRPr="00166775">
              <w:rPr>
                <w:rFonts w:ascii="Arial" w:hAnsi="Arial" w:cs="Arial"/>
                <w:sz w:val="20"/>
                <w:szCs w:val="20"/>
              </w:rPr>
              <w:t>- Viện kiểm sát nhân dân tối cao;</w:t>
            </w:r>
          </w:p>
          <w:p w14:paraId="5494933B" w14:textId="77777777" w:rsidR="00166775" w:rsidRPr="00166775" w:rsidRDefault="00166775" w:rsidP="00166775">
            <w:pPr>
              <w:adjustRightInd w:val="0"/>
              <w:snapToGrid w:val="0"/>
              <w:spacing w:after="0" w:line="240" w:lineRule="auto"/>
              <w:rPr>
                <w:rFonts w:ascii="Arial" w:hAnsi="Arial" w:cs="Arial"/>
                <w:sz w:val="20"/>
                <w:szCs w:val="20"/>
              </w:rPr>
            </w:pPr>
            <w:r w:rsidRPr="00166775">
              <w:rPr>
                <w:rFonts w:ascii="Arial" w:hAnsi="Arial" w:cs="Arial"/>
                <w:sz w:val="20"/>
                <w:szCs w:val="20"/>
              </w:rPr>
              <w:t>- Kiểm toán nhà nước;</w:t>
            </w:r>
          </w:p>
          <w:p w14:paraId="62E11F64" w14:textId="77777777" w:rsidR="00166775" w:rsidRPr="00166775" w:rsidRDefault="00166775" w:rsidP="00166775">
            <w:pPr>
              <w:adjustRightInd w:val="0"/>
              <w:snapToGrid w:val="0"/>
              <w:spacing w:after="0" w:line="240" w:lineRule="auto"/>
              <w:rPr>
                <w:rFonts w:ascii="Arial" w:hAnsi="Arial" w:cs="Arial"/>
                <w:sz w:val="20"/>
                <w:szCs w:val="20"/>
              </w:rPr>
            </w:pPr>
            <w:r w:rsidRPr="00166775">
              <w:rPr>
                <w:rFonts w:ascii="Arial" w:hAnsi="Arial" w:cs="Arial"/>
                <w:sz w:val="20"/>
                <w:szCs w:val="20"/>
              </w:rPr>
              <w:t xml:space="preserve">- </w:t>
            </w:r>
            <w:r>
              <w:rPr>
                <w:rFonts w:ascii="Arial" w:hAnsi="Arial" w:cs="Arial"/>
                <w:sz w:val="20"/>
                <w:szCs w:val="20"/>
              </w:rPr>
              <w:t>Ủy ban</w:t>
            </w:r>
            <w:r w:rsidRPr="00166775">
              <w:rPr>
                <w:rFonts w:ascii="Arial" w:hAnsi="Arial" w:cs="Arial"/>
                <w:sz w:val="20"/>
                <w:szCs w:val="20"/>
              </w:rPr>
              <w:t xml:space="preserve"> Trung ương Mặt trận Tổ quốc Việt Nam;</w:t>
            </w:r>
          </w:p>
          <w:p w14:paraId="717E1AD0" w14:textId="77777777" w:rsidR="00166775" w:rsidRPr="00166775" w:rsidRDefault="00166775" w:rsidP="00166775">
            <w:pPr>
              <w:adjustRightInd w:val="0"/>
              <w:snapToGrid w:val="0"/>
              <w:spacing w:after="0" w:line="240" w:lineRule="auto"/>
              <w:rPr>
                <w:rFonts w:ascii="Arial" w:hAnsi="Arial" w:cs="Arial"/>
                <w:sz w:val="20"/>
                <w:szCs w:val="20"/>
              </w:rPr>
            </w:pPr>
            <w:r w:rsidRPr="00166775">
              <w:rPr>
                <w:rFonts w:ascii="Arial" w:hAnsi="Arial" w:cs="Arial"/>
                <w:sz w:val="20"/>
                <w:szCs w:val="20"/>
              </w:rPr>
              <w:t>- Cơ quan trung ương của các tổ chức chính trị - xã hội;</w:t>
            </w:r>
          </w:p>
          <w:p w14:paraId="0DD79573" w14:textId="77777777" w:rsidR="00166775" w:rsidRPr="00166775" w:rsidRDefault="00166775" w:rsidP="00166775">
            <w:pPr>
              <w:adjustRightInd w:val="0"/>
              <w:snapToGrid w:val="0"/>
              <w:spacing w:after="0" w:line="240" w:lineRule="auto"/>
              <w:rPr>
                <w:rFonts w:ascii="Arial" w:hAnsi="Arial" w:cs="Arial"/>
                <w:sz w:val="20"/>
                <w:szCs w:val="20"/>
              </w:rPr>
            </w:pPr>
            <w:r w:rsidRPr="00166775">
              <w:rPr>
                <w:rFonts w:ascii="Arial" w:hAnsi="Arial" w:cs="Arial"/>
                <w:sz w:val="20"/>
                <w:szCs w:val="20"/>
              </w:rPr>
              <w:t>- VPCP: BTCN, các PCN, Trợ lý TTg, TGĐ Cổng TTĐT,</w:t>
            </w:r>
            <w:r>
              <w:rPr>
                <w:rFonts w:ascii="Arial" w:hAnsi="Arial" w:cs="Arial"/>
                <w:sz w:val="20"/>
                <w:szCs w:val="20"/>
              </w:rPr>
              <w:t xml:space="preserve"> </w:t>
            </w:r>
            <w:r w:rsidRPr="00166775">
              <w:rPr>
                <w:rFonts w:ascii="Arial" w:hAnsi="Arial" w:cs="Arial"/>
                <w:sz w:val="20"/>
                <w:szCs w:val="20"/>
              </w:rPr>
              <w:t>các Vụ, Cục, đơn vị trực thuộc, Công báo;</w:t>
            </w:r>
          </w:p>
          <w:p w14:paraId="0D662EE2" w14:textId="4083A005" w:rsidR="00166775" w:rsidRPr="00166775" w:rsidRDefault="00166775" w:rsidP="00166775">
            <w:pPr>
              <w:adjustRightInd w:val="0"/>
              <w:snapToGrid w:val="0"/>
              <w:spacing w:after="0" w:line="240" w:lineRule="auto"/>
              <w:rPr>
                <w:rFonts w:ascii="Arial" w:hAnsi="Arial" w:cs="Arial"/>
                <w:sz w:val="20"/>
                <w:szCs w:val="20"/>
              </w:rPr>
            </w:pPr>
            <w:r w:rsidRPr="00166775">
              <w:rPr>
                <w:rFonts w:ascii="Arial" w:hAnsi="Arial" w:cs="Arial"/>
                <w:sz w:val="20"/>
                <w:szCs w:val="20"/>
              </w:rPr>
              <w:t>- Lưu: VT, KTTH (2b).</w:t>
            </w:r>
          </w:p>
        </w:tc>
        <w:tc>
          <w:tcPr>
            <w:tcW w:w="1937" w:type="pct"/>
            <w:shd w:val="clear" w:color="auto" w:fill="FFFFFF"/>
            <w:tcMar>
              <w:top w:w="0" w:type="dxa"/>
              <w:left w:w="108" w:type="dxa"/>
              <w:bottom w:w="0" w:type="dxa"/>
              <w:right w:w="108" w:type="dxa"/>
            </w:tcMar>
            <w:hideMark/>
          </w:tcPr>
          <w:p w14:paraId="24213F56" w14:textId="77777777" w:rsidR="00166775" w:rsidRDefault="00166775" w:rsidP="00166775">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TM. CHÍNH PHỦ</w:t>
            </w:r>
          </w:p>
          <w:p w14:paraId="2A8798AA" w14:textId="77777777" w:rsidR="00166775" w:rsidRDefault="00166775" w:rsidP="00166775">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KT. THỦ TƯỚNG</w:t>
            </w:r>
          </w:p>
          <w:p w14:paraId="2833F47B" w14:textId="77777777" w:rsidR="00166775" w:rsidRDefault="00166775" w:rsidP="00166775">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PHÓ THỦ TƯỚNG</w:t>
            </w:r>
          </w:p>
          <w:p w14:paraId="10003AAB" w14:textId="77777777" w:rsidR="00166775" w:rsidRDefault="00166775" w:rsidP="00166775">
            <w:pPr>
              <w:adjustRightInd w:val="0"/>
              <w:snapToGrid w:val="0"/>
              <w:spacing w:after="0" w:line="240" w:lineRule="auto"/>
              <w:jc w:val="center"/>
              <w:rPr>
                <w:rFonts w:ascii="Arial" w:hAnsi="Arial" w:cs="Arial"/>
                <w:b/>
                <w:color w:val="000000"/>
                <w:sz w:val="20"/>
                <w:szCs w:val="20"/>
              </w:rPr>
            </w:pPr>
          </w:p>
          <w:p w14:paraId="2A7563D7" w14:textId="77777777" w:rsidR="00166775" w:rsidRDefault="00166775" w:rsidP="00166775">
            <w:pPr>
              <w:adjustRightInd w:val="0"/>
              <w:snapToGrid w:val="0"/>
              <w:spacing w:after="0" w:line="240" w:lineRule="auto"/>
              <w:jc w:val="center"/>
              <w:rPr>
                <w:rFonts w:ascii="Arial" w:hAnsi="Arial" w:cs="Arial"/>
                <w:b/>
                <w:color w:val="000000"/>
                <w:sz w:val="20"/>
                <w:szCs w:val="20"/>
              </w:rPr>
            </w:pPr>
          </w:p>
          <w:p w14:paraId="068092CD" w14:textId="77777777" w:rsidR="00166775" w:rsidRDefault="00166775" w:rsidP="00166775">
            <w:pPr>
              <w:adjustRightInd w:val="0"/>
              <w:snapToGrid w:val="0"/>
              <w:spacing w:after="0" w:line="240" w:lineRule="auto"/>
              <w:jc w:val="center"/>
              <w:rPr>
                <w:rFonts w:ascii="Arial" w:hAnsi="Arial" w:cs="Arial"/>
                <w:b/>
                <w:color w:val="000000"/>
                <w:sz w:val="20"/>
                <w:szCs w:val="20"/>
              </w:rPr>
            </w:pPr>
          </w:p>
          <w:p w14:paraId="5E56D6D0" w14:textId="77777777" w:rsidR="00166775" w:rsidRDefault="00166775" w:rsidP="00166775">
            <w:pPr>
              <w:adjustRightInd w:val="0"/>
              <w:snapToGrid w:val="0"/>
              <w:spacing w:after="0" w:line="240" w:lineRule="auto"/>
              <w:jc w:val="center"/>
              <w:rPr>
                <w:rFonts w:ascii="Arial" w:hAnsi="Arial" w:cs="Arial"/>
                <w:b/>
                <w:color w:val="000000"/>
                <w:sz w:val="20"/>
                <w:szCs w:val="20"/>
              </w:rPr>
            </w:pPr>
          </w:p>
          <w:p w14:paraId="5DBBB8CB" w14:textId="77777777" w:rsidR="00166775" w:rsidRDefault="00166775" w:rsidP="00166775">
            <w:pPr>
              <w:adjustRightInd w:val="0"/>
              <w:snapToGrid w:val="0"/>
              <w:spacing w:after="0" w:line="240" w:lineRule="auto"/>
              <w:jc w:val="center"/>
              <w:rPr>
                <w:rFonts w:ascii="Arial" w:hAnsi="Arial" w:cs="Arial"/>
                <w:b/>
                <w:color w:val="000000"/>
                <w:sz w:val="20"/>
                <w:szCs w:val="20"/>
              </w:rPr>
            </w:pPr>
          </w:p>
          <w:p w14:paraId="2EF8841B" w14:textId="03444F71" w:rsidR="00166775" w:rsidRPr="00A13C91" w:rsidRDefault="00166775" w:rsidP="00166775">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Hồ Đức Phớc</w:t>
            </w:r>
          </w:p>
        </w:tc>
      </w:tr>
    </w:tbl>
    <w:p w14:paraId="5576C44C" w14:textId="538C2A4D" w:rsidR="0001079D" w:rsidRPr="00166775" w:rsidRDefault="0001079D" w:rsidP="00562A3F">
      <w:pPr>
        <w:adjustRightInd w:val="0"/>
        <w:snapToGrid w:val="0"/>
        <w:spacing w:after="120" w:line="240" w:lineRule="auto"/>
        <w:ind w:firstLine="720"/>
        <w:jc w:val="both"/>
        <w:rPr>
          <w:rFonts w:ascii="Arial" w:hAnsi="Arial" w:cs="Arial"/>
          <w:sz w:val="20"/>
          <w:szCs w:val="20"/>
        </w:rPr>
      </w:pPr>
    </w:p>
    <w:sectPr w:rsidR="0001079D" w:rsidRPr="00166775" w:rsidSect="00166775">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8713E" w14:textId="77777777" w:rsidR="00B92564" w:rsidRDefault="00B92564">
      <w:pPr>
        <w:spacing w:after="0" w:line="240" w:lineRule="auto"/>
      </w:pPr>
      <w:r>
        <w:separator/>
      </w:r>
    </w:p>
  </w:endnote>
  <w:endnote w:type="continuationSeparator" w:id="0">
    <w:p w14:paraId="5F23BDFE" w14:textId="77777777" w:rsidR="00B92564" w:rsidRDefault="00B92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FCE6B" w14:textId="77777777" w:rsidR="00B92564" w:rsidRDefault="00B92564">
      <w:pPr>
        <w:spacing w:after="0" w:line="240" w:lineRule="auto"/>
      </w:pPr>
      <w:r>
        <w:separator/>
      </w:r>
    </w:p>
  </w:footnote>
  <w:footnote w:type="continuationSeparator" w:id="0">
    <w:p w14:paraId="1B3767FA" w14:textId="77777777" w:rsidR="00B92564" w:rsidRDefault="00B925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79D"/>
    <w:rsid w:val="0001079D"/>
    <w:rsid w:val="00166775"/>
    <w:rsid w:val="00562A3F"/>
    <w:rsid w:val="00721C69"/>
    <w:rsid w:val="00725A6C"/>
    <w:rsid w:val="008B1342"/>
    <w:rsid w:val="00B92564"/>
    <w:rsid w:val="00C15F26"/>
    <w:rsid w:val="00CA44C7"/>
    <w:rsid w:val="00CB7469"/>
    <w:rsid w:val="00F97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26FA5"/>
  <w15:docId w15:val="{53314A42-3BE5-4E30-BA13-E5F3FFDD2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6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6775"/>
  </w:style>
  <w:style w:type="paragraph" w:styleId="Footer">
    <w:name w:val="footer"/>
    <w:basedOn w:val="Normal"/>
    <w:link w:val="FooterChar"/>
    <w:uiPriority w:val="99"/>
    <w:unhideWhenUsed/>
    <w:rsid w:val="00166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2627</Words>
  <Characters>14975</Characters>
  <Application>Microsoft Office Word</Application>
  <DocSecurity>0</DocSecurity>
  <Lines>124</Lines>
  <Paragraphs>35</Paragraphs>
  <ScaleCrop>false</ScaleCrop>
  <Company/>
  <LinksUpToDate>false</LinksUpToDate>
  <CharactersWithSpaces>17567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Le Van Toan</cp:lastModifiedBy>
  <cp:revision>4</cp:revision>
  <dcterms:created xsi:type="dcterms:W3CDTF">2026-04-08T08:12:00Z</dcterms:created>
  <dcterms:modified xsi:type="dcterms:W3CDTF">2026-06-16T09:22:00Z</dcterms:modified>
</cp:coreProperties>
</file>