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BF3" w:rsidRDefault="00641BF3" w:rsidP="00641BF3"/>
    <w:tbl>
      <w:tblPr>
        <w:tblW w:w="9351" w:type="dxa"/>
        <w:tblCellSpacing w:w="0" w:type="dxa"/>
        <w:shd w:val="clear" w:color="auto" w:fill="FFFFFF"/>
        <w:tblCellMar>
          <w:left w:w="0" w:type="dxa"/>
          <w:right w:w="0" w:type="dxa"/>
        </w:tblCellMar>
        <w:tblLook w:val="04A0" w:firstRow="1" w:lastRow="0" w:firstColumn="1" w:lastColumn="0" w:noHBand="0" w:noVBand="1"/>
      </w:tblPr>
      <w:tblGrid>
        <w:gridCol w:w="3606"/>
        <w:gridCol w:w="5745"/>
      </w:tblGrid>
      <w:tr w:rsidR="000925A3" w:rsidRPr="000925A3" w:rsidTr="0026660D">
        <w:trPr>
          <w:trHeight w:val="507"/>
          <w:tblCellSpacing w:w="0" w:type="dxa"/>
        </w:trPr>
        <w:tc>
          <w:tcPr>
            <w:tcW w:w="3606" w:type="dxa"/>
            <w:shd w:val="clear" w:color="auto" w:fill="FFFFFF"/>
            <w:tcMar>
              <w:top w:w="0" w:type="dxa"/>
              <w:left w:w="108" w:type="dxa"/>
              <w:bottom w:w="0" w:type="dxa"/>
              <w:right w:w="108" w:type="dxa"/>
            </w:tcMar>
            <w:hideMark/>
          </w:tcPr>
          <w:p w:rsidR="000925A3" w:rsidRPr="000925A3" w:rsidRDefault="000925A3" w:rsidP="000925A3">
            <w:pPr>
              <w:spacing w:before="120" w:after="120" w:line="234" w:lineRule="atLeast"/>
              <w:jc w:val="center"/>
              <w:rPr>
                <w:rFonts w:ascii="Times New Roman" w:eastAsia="Times New Roman" w:hAnsi="Times New Roman" w:cs="Times New Roman"/>
                <w:color w:val="000000"/>
                <w:sz w:val="26"/>
                <w:szCs w:val="26"/>
              </w:rPr>
            </w:pPr>
            <w:r w:rsidRPr="000925A3">
              <w:rPr>
                <w:rFonts w:ascii="Times New Roman" w:eastAsia="Times New Roman" w:hAnsi="Times New Roman" w:cs="Times New Roman"/>
                <w:b/>
                <w:bCs/>
                <w:color w:val="000000"/>
                <w:sz w:val="26"/>
                <w:szCs w:val="26"/>
              </w:rPr>
              <w:t>THỦ TƯỚNG CHÍNH PHỦ</w:t>
            </w:r>
            <w:r w:rsidRPr="000925A3">
              <w:rPr>
                <w:rFonts w:ascii="Times New Roman" w:eastAsia="Times New Roman" w:hAnsi="Times New Roman" w:cs="Times New Roman"/>
                <w:b/>
                <w:bCs/>
                <w:color w:val="000000"/>
                <w:sz w:val="26"/>
                <w:szCs w:val="26"/>
              </w:rPr>
              <w:br/>
              <w:t>---------</w:t>
            </w:r>
          </w:p>
        </w:tc>
        <w:tc>
          <w:tcPr>
            <w:tcW w:w="5745" w:type="dxa"/>
            <w:shd w:val="clear" w:color="auto" w:fill="FFFFFF"/>
            <w:tcMar>
              <w:top w:w="0" w:type="dxa"/>
              <w:left w:w="108" w:type="dxa"/>
              <w:bottom w:w="0" w:type="dxa"/>
              <w:right w:w="108" w:type="dxa"/>
            </w:tcMar>
            <w:hideMark/>
          </w:tcPr>
          <w:p w:rsidR="000925A3" w:rsidRPr="000925A3" w:rsidRDefault="000925A3" w:rsidP="000925A3">
            <w:pPr>
              <w:spacing w:before="120" w:after="120" w:line="234" w:lineRule="atLeast"/>
              <w:jc w:val="center"/>
              <w:rPr>
                <w:rFonts w:ascii="Times New Roman" w:eastAsia="Times New Roman" w:hAnsi="Times New Roman" w:cs="Times New Roman"/>
                <w:color w:val="000000"/>
                <w:sz w:val="26"/>
                <w:szCs w:val="26"/>
              </w:rPr>
            </w:pPr>
            <w:r w:rsidRPr="000925A3">
              <w:rPr>
                <w:rFonts w:ascii="Times New Roman" w:eastAsia="Times New Roman" w:hAnsi="Times New Roman" w:cs="Times New Roman"/>
                <w:b/>
                <w:bCs/>
                <w:color w:val="000000"/>
                <w:sz w:val="26"/>
                <w:szCs w:val="26"/>
              </w:rPr>
              <w:t>CỘNG HÒA XÃ HỘI CHỦ NGHĨA VIỆT NAM</w:t>
            </w:r>
            <w:r w:rsidRPr="000925A3">
              <w:rPr>
                <w:rFonts w:ascii="Times New Roman" w:eastAsia="Times New Roman" w:hAnsi="Times New Roman" w:cs="Times New Roman"/>
                <w:b/>
                <w:bCs/>
                <w:color w:val="000000"/>
                <w:sz w:val="26"/>
                <w:szCs w:val="26"/>
              </w:rPr>
              <w:br/>
              <w:t>Độc lập – Tự do – Hạnh phúc</w:t>
            </w:r>
            <w:r w:rsidRPr="000925A3">
              <w:rPr>
                <w:rFonts w:ascii="Times New Roman" w:eastAsia="Times New Roman" w:hAnsi="Times New Roman" w:cs="Times New Roman"/>
                <w:b/>
                <w:bCs/>
                <w:color w:val="000000"/>
                <w:sz w:val="26"/>
                <w:szCs w:val="26"/>
              </w:rPr>
              <w:br/>
              <w:t>----------------</w:t>
            </w:r>
          </w:p>
        </w:tc>
      </w:tr>
      <w:tr w:rsidR="000925A3" w:rsidRPr="000925A3" w:rsidTr="0026660D">
        <w:trPr>
          <w:trHeight w:val="219"/>
          <w:tblCellSpacing w:w="0" w:type="dxa"/>
        </w:trPr>
        <w:tc>
          <w:tcPr>
            <w:tcW w:w="3606" w:type="dxa"/>
            <w:shd w:val="clear" w:color="auto" w:fill="FFFFFF"/>
            <w:tcMar>
              <w:top w:w="0" w:type="dxa"/>
              <w:left w:w="108" w:type="dxa"/>
              <w:bottom w:w="0" w:type="dxa"/>
              <w:right w:w="108" w:type="dxa"/>
            </w:tcMar>
            <w:hideMark/>
          </w:tcPr>
          <w:p w:rsidR="000925A3" w:rsidRPr="000925A3" w:rsidRDefault="000925A3" w:rsidP="000925A3">
            <w:pPr>
              <w:spacing w:before="120" w:after="120" w:line="234" w:lineRule="atLeast"/>
              <w:jc w:val="center"/>
              <w:rPr>
                <w:rFonts w:ascii="Times New Roman" w:eastAsia="Times New Roman" w:hAnsi="Times New Roman" w:cs="Times New Roman"/>
                <w:color w:val="000000"/>
                <w:sz w:val="26"/>
                <w:szCs w:val="26"/>
              </w:rPr>
            </w:pPr>
            <w:r w:rsidRPr="000925A3">
              <w:rPr>
                <w:rFonts w:ascii="Times New Roman" w:eastAsia="Times New Roman" w:hAnsi="Times New Roman" w:cs="Times New Roman"/>
                <w:color w:val="000000"/>
                <w:sz w:val="26"/>
                <w:szCs w:val="26"/>
              </w:rPr>
              <w:t>Số: 136/2009/QĐ-TTg</w:t>
            </w:r>
          </w:p>
        </w:tc>
        <w:tc>
          <w:tcPr>
            <w:tcW w:w="5745" w:type="dxa"/>
            <w:shd w:val="clear" w:color="auto" w:fill="FFFFFF"/>
            <w:tcMar>
              <w:top w:w="0" w:type="dxa"/>
              <w:left w:w="108" w:type="dxa"/>
              <w:bottom w:w="0" w:type="dxa"/>
              <w:right w:w="108" w:type="dxa"/>
            </w:tcMar>
            <w:hideMark/>
          </w:tcPr>
          <w:p w:rsidR="000925A3" w:rsidRPr="000925A3" w:rsidRDefault="000925A3" w:rsidP="000925A3">
            <w:pPr>
              <w:spacing w:before="120" w:after="120" w:line="234" w:lineRule="atLeast"/>
              <w:jc w:val="right"/>
              <w:rPr>
                <w:rFonts w:ascii="Times New Roman" w:eastAsia="Times New Roman" w:hAnsi="Times New Roman" w:cs="Times New Roman"/>
                <w:color w:val="000000"/>
                <w:sz w:val="26"/>
                <w:szCs w:val="26"/>
              </w:rPr>
            </w:pPr>
            <w:r w:rsidRPr="000925A3">
              <w:rPr>
                <w:rFonts w:ascii="Times New Roman" w:eastAsia="Times New Roman" w:hAnsi="Times New Roman" w:cs="Times New Roman"/>
                <w:i/>
                <w:iCs/>
                <w:color w:val="000000"/>
                <w:sz w:val="26"/>
                <w:szCs w:val="26"/>
              </w:rPr>
              <w:t>Hà Nội, ngày 26 tháng 11 năm 2009</w:t>
            </w:r>
          </w:p>
        </w:tc>
      </w:tr>
    </w:tbl>
    <w:p w:rsidR="000925A3" w:rsidRPr="000925A3" w:rsidRDefault="000925A3" w:rsidP="000925A3">
      <w:pPr>
        <w:shd w:val="clear" w:color="auto" w:fill="FFFFFF"/>
        <w:spacing w:before="120" w:after="120" w:line="234" w:lineRule="atLeast"/>
        <w:jc w:val="center"/>
        <w:rPr>
          <w:rFonts w:ascii="Arial" w:eastAsia="Times New Roman" w:hAnsi="Arial" w:cs="Arial"/>
          <w:color w:val="000000"/>
          <w:sz w:val="18"/>
          <w:szCs w:val="18"/>
        </w:rPr>
      </w:pPr>
      <w:r w:rsidRPr="000925A3">
        <w:rPr>
          <w:rFonts w:ascii="Arial" w:eastAsia="Times New Roman" w:hAnsi="Arial" w:cs="Arial"/>
          <w:b/>
          <w:bCs/>
          <w:color w:val="000000"/>
          <w:sz w:val="18"/>
          <w:szCs w:val="18"/>
        </w:rPr>
        <w:t> </w:t>
      </w:r>
    </w:p>
    <w:p w:rsidR="000925A3" w:rsidRDefault="000925A3" w:rsidP="000925A3">
      <w:pPr>
        <w:shd w:val="clear" w:color="auto" w:fill="FFFFFF"/>
        <w:spacing w:before="120" w:after="120" w:line="234" w:lineRule="atLeast"/>
        <w:jc w:val="center"/>
        <w:rPr>
          <w:rFonts w:ascii="Times New Roman" w:eastAsia="Times New Roman" w:hAnsi="Times New Roman" w:cs="Times New Roman"/>
          <w:b/>
          <w:bCs/>
          <w:color w:val="000000"/>
          <w:sz w:val="28"/>
          <w:szCs w:val="28"/>
        </w:rPr>
      </w:pPr>
      <w:r w:rsidRPr="000925A3">
        <w:rPr>
          <w:rFonts w:ascii="Times New Roman" w:eastAsia="Times New Roman" w:hAnsi="Times New Roman" w:cs="Times New Roman"/>
          <w:b/>
          <w:bCs/>
          <w:color w:val="000000"/>
          <w:sz w:val="28"/>
          <w:szCs w:val="28"/>
        </w:rPr>
        <w:t>QUYẾT ĐỊNH</w:t>
      </w:r>
    </w:p>
    <w:p w:rsidR="0096294C" w:rsidRPr="000925A3" w:rsidRDefault="0096294C" w:rsidP="000925A3">
      <w:pPr>
        <w:shd w:val="clear" w:color="auto" w:fill="FFFFFF"/>
        <w:spacing w:before="120" w:after="12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Việc thành lập khu kinh tế cửa khẩu Thanh thủy, tình Hà Giang</w:t>
      </w:r>
    </w:p>
    <w:p w:rsidR="0096294C" w:rsidRDefault="0096294C" w:rsidP="000925A3">
      <w:pPr>
        <w:shd w:val="clear" w:color="auto" w:fill="FFFFFF"/>
        <w:spacing w:before="120" w:after="120" w:line="234" w:lineRule="atLeas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1950144</wp:posOffset>
                </wp:positionH>
                <wp:positionV relativeFrom="paragraph">
                  <wp:posOffset>34467</wp:posOffset>
                </wp:positionV>
                <wp:extent cx="1637414"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16374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4C7A3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3.55pt,2.7pt" to="28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" strokecolor="black [3200]" strokeweight=".5pt">
                <v:stroke joinstyle="miter"/>
              </v:line>
            </w:pict>
          </mc:Fallback>
        </mc:AlternateContent>
      </w:r>
    </w:p>
    <w:p w:rsidR="000925A3" w:rsidRPr="000925A3" w:rsidRDefault="000925A3" w:rsidP="000925A3">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0925A3">
        <w:rPr>
          <w:rFonts w:ascii="Times New Roman" w:eastAsia="Times New Roman" w:hAnsi="Times New Roman" w:cs="Times New Roman"/>
          <w:b/>
          <w:bCs/>
          <w:color w:val="000000"/>
          <w:sz w:val="28"/>
          <w:szCs w:val="28"/>
        </w:rPr>
        <w:t>THỦ TƯỚNG CHÍNH PHỦ</w:t>
      </w:r>
    </w:p>
    <w:p w:rsidR="000925A3" w:rsidRPr="000925A3" w:rsidRDefault="000925A3" w:rsidP="000925A3">
      <w:pPr>
        <w:shd w:val="clear" w:color="auto" w:fill="FFFFFF"/>
        <w:spacing w:before="120" w:after="120" w:line="234" w:lineRule="atLeast"/>
        <w:rPr>
          <w:rFonts w:ascii="Times New Roman" w:eastAsia="Times New Roman" w:hAnsi="Times New Roman" w:cs="Times New Roman"/>
          <w:color w:val="000000"/>
          <w:sz w:val="28"/>
          <w:szCs w:val="28"/>
        </w:rPr>
      </w:pPr>
      <w:r w:rsidRPr="000925A3">
        <w:rPr>
          <w:rFonts w:ascii="Times New Roman" w:eastAsia="Times New Roman" w:hAnsi="Times New Roman" w:cs="Times New Roman"/>
          <w:i/>
          <w:iCs/>
          <w:color w:val="000000"/>
          <w:sz w:val="28"/>
          <w:szCs w:val="28"/>
        </w:rPr>
        <w:t>Căn cứ Luật Tổ chức Chính phủ ngày 25 tháng 12 năm 2001;</w:t>
      </w:r>
      <w:r w:rsidRPr="000925A3">
        <w:rPr>
          <w:rFonts w:ascii="Times New Roman" w:eastAsia="Times New Roman" w:hAnsi="Times New Roman" w:cs="Times New Roman"/>
          <w:i/>
          <w:iCs/>
          <w:color w:val="000000"/>
          <w:sz w:val="28"/>
          <w:szCs w:val="28"/>
        </w:rPr>
        <w:br/>
        <w:t>Căn cứ Luật Đầu tư ngày 29 tháng 11 năm 2005;</w:t>
      </w:r>
      <w:r w:rsidRPr="000925A3">
        <w:rPr>
          <w:rFonts w:ascii="Times New Roman" w:eastAsia="Times New Roman" w:hAnsi="Times New Roman" w:cs="Times New Roman"/>
          <w:i/>
          <w:iCs/>
          <w:color w:val="000000"/>
          <w:sz w:val="28"/>
          <w:szCs w:val="28"/>
        </w:rPr>
        <w:br/>
        <w:t>Căn cứ Nghị định số 29/2008/NĐ-CP ngày 14 tháng 3 năm 2008 của Chính phủ Quy định về khu công nghiệp, khu chế xuất và khu kinh tế;</w:t>
      </w:r>
      <w:r w:rsidRPr="000925A3">
        <w:rPr>
          <w:rFonts w:ascii="Times New Roman" w:eastAsia="Times New Roman" w:hAnsi="Times New Roman" w:cs="Times New Roman"/>
          <w:i/>
          <w:iCs/>
          <w:color w:val="000000"/>
          <w:sz w:val="28"/>
          <w:szCs w:val="28"/>
        </w:rPr>
        <w:br/>
        <w:t>Xét đề nghị của Bộ trưởng Bộ Kế hoạch và Đầu tư và Chủ tịch Ủy ban nhân dân tỉnh Hà Giang,</w:t>
      </w:r>
    </w:p>
    <w:p w:rsidR="000925A3" w:rsidRPr="000925A3" w:rsidRDefault="000925A3" w:rsidP="000925A3">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0925A3">
        <w:rPr>
          <w:rFonts w:ascii="Times New Roman" w:eastAsia="Times New Roman" w:hAnsi="Times New Roman" w:cs="Times New Roman"/>
          <w:b/>
          <w:bCs/>
          <w:color w:val="000000"/>
          <w:sz w:val="28"/>
          <w:szCs w:val="28"/>
        </w:rPr>
        <w:t>QUYẾT ĐỊNH:</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b/>
          <w:bCs/>
          <w:color w:val="000000"/>
          <w:sz w:val="28"/>
          <w:szCs w:val="28"/>
        </w:rPr>
        <w:t>Điều 1. </w:t>
      </w:r>
      <w:r w:rsidRPr="000925A3">
        <w:rPr>
          <w:rFonts w:ascii="Times New Roman" w:eastAsia="Times New Roman" w:hAnsi="Times New Roman" w:cs="Times New Roman"/>
          <w:color w:val="000000"/>
          <w:sz w:val="28"/>
          <w:szCs w:val="28"/>
        </w:rPr>
        <w:t>Thành lập Khu kinh tế cửa khẩu Thanh Thủy, tỉnh Hà Giang.</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1. Khu kinh tế cửa khẩu Thanh Thủy, tỉnh Hà Giang là khu vực có ranh giới địa lý xác định thuộc lãnh thổ và chủ quyền quốc gia, có không gian kinh tế riêng biệt.</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Khu kinh tế cửa khẩu Thanh Thủy gồm địa phận 07 xã: Thanh Thủy, Phương Tiến, Thanh Đức, Xín Chải, Lao Chải, Phong Quang (huyện Vị Xuyên) và Phương Độ (thị xã Hà Giang). Diện tích tự nhiên 28.781 ha. Ranh giới địa lý Khu kinh tế cửa khẩu được xác định như sau:   </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 Phía Bắc giáp Châu Văn Sơn của tỉnh Vân Nam, Trung Quốc;</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 Phía Nam giáp xã Cao Bồ của huyện Vị Xuyên và xã Phương Thiện, phường Quang Trung, phường Nguyễn Trãi của thị xã Hà Giang;</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 Phía Đông giáp xã Thuận Hòa và xã Minh Tân của huyện Vị Xuyên;</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 Phía Tây giáp xã Thèn Chu Phìn, xã Đản Ván và xã Túng Sán của huyện Hoàng Su Phì.</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2. Khu kinh tế cửa khẩu Thanh Thủy được tổ chức thành khu phi thuế quan và các khu chức năng như: khu công nghiệp, khu giải trí, khu du lịch, khu đô thị, khu dân cư, khu hành chính và các khu chức năng khác. Quy mô, vị trí từng khu vực được xác định trong quy hoạch chung và quy hoạch chi tiết Khu kinh tế cửa khẩu Thanh Thủy.</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b/>
          <w:bCs/>
          <w:color w:val="000000"/>
          <w:sz w:val="28"/>
          <w:szCs w:val="28"/>
        </w:rPr>
        <w:lastRenderedPageBreak/>
        <w:t>Điều 2. </w:t>
      </w:r>
      <w:r w:rsidRPr="000925A3">
        <w:rPr>
          <w:rFonts w:ascii="Times New Roman" w:eastAsia="Times New Roman" w:hAnsi="Times New Roman" w:cs="Times New Roman"/>
          <w:color w:val="000000"/>
          <w:sz w:val="28"/>
          <w:szCs w:val="28"/>
        </w:rPr>
        <w:t>Hoạt động và các cơ chế, chính sách đối với Khu kinh tế cửa khẩu Thanh Thủy, tỉnh Hà Giang thực hiện theo Luật Đầu tư và các văn bản hướng dẫn thi hành Luật Đầu tư, Nghị định số 29/2008/NĐ-CP ngày 14 tháng 3 năm 2008 của Chính phủ quy định về khu công nghiệp, khu chế xuất và khu kinh tế, Quyết định số 33/2009/QĐ-TTg ngày 02 tháng 3 năm 2009 của Thủ tướng Chính phủ ban hành cơ chế, chính sách tài chính đối với Khu kinh tế cửa khẩu và các văn bản pháp luật khác có liên quan.</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b/>
          <w:bCs/>
          <w:color w:val="000000"/>
          <w:sz w:val="28"/>
          <w:szCs w:val="28"/>
        </w:rPr>
        <w:t>Điều 3. </w:t>
      </w:r>
      <w:r w:rsidRPr="000925A3">
        <w:rPr>
          <w:rFonts w:ascii="Times New Roman" w:eastAsia="Times New Roman" w:hAnsi="Times New Roman" w:cs="Times New Roman"/>
          <w:color w:val="000000"/>
          <w:sz w:val="28"/>
          <w:szCs w:val="28"/>
        </w:rPr>
        <w:t>Điều khoản thi hành</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1. Quyết định này có hiệu lực thi hành kể từ ngày 15 tháng 01 năm 2010.</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Bãi bỏ Quyết định số 184/2001/QĐ-TTg ngày 21 tháng 11 năm 2001 của Thủ tướng Chính phủ về việc cho phép cửa khẩu Thanh Thủy, tỉnh Hà Giang được áp dụng chính sách khu kinh tế cửa khẩu biên giới.</w:t>
      </w:r>
    </w:p>
    <w:p w:rsidR="000925A3" w:rsidRPr="000925A3" w:rsidRDefault="000925A3" w:rsidP="0026660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2. Các Bộ trưởng, Thủ trưởng cơ quan ngang Bộ, Thủ trưởng cơ quan thuộc Chính phủ, Chủ tịch Ủy ban nhân dân tỉnh Hà Giang chịu trách nhiệm thi hành Quyết định này./.</w:t>
      </w:r>
    </w:p>
    <w:p w:rsidR="000925A3" w:rsidRPr="000925A3" w:rsidRDefault="000925A3" w:rsidP="000925A3">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0925A3">
        <w:rPr>
          <w:rFonts w:ascii="Times New Roman" w:eastAsia="Times New Roman" w:hAnsi="Times New Roman" w:cs="Times New Roman"/>
          <w:color w:val="000000"/>
          <w:sz w:val="28"/>
          <w:szCs w:val="28"/>
        </w:rPr>
        <w:t> </w:t>
      </w:r>
      <w:bookmarkStart w:id="0" w:name="_GoBack"/>
      <w:bookmarkEnd w:id="0"/>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925A3" w:rsidRPr="000925A3" w:rsidTr="000925A3">
        <w:trPr>
          <w:tblCellSpacing w:w="0" w:type="dxa"/>
        </w:trPr>
        <w:tc>
          <w:tcPr>
            <w:tcW w:w="4428" w:type="dxa"/>
            <w:shd w:val="clear" w:color="auto" w:fill="FFFFFF"/>
            <w:tcMar>
              <w:top w:w="0" w:type="dxa"/>
              <w:left w:w="108" w:type="dxa"/>
              <w:bottom w:w="0" w:type="dxa"/>
              <w:right w:w="108" w:type="dxa"/>
            </w:tcMar>
            <w:hideMark/>
          </w:tcPr>
          <w:p w:rsidR="000925A3" w:rsidRPr="000925A3" w:rsidRDefault="000925A3" w:rsidP="000925A3">
            <w:pPr>
              <w:spacing w:before="120" w:after="120" w:line="234" w:lineRule="atLeast"/>
              <w:rPr>
                <w:rFonts w:ascii="Arial" w:eastAsia="Times New Roman" w:hAnsi="Arial" w:cs="Arial"/>
                <w:color w:val="000000"/>
                <w:sz w:val="18"/>
                <w:szCs w:val="18"/>
              </w:rPr>
            </w:pPr>
            <w:r w:rsidRPr="000925A3">
              <w:rPr>
                <w:rFonts w:ascii="Arial" w:eastAsia="Times New Roman" w:hAnsi="Arial" w:cs="Arial"/>
                <w:b/>
                <w:bCs/>
                <w:i/>
                <w:iCs/>
                <w:color w:val="000000"/>
                <w:sz w:val="18"/>
                <w:szCs w:val="18"/>
              </w:rPr>
              <w:t> </w:t>
            </w:r>
          </w:p>
          <w:p w:rsidR="000925A3" w:rsidRPr="000925A3" w:rsidRDefault="000925A3" w:rsidP="000925A3">
            <w:pPr>
              <w:spacing w:before="120" w:after="120" w:line="234" w:lineRule="atLeast"/>
              <w:rPr>
                <w:rFonts w:ascii="Times New Roman" w:eastAsia="Times New Roman" w:hAnsi="Times New Roman" w:cs="Times New Roman"/>
                <w:color w:val="000000"/>
                <w:sz w:val="18"/>
                <w:szCs w:val="18"/>
              </w:rPr>
            </w:pPr>
            <w:r w:rsidRPr="000925A3">
              <w:rPr>
                <w:rFonts w:ascii="Times New Roman" w:eastAsia="Times New Roman" w:hAnsi="Times New Roman" w:cs="Times New Roman"/>
                <w:b/>
                <w:bCs/>
                <w:i/>
                <w:iCs/>
                <w:color w:val="000000"/>
                <w:sz w:val="18"/>
                <w:szCs w:val="18"/>
              </w:rPr>
              <w:t>Nơi nhận:</w:t>
            </w:r>
            <w:r w:rsidRPr="000925A3">
              <w:rPr>
                <w:rFonts w:ascii="Times New Roman" w:eastAsia="Times New Roman" w:hAnsi="Times New Roman" w:cs="Times New Roman"/>
                <w:b/>
                <w:bCs/>
                <w:i/>
                <w:iCs/>
                <w:color w:val="000000"/>
                <w:sz w:val="18"/>
                <w:szCs w:val="18"/>
              </w:rPr>
              <w:br/>
            </w:r>
            <w:r w:rsidRPr="000925A3">
              <w:rPr>
                <w:rFonts w:ascii="Times New Roman" w:eastAsia="Times New Roman" w:hAnsi="Times New Roman" w:cs="Times New Roman"/>
                <w:color w:val="000000"/>
                <w:sz w:val="16"/>
                <w:szCs w:val="16"/>
              </w:rPr>
              <w:t>- Ban Bí thư Trung ương Đảng;</w:t>
            </w:r>
            <w:r w:rsidRPr="000925A3">
              <w:rPr>
                <w:rFonts w:ascii="Times New Roman" w:eastAsia="Times New Roman" w:hAnsi="Times New Roman" w:cs="Times New Roman"/>
                <w:color w:val="000000"/>
                <w:sz w:val="16"/>
                <w:szCs w:val="16"/>
              </w:rPr>
              <w:br/>
              <w:t>- Thủ tướng, các Phó Thủ tướng Chính phủ;</w:t>
            </w:r>
            <w:r w:rsidRPr="000925A3">
              <w:rPr>
                <w:rFonts w:ascii="Times New Roman" w:eastAsia="Times New Roman" w:hAnsi="Times New Roman" w:cs="Times New Roman"/>
                <w:color w:val="000000"/>
                <w:sz w:val="16"/>
                <w:szCs w:val="16"/>
              </w:rPr>
              <w:br/>
              <w:t>- Các Bộ, cơ quan ngang Bộ, các cơ quan thuộc CP;</w:t>
            </w:r>
            <w:r w:rsidRPr="000925A3">
              <w:rPr>
                <w:rFonts w:ascii="Times New Roman" w:eastAsia="Times New Roman" w:hAnsi="Times New Roman" w:cs="Times New Roman"/>
                <w:color w:val="000000"/>
                <w:sz w:val="16"/>
                <w:szCs w:val="16"/>
              </w:rPr>
              <w:br/>
              <w:t>- VP BCĐ TW về phòng, chống tham nhũng;</w:t>
            </w:r>
            <w:r w:rsidRPr="000925A3">
              <w:rPr>
                <w:rFonts w:ascii="Times New Roman" w:eastAsia="Times New Roman" w:hAnsi="Times New Roman" w:cs="Times New Roman"/>
                <w:color w:val="000000"/>
                <w:sz w:val="16"/>
                <w:szCs w:val="16"/>
              </w:rPr>
              <w:br/>
              <w:t>- HĐND, UBND các tỉnh, thành phố trực thuộc TW;</w:t>
            </w:r>
            <w:r w:rsidRPr="000925A3">
              <w:rPr>
                <w:rFonts w:ascii="Times New Roman" w:eastAsia="Times New Roman" w:hAnsi="Times New Roman" w:cs="Times New Roman"/>
                <w:color w:val="000000"/>
                <w:sz w:val="16"/>
                <w:szCs w:val="16"/>
              </w:rPr>
              <w:br/>
              <w:t>- Văn phòng Trung ương và các Ban của Đảng;</w:t>
            </w:r>
            <w:r w:rsidRPr="000925A3">
              <w:rPr>
                <w:rFonts w:ascii="Times New Roman" w:eastAsia="Times New Roman" w:hAnsi="Times New Roman" w:cs="Times New Roman"/>
                <w:color w:val="000000"/>
                <w:sz w:val="16"/>
                <w:szCs w:val="16"/>
              </w:rPr>
              <w:br/>
              <w:t>- Văn phòng Chủ tịch nước;</w:t>
            </w:r>
            <w:r w:rsidRPr="000925A3">
              <w:rPr>
                <w:rFonts w:ascii="Times New Roman" w:eastAsia="Times New Roman" w:hAnsi="Times New Roman" w:cs="Times New Roman"/>
                <w:color w:val="000000"/>
                <w:sz w:val="16"/>
                <w:szCs w:val="16"/>
              </w:rPr>
              <w:br/>
              <w:t>- Hội đồng Dân tộc và các Ủy ban của Quốc hội;</w:t>
            </w:r>
            <w:r w:rsidRPr="000925A3">
              <w:rPr>
                <w:rFonts w:ascii="Times New Roman" w:eastAsia="Times New Roman" w:hAnsi="Times New Roman" w:cs="Times New Roman"/>
                <w:color w:val="000000"/>
                <w:sz w:val="16"/>
                <w:szCs w:val="16"/>
              </w:rPr>
              <w:br/>
              <w:t>- Văn phòng Quốc hội;</w:t>
            </w:r>
            <w:r w:rsidRPr="000925A3">
              <w:rPr>
                <w:rFonts w:ascii="Times New Roman" w:eastAsia="Times New Roman" w:hAnsi="Times New Roman" w:cs="Times New Roman"/>
                <w:color w:val="000000"/>
                <w:sz w:val="16"/>
                <w:szCs w:val="16"/>
              </w:rPr>
              <w:br/>
              <w:t>- Tòa án nhân dân tối cao;</w:t>
            </w:r>
            <w:r w:rsidRPr="000925A3">
              <w:rPr>
                <w:rFonts w:ascii="Times New Roman" w:eastAsia="Times New Roman" w:hAnsi="Times New Roman" w:cs="Times New Roman"/>
                <w:color w:val="000000"/>
                <w:sz w:val="16"/>
                <w:szCs w:val="16"/>
              </w:rPr>
              <w:br/>
              <w:t>- Viện Kiểm sát nhân dân tối cao;</w:t>
            </w:r>
            <w:r w:rsidRPr="000925A3">
              <w:rPr>
                <w:rFonts w:ascii="Times New Roman" w:eastAsia="Times New Roman" w:hAnsi="Times New Roman" w:cs="Times New Roman"/>
                <w:color w:val="000000"/>
                <w:sz w:val="16"/>
                <w:szCs w:val="16"/>
              </w:rPr>
              <w:br/>
              <w:t>- Kiểm toán Nhà nước;</w:t>
            </w:r>
            <w:r w:rsidRPr="000925A3">
              <w:rPr>
                <w:rFonts w:ascii="Times New Roman" w:eastAsia="Times New Roman" w:hAnsi="Times New Roman" w:cs="Times New Roman"/>
                <w:color w:val="000000"/>
                <w:sz w:val="16"/>
                <w:szCs w:val="16"/>
              </w:rPr>
              <w:br/>
              <w:t>- Ủy ban Giám sát tài chính Quốc gia;</w:t>
            </w:r>
            <w:r w:rsidRPr="000925A3">
              <w:rPr>
                <w:rFonts w:ascii="Times New Roman" w:eastAsia="Times New Roman" w:hAnsi="Times New Roman" w:cs="Times New Roman"/>
                <w:color w:val="000000"/>
                <w:sz w:val="16"/>
                <w:szCs w:val="16"/>
              </w:rPr>
              <w:br/>
              <w:t>- Ngân hàng Chính sách Xã hội;</w:t>
            </w:r>
            <w:r w:rsidRPr="000925A3">
              <w:rPr>
                <w:rFonts w:ascii="Times New Roman" w:eastAsia="Times New Roman" w:hAnsi="Times New Roman" w:cs="Times New Roman"/>
                <w:color w:val="000000"/>
                <w:sz w:val="16"/>
                <w:szCs w:val="16"/>
              </w:rPr>
              <w:br/>
              <w:t>- Ngân hàng Phát triển Việt Nam;</w:t>
            </w:r>
            <w:r w:rsidRPr="000925A3">
              <w:rPr>
                <w:rFonts w:ascii="Times New Roman" w:eastAsia="Times New Roman" w:hAnsi="Times New Roman" w:cs="Times New Roman"/>
                <w:color w:val="000000"/>
                <w:sz w:val="16"/>
                <w:szCs w:val="16"/>
              </w:rPr>
              <w:br/>
              <w:t>- Ủy ban Trung ương Mặt trận Tổ quốc Việt Nam;</w:t>
            </w:r>
            <w:r w:rsidRPr="000925A3">
              <w:rPr>
                <w:rFonts w:ascii="Times New Roman" w:eastAsia="Times New Roman" w:hAnsi="Times New Roman" w:cs="Times New Roman"/>
                <w:color w:val="000000"/>
                <w:sz w:val="16"/>
                <w:szCs w:val="16"/>
              </w:rPr>
              <w:br/>
              <w:t>- Cơ quan Trung ương của các đoàn thể;</w:t>
            </w:r>
            <w:r w:rsidRPr="000925A3">
              <w:rPr>
                <w:rFonts w:ascii="Times New Roman" w:eastAsia="Times New Roman" w:hAnsi="Times New Roman" w:cs="Times New Roman"/>
                <w:color w:val="000000"/>
                <w:sz w:val="16"/>
                <w:szCs w:val="16"/>
              </w:rPr>
              <w:br/>
              <w:t>- VPCP: BTCN, các PCN, Cổng TTĐT, các Vụ, Cục, đơn vị trực thuộc, Công báo;</w:t>
            </w:r>
            <w:r w:rsidRPr="000925A3">
              <w:rPr>
                <w:rFonts w:ascii="Times New Roman" w:eastAsia="Times New Roman" w:hAnsi="Times New Roman" w:cs="Times New Roman"/>
                <w:color w:val="000000"/>
                <w:sz w:val="16"/>
                <w:szCs w:val="16"/>
              </w:rPr>
              <w:br/>
              <w:t>- Lưu: Văn thư, KTTH (5b).</w:t>
            </w:r>
          </w:p>
        </w:tc>
        <w:tc>
          <w:tcPr>
            <w:tcW w:w="4428" w:type="dxa"/>
            <w:shd w:val="clear" w:color="auto" w:fill="FFFFFF"/>
            <w:tcMar>
              <w:top w:w="0" w:type="dxa"/>
              <w:left w:w="108" w:type="dxa"/>
              <w:bottom w:w="0" w:type="dxa"/>
              <w:right w:w="108" w:type="dxa"/>
            </w:tcMar>
            <w:hideMark/>
          </w:tcPr>
          <w:p w:rsidR="002414ED" w:rsidRDefault="000925A3" w:rsidP="002414ED">
            <w:pPr>
              <w:spacing w:before="120" w:after="120" w:line="234" w:lineRule="atLeast"/>
              <w:jc w:val="center"/>
              <w:rPr>
                <w:rFonts w:ascii="Times New Roman" w:eastAsia="Times New Roman" w:hAnsi="Times New Roman" w:cs="Times New Roman"/>
                <w:b/>
                <w:bCs/>
                <w:color w:val="000000"/>
                <w:sz w:val="28"/>
                <w:szCs w:val="28"/>
              </w:rPr>
            </w:pPr>
            <w:r w:rsidRPr="000925A3">
              <w:rPr>
                <w:rFonts w:ascii="Times New Roman" w:eastAsia="Times New Roman" w:hAnsi="Times New Roman" w:cs="Times New Roman"/>
                <w:b/>
                <w:bCs/>
                <w:color w:val="000000"/>
                <w:sz w:val="28"/>
                <w:szCs w:val="28"/>
              </w:rPr>
              <w:t>THỦ TƯỚNG</w:t>
            </w:r>
          </w:p>
          <w:p w:rsidR="0026660D" w:rsidRPr="0026660D" w:rsidRDefault="002414ED" w:rsidP="000925A3">
            <w:pPr>
              <w:spacing w:before="120" w:after="120" w:line="234" w:lineRule="atLeas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ký)</w:t>
            </w:r>
          </w:p>
          <w:p w:rsidR="000925A3" w:rsidRPr="000925A3" w:rsidRDefault="0026660D" w:rsidP="000925A3">
            <w:pPr>
              <w:spacing w:before="120" w:after="120" w:line="234" w:lineRule="atLeast"/>
              <w:jc w:val="center"/>
              <w:rPr>
                <w:rFonts w:ascii="Arial" w:eastAsia="Times New Roman" w:hAnsi="Arial" w:cs="Arial"/>
                <w:color w:val="000000"/>
                <w:sz w:val="18"/>
                <w:szCs w:val="18"/>
              </w:rPr>
            </w:pPr>
            <w:r w:rsidRPr="0026660D">
              <w:rPr>
                <w:rFonts w:ascii="Times New Roman" w:eastAsia="Times New Roman" w:hAnsi="Times New Roman" w:cs="Times New Roman"/>
                <w:b/>
                <w:bCs/>
                <w:color w:val="000000"/>
                <w:sz w:val="28"/>
                <w:szCs w:val="28"/>
              </w:rPr>
              <w:t>Nguyễn Tấn Dũng</w:t>
            </w:r>
            <w:r w:rsidR="000925A3" w:rsidRPr="000925A3">
              <w:rPr>
                <w:rFonts w:ascii="Times New Roman" w:eastAsia="Times New Roman" w:hAnsi="Times New Roman" w:cs="Times New Roman"/>
                <w:b/>
                <w:bCs/>
                <w:color w:val="000000"/>
                <w:sz w:val="28"/>
                <w:szCs w:val="28"/>
              </w:rPr>
              <w:br/>
            </w:r>
            <w:r w:rsidR="000925A3" w:rsidRPr="000925A3">
              <w:rPr>
                <w:rFonts w:ascii="Times New Roman" w:eastAsia="Times New Roman" w:hAnsi="Times New Roman" w:cs="Times New Roman"/>
                <w:b/>
                <w:bCs/>
                <w:color w:val="000000"/>
                <w:sz w:val="28"/>
                <w:szCs w:val="28"/>
              </w:rPr>
              <w:br/>
            </w:r>
            <w:r w:rsidR="000925A3" w:rsidRPr="000925A3">
              <w:rPr>
                <w:rFonts w:ascii="Arial" w:eastAsia="Times New Roman" w:hAnsi="Arial" w:cs="Arial"/>
                <w:b/>
                <w:bCs/>
                <w:color w:val="000000"/>
                <w:sz w:val="18"/>
                <w:szCs w:val="18"/>
              </w:rPr>
              <w:br/>
            </w:r>
            <w:r w:rsidR="000925A3" w:rsidRPr="000925A3">
              <w:rPr>
                <w:rFonts w:ascii="Arial" w:eastAsia="Times New Roman" w:hAnsi="Arial" w:cs="Arial"/>
                <w:b/>
                <w:bCs/>
                <w:color w:val="000000"/>
                <w:sz w:val="18"/>
                <w:szCs w:val="18"/>
              </w:rPr>
              <w:br/>
            </w:r>
          </w:p>
        </w:tc>
      </w:tr>
    </w:tbl>
    <w:p w:rsidR="002D0EFF" w:rsidRPr="00641BF3" w:rsidRDefault="002D0EFF" w:rsidP="000925A3">
      <w:pPr>
        <w:rPr>
          <w:rFonts w:ascii="Times New Roman" w:hAnsi="Times New Roman" w:cs="Times New Roman"/>
          <w:sz w:val="28"/>
          <w:szCs w:val="28"/>
        </w:rPr>
      </w:pPr>
    </w:p>
    <w:sectPr w:rsidR="002D0EFF" w:rsidRPr="00641BF3" w:rsidSect="00C12EFE">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BF3"/>
    <w:rsid w:val="000925A3"/>
    <w:rsid w:val="002414ED"/>
    <w:rsid w:val="0026660D"/>
    <w:rsid w:val="002D0EFF"/>
    <w:rsid w:val="00467BE2"/>
    <w:rsid w:val="00641BF3"/>
    <w:rsid w:val="006A5C82"/>
    <w:rsid w:val="0096294C"/>
    <w:rsid w:val="00C12EFE"/>
    <w:rsid w:val="00DC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4682"/>
  <w15:chartTrackingRefBased/>
  <w15:docId w15:val="{AD253AA3-8735-42D9-ADE8-08848932B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25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53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D314E-E30C-4457-9BFD-C93E4C5D9BA1}"/>
</file>

<file path=customXml/itemProps2.xml><?xml version="1.0" encoding="utf-8"?>
<ds:datastoreItem xmlns:ds="http://schemas.openxmlformats.org/officeDocument/2006/customXml" ds:itemID="{20EC1427-88B7-47C2-99CC-BE88FB738463}"/>
</file>

<file path=customXml/itemProps3.xml><?xml version="1.0" encoding="utf-8"?>
<ds:datastoreItem xmlns:ds="http://schemas.openxmlformats.org/officeDocument/2006/customXml" ds:itemID="{0380FB7D-A96A-42C7-9F52-C1A224015386}"/>
</file>

<file path=docProps/app.xml><?xml version="1.0" encoding="utf-8"?>
<Properties xmlns="http://schemas.openxmlformats.org/officeDocument/2006/extended-properties" xmlns:vt="http://schemas.openxmlformats.org/officeDocument/2006/docPropsVTypes">
  <Template>Normal</Template>
  <TotalTime>3</TotalTime>
  <Pages>2</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VU TU LE</cp:lastModifiedBy>
  <cp:revision>4</cp:revision>
  <dcterms:created xsi:type="dcterms:W3CDTF">2024-07-25T04:08:00Z</dcterms:created>
  <dcterms:modified xsi:type="dcterms:W3CDTF">2024-08-07T03:42:00Z</dcterms:modified>
</cp:coreProperties>
</file>