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66C3C" w14:textId="77777777" w:rsidR="00837A79" w:rsidRPr="00021F26" w:rsidRDefault="00837A79" w:rsidP="00837A79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Cs w:val="28"/>
        </w:rPr>
      </w:pPr>
      <w:bookmarkStart w:id="0" w:name="chuong_pl_3"/>
      <w:r w:rsidRPr="00021F26">
        <w:rPr>
          <w:rFonts w:ascii="Arial" w:hAnsi="Arial" w:cs="Arial"/>
          <w:b/>
          <w:szCs w:val="28"/>
        </w:rPr>
        <w:t>PHỤ LỤC III</w:t>
      </w:r>
      <w:bookmarkEnd w:id="0"/>
    </w:p>
    <w:p w14:paraId="38F309E5" w14:textId="77777777" w:rsidR="00837A79" w:rsidRPr="00021F26" w:rsidRDefault="00837A79" w:rsidP="00837A79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i/>
          <w:sz w:val="20"/>
          <w:szCs w:val="28"/>
        </w:rPr>
      </w:pPr>
      <w:bookmarkStart w:id="1" w:name="chuong_pl_3_name"/>
      <w:r w:rsidRPr="00021F26">
        <w:rPr>
          <w:rFonts w:ascii="Arial" w:hAnsi="Arial" w:cs="Arial"/>
          <w:sz w:val="20"/>
          <w:szCs w:val="28"/>
        </w:rPr>
        <w:t>YÊU CẦU KỸ THUẬT CƠ BẢN ĐỐI VỚI HỆ THỐNG TRUYỀN THANH CẤP XÃ ỨNG DỤNG CÔNG NGHỆ THÔNG TIN - VIỄN THÔNG</w:t>
      </w:r>
      <w:bookmarkEnd w:id="1"/>
      <w:r w:rsidRPr="00021F26">
        <w:rPr>
          <w:rFonts w:ascii="Arial" w:hAnsi="Arial" w:cs="Arial"/>
          <w:sz w:val="20"/>
          <w:szCs w:val="28"/>
        </w:rPr>
        <w:br/>
      </w:r>
      <w:r w:rsidRPr="00021F26">
        <w:rPr>
          <w:rFonts w:ascii="Arial" w:hAnsi="Arial" w:cs="Arial"/>
          <w:i/>
          <w:sz w:val="20"/>
          <w:szCs w:val="28"/>
        </w:rPr>
        <w:t>(</w:t>
      </w:r>
      <w:r w:rsidRPr="00021F26">
        <w:rPr>
          <w:rFonts w:ascii="Arial" w:hAnsi="Arial" w:cs="Arial"/>
          <w:i/>
          <w:sz w:val="20"/>
          <w:szCs w:val="26"/>
        </w:rPr>
        <w:t>Ban hành kèm theo Thông tư số 24/2025/TT-BVHTTDL ngày 30 tháng 12 năm 2025 của Bộ trưởng Bộ Văn hóa, Thể thao và Du lịch</w:t>
      </w:r>
      <w:r w:rsidRPr="00021F26">
        <w:rPr>
          <w:rFonts w:ascii="Arial" w:hAnsi="Arial" w:cs="Arial"/>
          <w:i/>
          <w:sz w:val="20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2"/>
        <w:gridCol w:w="2113"/>
        <w:gridCol w:w="3579"/>
        <w:gridCol w:w="2826"/>
      </w:tblGrid>
      <w:tr w:rsidR="00837A79" w:rsidRPr="00021F26" w14:paraId="10ACDD13" w14:textId="77777777" w:rsidTr="006C1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vAlign w:val="center"/>
          </w:tcPr>
          <w:p w14:paraId="5ECF76B3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021F26">
              <w:rPr>
                <w:rFonts w:ascii="Arial" w:hAnsi="Arial" w:cs="Arial"/>
                <w:b/>
                <w:sz w:val="20"/>
                <w:szCs w:val="28"/>
              </w:rPr>
              <w:t>STT</w:t>
            </w:r>
          </w:p>
        </w:tc>
        <w:tc>
          <w:tcPr>
            <w:tcW w:w="1130" w:type="pct"/>
            <w:vAlign w:val="center"/>
          </w:tcPr>
          <w:p w14:paraId="58098911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021F26">
              <w:rPr>
                <w:rFonts w:ascii="Arial" w:hAnsi="Arial" w:cs="Arial"/>
                <w:b/>
                <w:sz w:val="20"/>
                <w:szCs w:val="28"/>
              </w:rPr>
              <w:t>Tên gọi</w:t>
            </w:r>
          </w:p>
        </w:tc>
        <w:tc>
          <w:tcPr>
            <w:tcW w:w="1914" w:type="pct"/>
            <w:vAlign w:val="center"/>
          </w:tcPr>
          <w:p w14:paraId="00DC3B6E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021F26">
              <w:rPr>
                <w:rFonts w:ascii="Arial" w:hAnsi="Arial" w:cs="Arial"/>
                <w:b/>
                <w:sz w:val="20"/>
                <w:szCs w:val="28"/>
              </w:rPr>
              <w:t>Yêu cầu kỹ thuật</w:t>
            </w:r>
          </w:p>
        </w:tc>
        <w:tc>
          <w:tcPr>
            <w:tcW w:w="1511" w:type="pct"/>
            <w:vAlign w:val="center"/>
          </w:tcPr>
          <w:p w14:paraId="1BE08DCE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021F26">
              <w:rPr>
                <w:rFonts w:ascii="Arial" w:hAnsi="Arial" w:cs="Arial"/>
                <w:b/>
                <w:sz w:val="20"/>
                <w:szCs w:val="28"/>
              </w:rPr>
              <w:t>Ghi chú</w:t>
            </w:r>
          </w:p>
        </w:tc>
      </w:tr>
      <w:tr w:rsidR="00837A79" w:rsidRPr="00021F26" w14:paraId="2151F105" w14:textId="77777777" w:rsidTr="006C1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vAlign w:val="center"/>
          </w:tcPr>
          <w:p w14:paraId="52A9DA96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1</w:t>
            </w:r>
          </w:p>
        </w:tc>
        <w:tc>
          <w:tcPr>
            <w:tcW w:w="1130" w:type="pct"/>
            <w:vAlign w:val="center"/>
          </w:tcPr>
          <w:p w14:paraId="593382EC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Cụm thu phát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thanh ứng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dụng công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nghệ thông tin - viễn thông</w:t>
            </w:r>
          </w:p>
        </w:tc>
        <w:tc>
          <w:tcPr>
            <w:tcW w:w="1914" w:type="pct"/>
            <w:vAlign w:val="center"/>
          </w:tcPr>
          <w:p w14:paraId="28327266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Kết nối mạng Internet.</w:t>
            </w:r>
          </w:p>
          <w:p w14:paraId="325B84A7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Nguồn điện cung cấp:</w:t>
            </w:r>
          </w:p>
          <w:p w14:paraId="7BFCCD16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+Nguồn điện xoay chiều có hiệu điện thế: U= 90V - 240V/50HZ;</w:t>
            </w:r>
          </w:p>
          <w:p w14:paraId="2C54BDB4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+ Có đầu chờ để lắp nguồn điện một chiều (khi mất điện) có hiệu điện thế: U-12V - 24V;</w:t>
            </w:r>
          </w:p>
          <w:p w14:paraId="49FE6DD8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Rơle bảo vệ thiết bị điện khi hiệu điện thế U&lt; 90V hoặc U &gt;240V; mất pha, đứt dây trung tính…</w:t>
            </w:r>
          </w:p>
          <w:p w14:paraId="40C8CDF0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Tổng công suất ra loa: Từ 50W - 120W.</w:t>
            </w:r>
          </w:p>
          <w:p w14:paraId="72913B30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Thu được nội dung phát của đài phát thanh, truyền thanh 02 cấp (trung ương,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cấp tỉnh).</w:t>
            </w:r>
          </w:p>
        </w:tc>
        <w:tc>
          <w:tcPr>
            <w:tcW w:w="1511" w:type="pct"/>
            <w:vMerge w:val="restart"/>
            <w:vAlign w:val="center"/>
          </w:tcPr>
          <w:p w14:paraId="489899D2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Trường hợp các thiết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bị thuộc danh mục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sản phẩm, hàng hóa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có khả năng gây mất an toàn thuộc trách nhiệm quản lý của cơ quan có thẩm quyền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thực hiện quản lý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chất lượng theo quy định tại Thông tư số 29/2025/TT-BKHCN ngày 13/11/2025 của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Bộ Khoa học và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Công nghệ.</w:t>
            </w:r>
          </w:p>
        </w:tc>
      </w:tr>
      <w:tr w:rsidR="00837A79" w:rsidRPr="00021F26" w14:paraId="31D8368B" w14:textId="77777777" w:rsidTr="006C1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vAlign w:val="center"/>
          </w:tcPr>
          <w:p w14:paraId="5F981D96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2</w:t>
            </w:r>
          </w:p>
        </w:tc>
        <w:tc>
          <w:tcPr>
            <w:tcW w:w="1130" w:type="pct"/>
            <w:vAlign w:val="center"/>
          </w:tcPr>
          <w:p w14:paraId="69B3FC59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Thiết bị quản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lý, lưu trữ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thông tin và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sản xuất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chương trình</w:t>
            </w:r>
          </w:p>
        </w:tc>
        <w:tc>
          <w:tcPr>
            <w:tcW w:w="1914" w:type="pct"/>
            <w:vAlign w:val="center"/>
          </w:tcPr>
          <w:p w14:paraId="38E4E203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Máy tính để bàn hoặc máy tính xách tay gồm:</w:t>
            </w:r>
          </w:p>
          <w:p w14:paraId="3FBF5459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Ổ cứng SSD: tối thiểu 500G;</w:t>
            </w:r>
          </w:p>
          <w:p w14:paraId="2A13AA35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Ram: tối thiểu 8G;</w:t>
            </w:r>
          </w:p>
          <w:p w14:paraId="4F757EDB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Chip: tối thiểu Core i5 hoặc tương đương;</w:t>
            </w:r>
          </w:p>
          <w:p w14:paraId="69907BF6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Cổng kết nối Internet và các thiết bị liên quan kèm theo.</w:t>
            </w:r>
          </w:p>
        </w:tc>
        <w:tc>
          <w:tcPr>
            <w:tcW w:w="1511" w:type="pct"/>
            <w:vMerge/>
            <w:vAlign w:val="center"/>
          </w:tcPr>
          <w:p w14:paraId="66F0757D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837A79" w:rsidRPr="00021F26" w14:paraId="766A49EC" w14:textId="77777777" w:rsidTr="006C1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vAlign w:val="center"/>
          </w:tcPr>
          <w:p w14:paraId="4EB14F2F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3</w:t>
            </w:r>
          </w:p>
        </w:tc>
        <w:tc>
          <w:tcPr>
            <w:tcW w:w="1130" w:type="pct"/>
            <w:vAlign w:val="center"/>
          </w:tcPr>
          <w:p w14:paraId="03378C01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Micro</w:t>
            </w:r>
          </w:p>
        </w:tc>
        <w:tc>
          <w:tcPr>
            <w:tcW w:w="1914" w:type="pct"/>
            <w:vAlign w:val="center"/>
          </w:tcPr>
          <w:p w14:paraId="0502B23F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Chất lượng âm thanh rõ ràng</w:t>
            </w:r>
          </w:p>
        </w:tc>
        <w:tc>
          <w:tcPr>
            <w:tcW w:w="1511" w:type="pct"/>
            <w:vMerge/>
            <w:vAlign w:val="center"/>
          </w:tcPr>
          <w:p w14:paraId="537CD0FD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837A79" w:rsidRPr="00021F26" w14:paraId="6B3B7816" w14:textId="77777777" w:rsidTr="006C1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vAlign w:val="center"/>
          </w:tcPr>
          <w:p w14:paraId="66A2D359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4</w:t>
            </w:r>
          </w:p>
        </w:tc>
        <w:tc>
          <w:tcPr>
            <w:tcW w:w="1130" w:type="pct"/>
            <w:vAlign w:val="center"/>
          </w:tcPr>
          <w:p w14:paraId="0F92FDD6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Loa truyền thanh</w:t>
            </w:r>
          </w:p>
        </w:tc>
        <w:tc>
          <w:tcPr>
            <w:tcW w:w="1914" w:type="pct"/>
            <w:vAlign w:val="center"/>
          </w:tcPr>
          <w:p w14:paraId="1520C1ED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Công suất tối thiểu từ: Từ 25 - 30W/loa.</w:t>
            </w:r>
          </w:p>
        </w:tc>
        <w:tc>
          <w:tcPr>
            <w:tcW w:w="1511" w:type="pct"/>
            <w:vMerge/>
            <w:vAlign w:val="center"/>
          </w:tcPr>
          <w:p w14:paraId="24BC6A01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837A79" w:rsidRPr="00021F26" w14:paraId="570D1784" w14:textId="77777777" w:rsidTr="006C1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1"/>
        </w:trPr>
        <w:tc>
          <w:tcPr>
            <w:tcW w:w="445" w:type="pct"/>
            <w:tcBorders>
              <w:bottom w:val="single" w:sz="4" w:space="0" w:color="auto"/>
            </w:tcBorders>
            <w:vAlign w:val="center"/>
          </w:tcPr>
          <w:p w14:paraId="637AC805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5</w:t>
            </w:r>
          </w:p>
        </w:tc>
        <w:tc>
          <w:tcPr>
            <w:tcW w:w="1130" w:type="pct"/>
            <w:tcBorders>
              <w:bottom w:val="single" w:sz="4" w:space="0" w:color="auto"/>
            </w:tcBorders>
            <w:vAlign w:val="center"/>
          </w:tcPr>
          <w:p w14:paraId="78585489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Các thiết bị, vật tư khác</w:t>
            </w:r>
          </w:p>
        </w:tc>
        <w:tc>
          <w:tcPr>
            <w:tcW w:w="1914" w:type="pct"/>
            <w:tcBorders>
              <w:bottom w:val="single" w:sz="4" w:space="0" w:color="auto"/>
            </w:tcBorders>
            <w:vAlign w:val="center"/>
          </w:tcPr>
          <w:p w14:paraId="6FAFFB1C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Cột treo loa.</w:t>
            </w:r>
          </w:p>
          <w:p w14:paraId="4D415E60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8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Dây chống sét ở cột treo loa thiết bị chống sét.</w:t>
            </w:r>
          </w:p>
          <w:p w14:paraId="5FCE76CB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Bộ lưu điện (UPS) hoặc pin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năng lượng mặt trời dự</w:t>
            </w:r>
            <w:r w:rsidRPr="00021F26">
              <w:rPr>
                <w:rFonts w:ascii="Arial" w:hAnsi="Arial" w:cs="Arial"/>
                <w:sz w:val="20"/>
              </w:rPr>
              <w:t xml:space="preserve"> </w:t>
            </w:r>
            <w:r w:rsidRPr="00021F26">
              <w:rPr>
                <w:rFonts w:ascii="Arial" w:hAnsi="Arial" w:cs="Arial"/>
                <w:sz w:val="20"/>
                <w:szCs w:val="28"/>
              </w:rPr>
              <w:t>phòng (nếu có).</w:t>
            </w:r>
          </w:p>
          <w:p w14:paraId="0EB0357F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021F26">
              <w:rPr>
                <w:rFonts w:ascii="Arial" w:hAnsi="Arial" w:cs="Arial"/>
                <w:sz w:val="20"/>
                <w:szCs w:val="28"/>
              </w:rPr>
              <w:t>- Đảm bảo quy định chuyên ngành về an toàn điện, an toàn xây dựng; quy định về tiếp đất, chống sét…</w:t>
            </w:r>
          </w:p>
        </w:tc>
        <w:tc>
          <w:tcPr>
            <w:tcW w:w="1511" w:type="pct"/>
            <w:vMerge/>
            <w:tcBorders>
              <w:bottom w:val="single" w:sz="4" w:space="0" w:color="auto"/>
            </w:tcBorders>
            <w:vAlign w:val="center"/>
          </w:tcPr>
          <w:p w14:paraId="19010442" w14:textId="77777777" w:rsidR="00837A79" w:rsidRPr="00021F26" w:rsidRDefault="00837A79" w:rsidP="006C144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</w:p>
        </w:tc>
      </w:tr>
    </w:tbl>
    <w:p w14:paraId="2C4BFDFE" w14:textId="77777777" w:rsidR="00837A79" w:rsidRPr="00021F26" w:rsidRDefault="00837A79" w:rsidP="00837A79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8"/>
        </w:rPr>
      </w:pPr>
    </w:p>
    <w:p w14:paraId="0FAE7763" w14:textId="77777777" w:rsidR="00F63FB7" w:rsidRDefault="00F63FB7"/>
    <w:sectPr w:rsidR="00F6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79"/>
    <w:rsid w:val="000D7C9B"/>
    <w:rsid w:val="001A4CE9"/>
    <w:rsid w:val="00837A79"/>
    <w:rsid w:val="00F6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6D04"/>
  <w15:chartTrackingRefBased/>
  <w15:docId w15:val="{16C3A7C5-BE9C-47FF-B3F6-5D4A80B5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A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EF623F-12F8-442C-9CFB-BEAFE71C414A}"/>
</file>

<file path=customXml/itemProps2.xml><?xml version="1.0" encoding="utf-8"?>
<ds:datastoreItem xmlns:ds="http://schemas.openxmlformats.org/officeDocument/2006/customXml" ds:itemID="{1F02058C-C5A1-4AEA-A28B-66DAA84BE69B}"/>
</file>

<file path=customXml/itemProps3.xml><?xml version="1.0" encoding="utf-8"?>
<ds:datastoreItem xmlns:ds="http://schemas.openxmlformats.org/officeDocument/2006/customXml" ds:itemID="{4702411C-4DB9-4CAC-9D61-CAE154BE68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</dc:creator>
  <cp:keywords/>
  <dc:description/>
  <cp:lastModifiedBy>HUYEN</cp:lastModifiedBy>
  <cp:revision>1</cp:revision>
  <dcterms:created xsi:type="dcterms:W3CDTF">2026-01-09T02:53:00Z</dcterms:created>
  <dcterms:modified xsi:type="dcterms:W3CDTF">2026-01-09T02:53:00Z</dcterms:modified>
</cp:coreProperties>
</file>