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jc w:val="center"/>
        <w:tblLayout w:type="autofit"/>
        <w:tblCellMar>
          <w:top w:w="0" w:type="dxa"/>
          <w:left w:w="108" w:type="dxa"/>
          <w:bottom w:w="0" w:type="dxa"/>
          <w:right w:w="108" w:type="dxa"/>
        </w:tblCellMar>
      </w:tblPr>
      <w:tblGrid>
        <w:gridCol w:w="3936"/>
        <w:gridCol w:w="5352"/>
      </w:tblGrid>
      <w:tr>
        <w:tblPrEx>
          <w:tblCellMar>
            <w:top w:w="0" w:type="dxa"/>
            <w:left w:w="108" w:type="dxa"/>
            <w:bottom w:w="0" w:type="dxa"/>
            <w:right w:w="108" w:type="dxa"/>
          </w:tblCellMar>
        </w:tblPrEx>
        <w:trPr>
          <w:jc w:val="center"/>
        </w:trPr>
        <w:tc>
          <w:tcPr>
            <w:tcW w:w="2119" w:type="pct"/>
            <w:noWrap w:val="0"/>
            <w:vAlign w:val="top"/>
          </w:tcPr>
          <w:p>
            <w:pPr>
              <w:pStyle w:val="9"/>
              <w:bidi w:val="0"/>
            </w:pPr>
            <w:r>
              <w:t>BỘ KHOA HỌC VÀ CÔNG NGHỆ</w:t>
            </w:r>
          </w:p>
          <w:p>
            <w:pPr>
              <w:ind w:left="-142" w:right="-109"/>
              <w:jc w:val="center"/>
              <w:rPr>
                <w:sz w:val="28"/>
                <w:szCs w:val="28"/>
              </w:rPr>
            </w:pPr>
            <w:r>
              <w:rPr>
                <w:b/>
                <w:sz w:val="24"/>
                <w:szCs w:val="28"/>
              </w:rPr>
              <mc:AlternateContent>
                <mc:Choice Requires="wps">
                  <w:drawing>
                    <wp:anchor distT="0" distB="0" distL="114300" distR="114300" simplePos="0" relativeHeight="251660288" behindDoc="0" locked="0" layoutInCell="1" allowOverlap="1">
                      <wp:simplePos x="0" y="0"/>
                      <wp:positionH relativeFrom="column">
                        <wp:posOffset>688340</wp:posOffset>
                      </wp:positionH>
                      <wp:positionV relativeFrom="paragraph">
                        <wp:posOffset>90805</wp:posOffset>
                      </wp:positionV>
                      <wp:extent cx="1080135" cy="0"/>
                      <wp:effectExtent l="0" t="0" r="0" b="0"/>
                      <wp:wrapNone/>
                      <wp:docPr id="3" name="Lines 5"/>
                      <wp:cNvGraphicFramePr/>
                      <a:graphic xmlns:a="http://schemas.openxmlformats.org/drawingml/2006/main">
                        <a:graphicData uri="http://schemas.microsoft.com/office/word/2010/wordprocessingShape">
                          <wps:wsp>
                            <wps:cNvCnPr/>
                            <wps:spPr>
                              <a:xfrm>
                                <a:off x="0" y="0"/>
                                <a:ext cx="108013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5" o:spid="_x0000_s1026" o:spt="20" style="position:absolute;left:0pt;margin-left:54.2pt;margin-top:7.15pt;height:0pt;width:85.05pt;z-index:251660288;mso-width-relative:page;mso-height-relative:page;" filled="f" stroked="t" coordsize="21600,21600" o:gfxdata="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1RI/q1gAAAAkBAAAPAAAAAAAA&#10;AAEAIAAAACIAAABkcnMvZG93bnJldi54bWxQSwECFAAUAAAACACHTuJAP6doINsBAADaAwAADgAA&#10;AAAAAAABACAAAAAlAQAAZHJzL2Uyb0RvYy54bWxQSwUGAAAAAAYABgBZAQAAcgUAAAAA&#10;">
                      <v:fill on="f" focussize="0,0"/>
                      <v:stroke color="#000000" joinstyle="round"/>
                      <v:imagedata o:title=""/>
                      <o:lock v:ext="edit" aspectratio="f"/>
                    </v:line>
                  </w:pict>
                </mc:Fallback>
              </mc:AlternateContent>
            </w:r>
          </w:p>
          <w:p>
            <w:pPr>
              <w:ind w:left="-142" w:right="-109"/>
              <w:jc w:val="center"/>
              <w:rPr>
                <w:sz w:val="24"/>
                <w:szCs w:val="28"/>
              </w:rPr>
            </w:pPr>
            <w:r>
              <w:rPr>
                <w:sz w:val="28"/>
                <w:szCs w:val="28"/>
              </w:rPr>
              <w:t xml:space="preserve">Số: </w:t>
            </w:r>
            <w:r>
              <w:rPr>
                <w:rFonts w:hint="default"/>
                <w:sz w:val="28"/>
                <w:szCs w:val="28"/>
                <w:lang w:val="en-US"/>
              </w:rPr>
              <w:t>19</w:t>
            </w:r>
            <w:r>
              <w:rPr>
                <w:sz w:val="28"/>
                <w:szCs w:val="28"/>
              </w:rPr>
              <w:t>/202</w:t>
            </w:r>
            <w:r>
              <w:rPr>
                <w:rFonts w:hint="default"/>
                <w:sz w:val="28"/>
                <w:szCs w:val="28"/>
                <w:lang w:val="en-US"/>
              </w:rPr>
              <w:t>2</w:t>
            </w:r>
            <w:r>
              <w:rPr>
                <w:sz w:val="28"/>
                <w:szCs w:val="28"/>
              </w:rPr>
              <w:t>/TT-BKHCN</w:t>
            </w:r>
          </w:p>
        </w:tc>
        <w:tc>
          <w:tcPr>
            <w:tcW w:w="2881" w:type="pct"/>
            <w:noWrap w:val="0"/>
            <w:vAlign w:val="top"/>
          </w:tcPr>
          <w:p>
            <w:pPr>
              <w:ind w:left="33"/>
              <w:jc w:val="center"/>
              <w:rPr>
                <w:b/>
                <w:sz w:val="24"/>
                <w:szCs w:val="28"/>
              </w:rPr>
            </w:pPr>
            <w:r>
              <w:rPr>
                <w:b/>
                <w:sz w:val="24"/>
                <w:szCs w:val="28"/>
              </w:rPr>
              <w:t>CỘNG HÒA XÃ HỘI CHỦ NGHĨA VIỆT NAM</w:t>
            </w:r>
          </w:p>
          <w:p>
            <w:pPr>
              <w:ind w:left="33"/>
              <w:jc w:val="center"/>
              <w:rPr>
                <w:b/>
                <w:sz w:val="26"/>
                <w:szCs w:val="28"/>
              </w:rPr>
            </w:pPr>
            <w:r>
              <w:rPr>
                <w:b/>
                <w:sz w:val="26"/>
                <w:szCs w:val="28"/>
              </w:rPr>
              <w:t>Độc lập - Tự do - Hạnh phúc</w:t>
            </w:r>
          </w:p>
          <w:p>
            <w:pPr>
              <w:ind w:left="33"/>
              <w:jc w:val="center"/>
              <w:rPr>
                <w:i/>
                <w:sz w:val="28"/>
                <w:szCs w:val="28"/>
              </w:rPr>
            </w:pPr>
            <w:r>
              <w:rPr>
                <w:b/>
                <w:sz w:val="24"/>
                <w:szCs w:val="28"/>
              </w:rPr>
              <mc:AlternateContent>
                <mc:Choice Requires="wps">
                  <w:drawing>
                    <wp:anchor distT="0" distB="0" distL="114300" distR="114300" simplePos="0" relativeHeight="251659264" behindDoc="0" locked="0" layoutInCell="1" allowOverlap="1">
                      <wp:simplePos x="0" y="0"/>
                      <wp:positionH relativeFrom="column">
                        <wp:posOffset>642620</wp:posOffset>
                      </wp:positionH>
                      <wp:positionV relativeFrom="paragraph">
                        <wp:posOffset>64135</wp:posOffset>
                      </wp:positionV>
                      <wp:extent cx="2026285" cy="3810"/>
                      <wp:effectExtent l="0" t="0" r="0" b="0"/>
                      <wp:wrapNone/>
                      <wp:docPr id="2" name="Lines 4"/>
                      <wp:cNvGraphicFramePr/>
                      <a:graphic xmlns:a="http://schemas.openxmlformats.org/drawingml/2006/main">
                        <a:graphicData uri="http://schemas.microsoft.com/office/word/2010/wordprocessingShape">
                          <wps:wsp>
                            <wps:cNvCnPr/>
                            <wps:spPr>
                              <a:xfrm flipV="1">
                                <a:off x="0" y="0"/>
                                <a:ext cx="2026285" cy="381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flip:y;margin-left:50.6pt;margin-top:5.05pt;height:0.3pt;width:159.55pt;z-index:251659264;mso-width-relative:page;mso-height-relative:page;" filled="f" stroked="t" coordsize="21600,21600" o:gfxdata="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LUNSQdUAAAAJ&#10;AQAADwAAAAAAAAABACAAAAAiAAAAZHJzL2Rvd25yZXYueG1sUEsBAhQAFAAAAAgAh07iQJiqH5rm&#10;AQAA5wMAAA4AAAAAAAAAAQAgAAAAJAEAAGRycy9lMm9Eb2MueG1sUEsFBgAAAAAGAAYAWQEAAHwF&#10;AAAAAA==&#10;">
                      <v:fill on="f" focussize="0,0"/>
                      <v:stroke color="#000000" joinstyle="round"/>
                      <v:imagedata o:title=""/>
                      <o:lock v:ext="edit" aspectratio="f"/>
                    </v:line>
                  </w:pict>
                </mc:Fallback>
              </mc:AlternateContent>
            </w:r>
          </w:p>
          <w:p>
            <w:pPr>
              <w:ind w:left="33"/>
              <w:jc w:val="center"/>
              <w:rPr>
                <w:rFonts w:hint="default"/>
                <w:b/>
                <w:sz w:val="24"/>
                <w:szCs w:val="28"/>
                <w:lang w:val="en-US"/>
              </w:rPr>
            </w:pPr>
            <w:r>
              <w:rPr>
                <w:i/>
                <w:sz w:val="28"/>
                <w:szCs w:val="28"/>
              </w:rPr>
              <w:t xml:space="preserve">Hà Nội, ngày </w:t>
            </w:r>
            <w:r>
              <w:rPr>
                <w:rFonts w:hint="default"/>
                <w:i/>
                <w:sz w:val="28"/>
                <w:szCs w:val="28"/>
                <w:lang w:val="en-US"/>
              </w:rPr>
              <w:t>30</w:t>
            </w:r>
            <w:r>
              <w:rPr>
                <w:i/>
                <w:sz w:val="28"/>
                <w:szCs w:val="28"/>
              </w:rPr>
              <w:t xml:space="preserve"> tháng </w:t>
            </w:r>
            <w:r>
              <w:rPr>
                <w:rFonts w:hint="default"/>
                <w:i/>
                <w:sz w:val="28"/>
                <w:szCs w:val="28"/>
                <w:lang w:val="en-US"/>
              </w:rPr>
              <w:t xml:space="preserve">12 </w:t>
            </w:r>
            <w:r>
              <w:rPr>
                <w:i/>
                <w:sz w:val="28"/>
                <w:szCs w:val="28"/>
              </w:rPr>
              <w:t>năm 20</w:t>
            </w:r>
            <w:r>
              <w:rPr>
                <w:rFonts w:hint="default"/>
                <w:i/>
                <w:sz w:val="28"/>
                <w:szCs w:val="28"/>
                <w:lang w:val="en-US"/>
              </w:rPr>
              <w:t>22</w:t>
            </w:r>
          </w:p>
        </w:tc>
      </w:tr>
    </w:tbl>
    <w:p>
      <w:pPr>
        <w:keepNext w:val="0"/>
        <w:keepLines w:val="0"/>
        <w:pageBreakBefore w:val="0"/>
        <w:widowControl/>
        <w:kinsoku/>
        <w:wordWrap/>
        <w:overflowPunct/>
        <w:topLinePunct w:val="0"/>
        <w:autoSpaceDE/>
        <w:autoSpaceDN/>
        <w:bidi w:val="0"/>
        <w:adjustRightInd/>
        <w:snapToGrid/>
        <w:spacing w:after="60"/>
        <w:jc w:val="center"/>
        <w:textAlignment w:val="auto"/>
        <w:outlineLvl w:val="4"/>
        <w:rPr>
          <w:rFonts w:eastAsia="Times New Roman"/>
          <w:b/>
          <w:bCs/>
          <w:iCs/>
          <w:sz w:val="28"/>
          <w:szCs w:val="30"/>
        </w:rPr>
      </w:pPr>
    </w:p>
    <w:p>
      <w:pPr>
        <w:keepNext w:val="0"/>
        <w:keepLines w:val="0"/>
        <w:pageBreakBefore w:val="0"/>
        <w:widowControl/>
        <w:kinsoku/>
        <w:wordWrap/>
        <w:overflowPunct/>
        <w:topLinePunct w:val="0"/>
        <w:autoSpaceDE/>
        <w:autoSpaceDN/>
        <w:bidi w:val="0"/>
        <w:adjustRightInd/>
        <w:snapToGrid/>
        <w:spacing w:after="60"/>
        <w:jc w:val="center"/>
        <w:textAlignment w:val="auto"/>
        <w:outlineLvl w:val="4"/>
        <w:rPr>
          <w:rFonts w:eastAsia="Times New Roman"/>
          <w:b/>
          <w:bCs/>
          <w:iCs/>
          <w:sz w:val="28"/>
          <w:szCs w:val="30"/>
        </w:rPr>
      </w:pPr>
      <w:r>
        <w:rPr>
          <w:rFonts w:eastAsia="Times New Roman"/>
          <w:b/>
          <w:bCs/>
          <w:iCs/>
          <w:sz w:val="28"/>
          <w:szCs w:val="30"/>
        </w:rPr>
        <w:t>THÔNG TƯ</w:t>
      </w:r>
    </w:p>
    <w:p>
      <w:pPr>
        <w:keepNext w:val="0"/>
        <w:keepLines w:val="0"/>
        <w:pageBreakBefore w:val="0"/>
        <w:widowControl/>
        <w:kinsoku/>
        <w:wordWrap/>
        <w:overflowPunct/>
        <w:topLinePunct w:val="0"/>
        <w:autoSpaceDE/>
        <w:autoSpaceDN/>
        <w:bidi w:val="0"/>
        <w:adjustRightInd/>
        <w:snapToGrid/>
        <w:spacing w:after="60" w:line="264" w:lineRule="auto"/>
        <w:jc w:val="center"/>
        <w:textAlignment w:val="auto"/>
        <w:rPr>
          <w:rFonts w:hint="default" w:eastAsia="Times New Roman" w:cs="Times New Roman"/>
          <w:b/>
          <w:w w:val="90"/>
          <w:sz w:val="28"/>
          <w:szCs w:val="28"/>
          <w:lang w:val="vi-VN"/>
        </w:rPr>
      </w:pPr>
      <w:r>
        <w:rPr>
          <w:rFonts w:hint="default" w:eastAsia="Times New Roman" w:cs="Times New Roman"/>
          <w:b/>
          <w:w w:val="90"/>
          <w:sz w:val="28"/>
          <w:szCs w:val="28"/>
          <w:lang w:val="en-US"/>
        </w:rPr>
        <w:t>H</w:t>
      </w:r>
      <w:r>
        <w:rPr>
          <w:rFonts w:hint="default" w:eastAsia="Times New Roman" w:cs="Times New Roman"/>
          <w:b/>
          <w:w w:val="90"/>
          <w:sz w:val="28"/>
          <w:szCs w:val="28"/>
        </w:rPr>
        <w:t>ướng dẫn về Hội đồng quản lý trong Tổ chức khoa học và công nghệ công lập</w:t>
      </w:r>
      <w:r>
        <w:rPr>
          <w:rFonts w:hint="default" w:eastAsia="Times New Roman" w:cs="Times New Roman"/>
          <w:b/>
          <w:w w:val="90"/>
          <w:sz w:val="28"/>
          <w:szCs w:val="28"/>
          <w:lang w:val="vi-VN"/>
        </w:rPr>
        <w:t xml:space="preserve"> </w:t>
      </w:r>
    </w:p>
    <w:p>
      <w:pPr>
        <w:keepNext w:val="0"/>
        <w:keepLines w:val="0"/>
        <w:pageBreakBefore w:val="0"/>
        <w:widowControl/>
        <w:kinsoku/>
        <w:wordWrap/>
        <w:overflowPunct/>
        <w:topLinePunct w:val="0"/>
        <w:autoSpaceDE/>
        <w:autoSpaceDN/>
        <w:bidi w:val="0"/>
        <w:adjustRightInd/>
        <w:snapToGrid/>
        <w:spacing w:after="60"/>
        <w:jc w:val="center"/>
        <w:textAlignment w:val="auto"/>
        <w:rPr>
          <w:rFonts w:hint="default" w:eastAsia="Times New Roman"/>
          <w:b/>
          <w:bCs/>
          <w:sz w:val="28"/>
          <w:szCs w:val="28"/>
          <w:lang w:val="en-US"/>
        </w:rPr>
      </w:pPr>
      <w:r>
        <w:rPr>
          <w:rFonts w:hint="default" w:eastAsia="Times New Roman"/>
          <w:b/>
          <w:bCs/>
          <w:sz w:val="28"/>
          <w:szCs w:val="28"/>
          <w:lang w:val="en-US"/>
        </w:rPr>
        <w:t>_________________________</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4"/>
        <w:jc w:val="both"/>
        <w:textAlignment w:val="auto"/>
        <w:rPr>
          <w:rFonts w:hint="default" w:ascii="Times New Roman" w:hAnsi="Times New Roman" w:eastAsia="Times New Roman" w:cs="Times New Roman"/>
          <w:i/>
          <w:spacing w:val="-2"/>
          <w:sz w:val="28"/>
          <w:szCs w:val="28"/>
          <w:lang w:eastAsia="en-US" w:bidi="ar-SA"/>
        </w:rPr>
      </w:pPr>
      <w:r>
        <w:rPr>
          <w:rFonts w:hint="default" w:ascii="Times New Roman" w:hAnsi="Times New Roman" w:eastAsia="Times New Roman" w:cs="Times New Roman"/>
          <w:i/>
          <w:spacing w:val="-2"/>
          <w:sz w:val="28"/>
          <w:szCs w:val="28"/>
          <w:lang w:eastAsia="en-US" w:bidi="ar-SA"/>
        </w:rPr>
        <w:t>Căn cứ Nghị định số 95/2017/NĐ-CP ngày 16 tháng 8 năm 2017 của Chính phủ quy định chức năng, nhiệm vụ, quyền hạn và cơ cấu tổ chức của Bộ Khoa học và Công nghệ;</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4"/>
        <w:jc w:val="both"/>
        <w:textAlignment w:val="auto"/>
        <w:rPr>
          <w:rFonts w:hint="default" w:ascii="Times New Roman" w:hAnsi="Times New Roman" w:eastAsia="Times New Roman" w:cs="Times New Roman"/>
          <w:i/>
          <w:spacing w:val="-2"/>
          <w:sz w:val="28"/>
          <w:szCs w:val="28"/>
          <w:lang w:eastAsia="en-US" w:bidi="ar-SA"/>
        </w:rPr>
      </w:pPr>
      <w:r>
        <w:rPr>
          <w:rFonts w:hint="default" w:ascii="Times New Roman" w:hAnsi="Times New Roman" w:eastAsia="Times New Roman" w:cs="Times New Roman"/>
          <w:i/>
          <w:spacing w:val="-2"/>
          <w:sz w:val="28"/>
          <w:szCs w:val="28"/>
          <w:lang w:eastAsia="en-US" w:bidi="ar-SA"/>
        </w:rPr>
        <w:t>Căn cứ Nghị định số </w:t>
      </w:r>
      <w:r>
        <w:rPr>
          <w:rFonts w:hint="default" w:ascii="Times New Roman" w:hAnsi="Times New Roman" w:eastAsia="Times New Roman" w:cs="Times New Roman"/>
          <w:i/>
          <w:spacing w:val="-2"/>
          <w:sz w:val="28"/>
          <w:szCs w:val="28"/>
          <w:lang w:eastAsia="en-US" w:bidi="ar-SA"/>
        </w:rPr>
        <w:fldChar w:fldCharType="begin"/>
      </w:r>
      <w:r>
        <w:rPr>
          <w:rFonts w:hint="default" w:ascii="Times New Roman" w:hAnsi="Times New Roman" w:eastAsia="Times New Roman" w:cs="Times New Roman"/>
          <w:i/>
          <w:spacing w:val="-2"/>
          <w:sz w:val="28"/>
          <w:szCs w:val="28"/>
          <w:lang w:eastAsia="en-US" w:bidi="ar-SA"/>
        </w:rPr>
        <w:instrText xml:space="preserve"> HYPERLINK "https://thuvienphapluat.vn/van-ban/Bo-may-hanh-chinh/Nghi-dinh-120-2020-ND-CP-thanh-lap-to-chuc-lai-giai-the-don-vi-su-nghiep-cong-lap-379357.aspx" \t "https://thuvienphapluat.vn/van-ban/Bo-may-hanh-chinh/_blank" </w:instrText>
      </w:r>
      <w:r>
        <w:rPr>
          <w:rFonts w:hint="default" w:ascii="Times New Roman" w:hAnsi="Times New Roman" w:eastAsia="Times New Roman" w:cs="Times New Roman"/>
          <w:i/>
          <w:spacing w:val="-2"/>
          <w:sz w:val="28"/>
          <w:szCs w:val="28"/>
          <w:lang w:eastAsia="en-US" w:bidi="ar-SA"/>
        </w:rPr>
        <w:fldChar w:fldCharType="separate"/>
      </w:r>
      <w:r>
        <w:rPr>
          <w:rFonts w:hint="default" w:ascii="Times New Roman" w:hAnsi="Times New Roman" w:eastAsia="Times New Roman" w:cs="Times New Roman"/>
          <w:i/>
          <w:spacing w:val="-2"/>
          <w:sz w:val="28"/>
          <w:szCs w:val="28"/>
          <w:lang w:eastAsia="en-US" w:bidi="ar-SA"/>
        </w:rPr>
        <w:t>1</w:t>
      </w:r>
      <w:r>
        <w:rPr>
          <w:rFonts w:hint="default" w:ascii="Times New Roman" w:hAnsi="Times New Roman" w:eastAsia="Times New Roman" w:cs="Times New Roman"/>
          <w:i/>
          <w:spacing w:val="-2"/>
          <w:sz w:val="28"/>
          <w:szCs w:val="28"/>
          <w:lang w:eastAsia="en-US" w:bidi="ar-SA"/>
        </w:rPr>
        <w:fldChar w:fldCharType="end"/>
      </w:r>
      <w:r>
        <w:rPr>
          <w:rFonts w:hint="default" w:ascii="Times New Roman" w:hAnsi="Times New Roman" w:eastAsia="Times New Roman" w:cs="Times New Roman"/>
          <w:i/>
          <w:spacing w:val="-2"/>
          <w:sz w:val="28"/>
          <w:szCs w:val="28"/>
          <w:lang w:eastAsia="en-US" w:bidi="ar-SA"/>
        </w:rPr>
        <w:t>20/2020/NĐ-CP ngày 07 tháng 10 năm 2020 của Chính phủ quy định về thành lập, tổ chức lại, giải thể đơn vị sự nghiệp công lập;</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4"/>
        <w:jc w:val="both"/>
        <w:textAlignment w:val="auto"/>
        <w:rPr>
          <w:rFonts w:hint="default" w:ascii="Times New Roman" w:hAnsi="Times New Roman" w:eastAsia="Times New Roman" w:cs="Times New Roman"/>
          <w:i/>
          <w:spacing w:val="-2"/>
          <w:sz w:val="28"/>
          <w:szCs w:val="28"/>
          <w:lang w:eastAsia="en-US" w:bidi="ar-SA"/>
        </w:rPr>
      </w:pPr>
      <w:r>
        <w:rPr>
          <w:rFonts w:hint="default" w:ascii="Times New Roman" w:hAnsi="Times New Roman" w:eastAsia="Times New Roman" w:cs="Times New Roman"/>
          <w:i/>
          <w:spacing w:val="-2"/>
          <w:sz w:val="28"/>
          <w:szCs w:val="28"/>
          <w:lang w:eastAsia="en-US" w:bidi="ar-SA"/>
        </w:rPr>
        <w:t>Căn cứ Nghị định số </w:t>
      </w:r>
      <w:r>
        <w:rPr>
          <w:rFonts w:hint="default" w:ascii="Times New Roman" w:hAnsi="Times New Roman" w:eastAsia="Times New Roman" w:cs="Times New Roman"/>
          <w:i/>
          <w:spacing w:val="-2"/>
          <w:sz w:val="28"/>
          <w:szCs w:val="28"/>
          <w:lang w:eastAsia="en-US" w:bidi="ar-SA"/>
        </w:rPr>
        <w:fldChar w:fldCharType="begin"/>
      </w:r>
      <w:r>
        <w:rPr>
          <w:rFonts w:hint="default" w:ascii="Times New Roman" w:hAnsi="Times New Roman" w:eastAsia="Times New Roman" w:cs="Times New Roman"/>
          <w:i/>
          <w:spacing w:val="-2"/>
          <w:sz w:val="28"/>
          <w:szCs w:val="28"/>
          <w:lang w:eastAsia="en-US" w:bidi="ar-SA"/>
        </w:rPr>
        <w:instrText xml:space="preserve"> HYPERLINK "https://thuvienphapluat.vn/van-ban/Bo-may-hanh-chinh/Nghi-dinh-60-2021-ND-CP-co-che-tu-chu-tai-chinh-cua-don-vi-su-nghiep-cong-lap-478766.aspx" \t "https://thuvienphapluat.vn/van-ban/Bo-may-hanh-chinh/_blank" </w:instrText>
      </w:r>
      <w:r>
        <w:rPr>
          <w:rFonts w:hint="default" w:ascii="Times New Roman" w:hAnsi="Times New Roman" w:eastAsia="Times New Roman" w:cs="Times New Roman"/>
          <w:i/>
          <w:spacing w:val="-2"/>
          <w:sz w:val="28"/>
          <w:szCs w:val="28"/>
          <w:lang w:eastAsia="en-US" w:bidi="ar-SA"/>
        </w:rPr>
        <w:fldChar w:fldCharType="separate"/>
      </w:r>
      <w:r>
        <w:rPr>
          <w:rFonts w:hint="default" w:ascii="Times New Roman" w:hAnsi="Times New Roman" w:eastAsia="Times New Roman" w:cs="Times New Roman"/>
          <w:i/>
          <w:spacing w:val="-2"/>
          <w:sz w:val="28"/>
          <w:szCs w:val="28"/>
          <w:lang w:eastAsia="en-US" w:bidi="ar-SA"/>
        </w:rPr>
        <w:t>60/202</w:t>
      </w:r>
      <w:r>
        <w:rPr>
          <w:rFonts w:hint="default" w:ascii="Times New Roman" w:hAnsi="Times New Roman" w:eastAsia="Times New Roman" w:cs="Times New Roman"/>
          <w:i/>
          <w:spacing w:val="-2"/>
          <w:sz w:val="28"/>
          <w:szCs w:val="28"/>
          <w:lang w:eastAsia="en-US" w:bidi="ar-SA"/>
        </w:rPr>
        <w:fldChar w:fldCharType="end"/>
      </w:r>
      <w:r>
        <w:rPr>
          <w:rFonts w:hint="default" w:ascii="Times New Roman" w:hAnsi="Times New Roman" w:eastAsia="Times New Roman" w:cs="Times New Roman"/>
          <w:i/>
          <w:spacing w:val="-2"/>
          <w:sz w:val="28"/>
          <w:szCs w:val="28"/>
          <w:lang w:eastAsia="en-US" w:bidi="ar-SA"/>
        </w:rPr>
        <w:fldChar w:fldCharType="begin"/>
      </w:r>
      <w:r>
        <w:rPr>
          <w:rFonts w:hint="default" w:ascii="Times New Roman" w:hAnsi="Times New Roman" w:eastAsia="Times New Roman" w:cs="Times New Roman"/>
          <w:i/>
          <w:spacing w:val="-2"/>
          <w:sz w:val="28"/>
          <w:szCs w:val="28"/>
          <w:lang w:eastAsia="en-US" w:bidi="ar-SA"/>
        </w:rPr>
        <w:instrText xml:space="preserve"> HYPERLINK "https://thuvienphapluat.vn/van-ban/Bo-may-hanh-chinh/Nghi-dinh-60-2021-ND-CP-co-che-tu-chu-tai-chinh-cua-don-vi-su-nghiep-cong-lap-478766.aspx" \t "https://thuvienphapluat.vn/van-ban/Bo-may-hanh-chinh/_blank" </w:instrText>
      </w:r>
      <w:r>
        <w:rPr>
          <w:rFonts w:hint="default" w:ascii="Times New Roman" w:hAnsi="Times New Roman" w:eastAsia="Times New Roman" w:cs="Times New Roman"/>
          <w:i/>
          <w:spacing w:val="-2"/>
          <w:sz w:val="28"/>
          <w:szCs w:val="28"/>
          <w:lang w:eastAsia="en-US" w:bidi="ar-SA"/>
        </w:rPr>
        <w:fldChar w:fldCharType="separate"/>
      </w:r>
      <w:r>
        <w:rPr>
          <w:rFonts w:hint="default" w:ascii="Times New Roman" w:hAnsi="Times New Roman" w:eastAsia="Times New Roman" w:cs="Times New Roman"/>
          <w:i/>
          <w:spacing w:val="-2"/>
          <w:sz w:val="28"/>
          <w:szCs w:val="28"/>
          <w:lang w:eastAsia="en-US" w:bidi="ar-SA"/>
        </w:rPr>
        <w:t>1</w:t>
      </w:r>
      <w:r>
        <w:rPr>
          <w:rFonts w:hint="default" w:ascii="Times New Roman" w:hAnsi="Times New Roman" w:eastAsia="Times New Roman" w:cs="Times New Roman"/>
          <w:i/>
          <w:spacing w:val="-2"/>
          <w:sz w:val="28"/>
          <w:szCs w:val="28"/>
          <w:lang w:eastAsia="en-US" w:bidi="ar-SA"/>
        </w:rPr>
        <w:fldChar w:fldCharType="end"/>
      </w:r>
      <w:r>
        <w:rPr>
          <w:rFonts w:hint="default" w:ascii="Times New Roman" w:hAnsi="Times New Roman" w:eastAsia="Times New Roman" w:cs="Times New Roman"/>
          <w:i/>
          <w:spacing w:val="-2"/>
          <w:sz w:val="28"/>
          <w:szCs w:val="28"/>
          <w:lang w:eastAsia="en-US" w:bidi="ar-SA"/>
        </w:rPr>
        <w:t>/NĐ-CP ngày 21 tháng 6 năm 2021 của Chính phủ quy định cơ chế tự chủ tài chính của đơn vị sự nghiệp công lập;</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4"/>
        <w:jc w:val="both"/>
        <w:textAlignment w:val="auto"/>
        <w:rPr>
          <w:rFonts w:hint="default" w:ascii="Times New Roman" w:hAnsi="Times New Roman" w:eastAsia="Times New Roman" w:cs="Times New Roman"/>
          <w:i/>
          <w:spacing w:val="-2"/>
          <w:sz w:val="28"/>
          <w:szCs w:val="28"/>
          <w:lang w:val="vi-VN" w:eastAsia="en-US" w:bidi="ar-SA"/>
        </w:rPr>
      </w:pPr>
      <w:r>
        <w:rPr>
          <w:rFonts w:hint="default" w:ascii="Times New Roman" w:hAnsi="Times New Roman" w:eastAsia="Times New Roman" w:cs="Times New Roman"/>
          <w:i/>
          <w:spacing w:val="-2"/>
          <w:sz w:val="28"/>
          <w:szCs w:val="28"/>
          <w:lang w:eastAsia="en-US" w:bidi="ar-SA"/>
        </w:rPr>
        <w:t>Theo đề nghị của Vụ trưởng Vụ Tổ chức cán bộ và Vụ trưởng Vụ Pháp chế;</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4"/>
        <w:jc w:val="left"/>
        <w:textAlignment w:val="auto"/>
        <w:rPr>
          <w:rFonts w:hint="default" w:ascii="Times New Roman" w:hAnsi="Times New Roman" w:eastAsia="Times New Roman" w:cs="Times New Roman"/>
          <w:i/>
          <w:spacing w:val="-2"/>
          <w:sz w:val="28"/>
          <w:szCs w:val="28"/>
          <w:lang w:val="vi-VN" w:eastAsia="en-US" w:bidi="ar-SA"/>
        </w:rPr>
      </w:pPr>
      <w:r>
        <w:rPr>
          <w:rFonts w:hint="default" w:ascii="Times New Roman" w:hAnsi="Times New Roman" w:eastAsia="Times New Roman" w:cs="Times New Roman"/>
          <w:i/>
          <w:spacing w:val="-2"/>
          <w:sz w:val="28"/>
          <w:szCs w:val="28"/>
          <w:lang w:eastAsia="en-US" w:bidi="ar-SA"/>
        </w:rPr>
        <w:t>Bộ trưởng Bộ Khoa học và Công nghệ ban hành Thông tư hướng dẫn về Hội đồng quản lý trong Tổ chức khoa học và công nghệ công lập.</w:t>
      </w:r>
      <w:r>
        <w:rPr>
          <w:rFonts w:hint="default" w:ascii="Times New Roman" w:hAnsi="Times New Roman" w:eastAsia="Times New Roman" w:cs="Times New Roman"/>
          <w:i/>
          <w:spacing w:val="-2"/>
          <w:sz w:val="28"/>
          <w:szCs w:val="28"/>
          <w:lang w:val="vi-VN" w:eastAsia="en-US" w:bidi="ar-SA"/>
        </w:rPr>
        <w:t xml:space="preserve">  </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right="0" w:firstLine="0"/>
        <w:jc w:val="center"/>
        <w:textAlignment w:val="auto"/>
        <w:rPr>
          <w:rFonts w:hint="default" w:ascii="Times New Roman" w:hAnsi="Times New Roman" w:cs="Times New Roman"/>
          <w:i w:val="0"/>
          <w:iCs w:val="0"/>
          <w:caps w:val="0"/>
          <w:color w:val="000000"/>
          <w:spacing w:val="0"/>
          <w:sz w:val="28"/>
          <w:szCs w:val="28"/>
        </w:rPr>
      </w:pPr>
      <w:bookmarkStart w:id="0" w:name="chuong_1"/>
      <w:r>
        <w:rPr>
          <w:rFonts w:hint="default" w:ascii="Times New Roman" w:hAnsi="Times New Roman" w:cs="Times New Roman"/>
          <w:b/>
          <w:bCs/>
          <w:i w:val="0"/>
          <w:iCs w:val="0"/>
          <w:caps w:val="0"/>
          <w:color w:val="000000"/>
          <w:spacing w:val="0"/>
          <w:sz w:val="28"/>
          <w:szCs w:val="28"/>
          <w:u w:val="none"/>
          <w:shd w:val="clear" w:fill="FFFFFF"/>
        </w:rPr>
        <w:t>Chương I</w:t>
      </w:r>
      <w:bookmarkEnd w:id="0"/>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right="0" w:firstLine="0"/>
        <w:jc w:val="center"/>
        <w:textAlignment w:val="auto"/>
        <w:rPr>
          <w:rFonts w:hint="default" w:ascii="Times New Roman" w:hAnsi="Times New Roman" w:cs="Times New Roman"/>
          <w:i w:val="0"/>
          <w:iCs w:val="0"/>
          <w:caps w:val="0"/>
          <w:color w:val="000000"/>
          <w:spacing w:val="0"/>
          <w:sz w:val="28"/>
          <w:szCs w:val="28"/>
        </w:rPr>
      </w:pPr>
      <w:bookmarkStart w:id="1" w:name="chuong_1_name"/>
      <w:r>
        <w:rPr>
          <w:rFonts w:hint="default" w:ascii="Times New Roman" w:hAnsi="Times New Roman" w:cs="Times New Roman"/>
          <w:b/>
          <w:bCs/>
          <w:i w:val="0"/>
          <w:iCs w:val="0"/>
          <w:caps w:val="0"/>
          <w:color w:val="000000"/>
          <w:spacing w:val="0"/>
          <w:sz w:val="28"/>
          <w:szCs w:val="28"/>
          <w:u w:val="none"/>
          <w:shd w:val="clear" w:fill="FFFFFF"/>
        </w:rPr>
        <w:t>QUY ĐỊNH CHUNG</w:t>
      </w:r>
      <w:bookmarkEnd w:id="1"/>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2" w:name="dieu_1"/>
      <w:r>
        <w:rPr>
          <w:rFonts w:hint="default" w:ascii="Times New Roman" w:hAnsi="Times New Roman" w:cs="Times New Roman"/>
          <w:b/>
          <w:bCs/>
          <w:i w:val="0"/>
          <w:iCs w:val="0"/>
          <w:caps w:val="0"/>
          <w:color w:val="000000"/>
          <w:spacing w:val="0"/>
          <w:sz w:val="28"/>
          <w:szCs w:val="28"/>
          <w:u w:val="none"/>
          <w:shd w:val="clear" w:fill="FFFFFF"/>
        </w:rPr>
        <w:t>Điều 1. Phạm vi điều chỉnh</w:t>
      </w:r>
      <w:bookmarkEnd w:id="2"/>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Thông tư này hướng dẫn về việc thành lập, chức năng, nhiệm vụ, quyền hạn, cơ cấu tổ chức, quy chế hoạt động của Hội đồng quản lý trong tổ chức khoa học và công nghệ công lập (sau đây viết tắt là Hội đồng quản lý); mối quan hệ giữa Hội đồng quản lý với người đứng đầu tổ chức khoa học và công nghệ công lập và cơ quan quản lý cấp trên; tiêu chuẩn, điều kiện bổ nhiệm, miễn nhiệm Chủ tịch và các thành viên khác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3" w:name="dieu_2"/>
      <w:r>
        <w:rPr>
          <w:rFonts w:hint="default" w:ascii="Times New Roman" w:hAnsi="Times New Roman" w:cs="Times New Roman"/>
          <w:b/>
          <w:bCs/>
          <w:i w:val="0"/>
          <w:iCs w:val="0"/>
          <w:caps w:val="0"/>
          <w:color w:val="000000"/>
          <w:spacing w:val="0"/>
          <w:sz w:val="28"/>
          <w:szCs w:val="28"/>
          <w:u w:val="none"/>
          <w:shd w:val="clear" w:fill="FFFFFF"/>
        </w:rPr>
        <w:t>Điều 2. Đối tượng áp dụng</w:t>
      </w:r>
      <w:bookmarkEnd w:id="3"/>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1. Các tổ chức khoa học và công nghệ công lập thuộc phạm vi quản lý của các bộ, cơ quan ngang bộ, cơ quan thuộc Chính phủ, Ủy ban nhân dân các tỉnh, thành phố trực thuộc Trung ương (trừ các đối tượng quy định tại khoản 4 Điều này).</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2. Cơ quan, tổ chức, cá nhân có liên quan đến việc thành lập và hoạt động của Hội đồng quản lý trong tổ chức khoa học và công nghệ công lập.</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3. Tổ chức khoa học và công nghệ công lập thuộc Đại học Quốc gia Hà Nội, Đại học Quốc gia Thành phố Hồ Chí Minh, các cơ sở giáo dục đại học; tổ chức khoa học và công nghệ công lập thuộc tổ chức do Chính phủ, Thủ tướng Chính phủ thành lập mà không phải là đơn vị sự nghiệp công lập; tổ chức khoa học và công nghệ công lập thuộc đơn vị sự nghiệp công lập, tổ chức khoa học và công nghệ công lập thuộc tổ chức chính trị, tổ chức chính trị - xã hội căn cứ quy định của Thông tư này và các quy định của Đảng và của pháp luật liên quan để áp dụng cho phù hợp.</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4. Thông tư này không áp dụng đối với các cơ sở giáo dục đại học công lập, các tổ chức khoa học và công nghệ công lập thuộc Bộ Công an và Bộ Quốc phòng.</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4" w:name="dieu_3"/>
      <w:r>
        <w:rPr>
          <w:rFonts w:hint="default" w:ascii="Times New Roman" w:hAnsi="Times New Roman" w:cs="Times New Roman"/>
          <w:b/>
          <w:bCs/>
          <w:i w:val="0"/>
          <w:iCs w:val="0"/>
          <w:caps w:val="0"/>
          <w:color w:val="000000"/>
          <w:spacing w:val="0"/>
          <w:sz w:val="28"/>
          <w:szCs w:val="28"/>
          <w:u w:val="none"/>
          <w:shd w:val="clear" w:fill="FFFFFF"/>
        </w:rPr>
        <w:t>Điều 3. Nguyên tắc thành lập Hội đồng quản lý</w:t>
      </w:r>
      <w:bookmarkEnd w:id="4"/>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1. Các tổ chức khoa học và công nghệ công lập tự bảo đảm chi thường xuyên và chi đầu tư phải thành lập Hội đồng quản lý để quyết định những vấn đề quan trọng của tổ chức. Khuyến khích thành lập Hội đồng quản lý trong tổ chức khoa học và công nghệ công lập tự bảo đảm chi thường xuyên theo quy định tại Thông tư này.</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2. Điều kiện, thủ tục và thẩm quyền thành lập Hội đồng quản lý thực hiện theo quy định tại </w:t>
      </w:r>
      <w:bookmarkStart w:id="5" w:name="dc_1"/>
      <w:r>
        <w:rPr>
          <w:rFonts w:hint="default" w:ascii="Times New Roman" w:hAnsi="Times New Roman" w:cs="Times New Roman"/>
          <w:i w:val="0"/>
          <w:iCs w:val="0"/>
          <w:caps w:val="0"/>
          <w:color w:val="000000"/>
          <w:spacing w:val="0"/>
          <w:sz w:val="28"/>
          <w:szCs w:val="28"/>
          <w:u w:val="none"/>
          <w:shd w:val="clear" w:fill="FFFFFF"/>
        </w:rPr>
        <w:t>khoản 2, 6 và 7 Điều 7 Nghị định số 120/2020/NĐ-CP</w:t>
      </w:r>
      <w:bookmarkEnd w:id="5"/>
      <w:r>
        <w:rPr>
          <w:rFonts w:hint="default" w:ascii="Times New Roman" w:hAnsi="Times New Roman" w:cs="Times New Roman"/>
          <w:i w:val="0"/>
          <w:iCs w:val="0"/>
          <w:caps w:val="0"/>
          <w:color w:val="000000"/>
          <w:spacing w:val="0"/>
          <w:sz w:val="28"/>
          <w:szCs w:val="28"/>
          <w:shd w:val="clear" w:fill="FFFFFF"/>
        </w:rPr>
        <w:t> ngày 07 tháng 10 năm 2020 của Chính phủ quy định về thành lập, tổ chức lại, giải thể đơn vị sự nghiệp công lập (sau đây viết tắt là Nghị định số 120/2020/NĐ-CP).</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6" w:name="dieu_4"/>
      <w:r>
        <w:rPr>
          <w:rFonts w:hint="default" w:ascii="Times New Roman" w:hAnsi="Times New Roman" w:cs="Times New Roman"/>
          <w:b/>
          <w:bCs/>
          <w:i w:val="0"/>
          <w:iCs w:val="0"/>
          <w:caps w:val="0"/>
          <w:color w:val="000000"/>
          <w:spacing w:val="0"/>
          <w:sz w:val="28"/>
          <w:szCs w:val="28"/>
          <w:u w:val="none"/>
          <w:shd w:val="clear" w:fill="FFFFFF"/>
        </w:rPr>
        <w:t>Điều 4. Đề án thành lập Hội đồng quản lý</w:t>
      </w:r>
      <w:bookmarkEnd w:id="6"/>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Đề án thành lập Hội đồng quản lý theo quy định tại </w:t>
      </w:r>
      <w:bookmarkStart w:id="7" w:name="dc_2"/>
      <w:r>
        <w:rPr>
          <w:rFonts w:hint="default" w:ascii="Times New Roman" w:hAnsi="Times New Roman" w:cs="Times New Roman"/>
          <w:i w:val="0"/>
          <w:iCs w:val="0"/>
          <w:caps w:val="0"/>
          <w:color w:val="000000"/>
          <w:spacing w:val="0"/>
          <w:sz w:val="28"/>
          <w:szCs w:val="28"/>
          <w:u w:val="none"/>
          <w:shd w:val="clear" w:fill="FFFFFF"/>
        </w:rPr>
        <w:t>điểm a khoản 6 Điều 7 Nghị định số 120/2020/NĐ-CP</w:t>
      </w:r>
      <w:bookmarkEnd w:id="7"/>
      <w:r>
        <w:rPr>
          <w:rFonts w:hint="default" w:ascii="Times New Roman" w:hAnsi="Times New Roman" w:cs="Times New Roman"/>
          <w:i w:val="0"/>
          <w:iCs w:val="0"/>
          <w:caps w:val="0"/>
          <w:color w:val="000000"/>
          <w:spacing w:val="0"/>
          <w:sz w:val="28"/>
          <w:szCs w:val="28"/>
          <w:shd w:val="clear" w:fill="FFFFFF"/>
        </w:rPr>
        <w:t> gồm các nội dung chính như sau:</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1. Sự cần thiết và cơ sở pháp lý thành lập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2. Vị trí, chức năng;</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3. Nhiệm vụ và quyền hạn;</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4. Số lượng, cơ cấu thành viên Hội đồng quản lý; nhiệm vụ cụ thể của thành viên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5. Dự kiến phương án nhân sự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6. Kiến nghị của của đơn vị đề nghị thành lập Hội đồng quản lý (nếu có).</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right="0" w:firstLine="0"/>
        <w:jc w:val="center"/>
        <w:textAlignment w:val="auto"/>
        <w:rPr>
          <w:rFonts w:hint="default" w:ascii="Times New Roman" w:hAnsi="Times New Roman" w:cs="Times New Roman"/>
          <w:i w:val="0"/>
          <w:iCs w:val="0"/>
          <w:caps w:val="0"/>
          <w:color w:val="000000"/>
          <w:spacing w:val="0"/>
          <w:sz w:val="28"/>
          <w:szCs w:val="28"/>
        </w:rPr>
      </w:pPr>
      <w:bookmarkStart w:id="8" w:name="chuong_2"/>
      <w:r>
        <w:rPr>
          <w:rFonts w:hint="default" w:ascii="Times New Roman" w:hAnsi="Times New Roman" w:cs="Times New Roman"/>
          <w:b/>
          <w:bCs/>
          <w:i w:val="0"/>
          <w:iCs w:val="0"/>
          <w:caps w:val="0"/>
          <w:color w:val="000000"/>
          <w:spacing w:val="0"/>
          <w:sz w:val="28"/>
          <w:szCs w:val="28"/>
          <w:u w:val="none"/>
          <w:shd w:val="clear" w:fill="FFFFFF"/>
        </w:rPr>
        <w:t>Chương II</w:t>
      </w:r>
      <w:bookmarkEnd w:id="8"/>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right="0" w:firstLine="0"/>
        <w:jc w:val="center"/>
        <w:textAlignment w:val="auto"/>
        <w:rPr>
          <w:rFonts w:hint="default" w:ascii="Times New Roman" w:hAnsi="Times New Roman" w:cs="Times New Roman"/>
          <w:i w:val="0"/>
          <w:iCs w:val="0"/>
          <w:caps w:val="0"/>
          <w:color w:val="000000"/>
          <w:spacing w:val="0"/>
          <w:sz w:val="28"/>
          <w:szCs w:val="28"/>
        </w:rPr>
      </w:pPr>
      <w:bookmarkStart w:id="9" w:name="chuong_2_name"/>
      <w:r>
        <w:rPr>
          <w:rFonts w:hint="default" w:ascii="Times New Roman" w:hAnsi="Times New Roman" w:cs="Times New Roman"/>
          <w:b/>
          <w:bCs/>
          <w:i w:val="0"/>
          <w:iCs w:val="0"/>
          <w:caps w:val="0"/>
          <w:color w:val="000000"/>
          <w:spacing w:val="0"/>
          <w:sz w:val="28"/>
          <w:szCs w:val="28"/>
          <w:u w:val="none"/>
          <w:shd w:val="clear" w:fill="FFFFFF"/>
        </w:rPr>
        <w:t>VỊ TRÍ, CHỨC NĂNG, NHIỆM VỤ, QUYỀN HẠN, CƠ CẤU TỔ CHỨC VÀ QUY CHẾ HOẠT ĐỘNG CỦA HỘI ĐỒNG QUẢN LÝ</w:t>
      </w:r>
      <w:bookmarkEnd w:id="9"/>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10" w:name="dieu_5"/>
      <w:r>
        <w:rPr>
          <w:rFonts w:hint="default" w:ascii="Times New Roman" w:hAnsi="Times New Roman" w:cs="Times New Roman"/>
          <w:b/>
          <w:bCs/>
          <w:i w:val="0"/>
          <w:iCs w:val="0"/>
          <w:caps w:val="0"/>
          <w:color w:val="000000"/>
          <w:spacing w:val="0"/>
          <w:sz w:val="28"/>
          <w:szCs w:val="28"/>
          <w:u w:val="none"/>
          <w:shd w:val="clear" w:fill="FFFFFF"/>
        </w:rPr>
        <w:t>Điều 5. Vị trí, chức năng, nhiệm vụ và quyền hạn</w:t>
      </w:r>
      <w:bookmarkEnd w:id="10"/>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1. Hội đồng quản lý là đại diện của bộ, cơ quan ngang bộ, cơ quan thuộc Chính phủ, Ủy ban nhân dân tỉnh, thành phố trực thuộc Trung ương tại tổ chức khoa học và công nghệ công lập. Hội đồng quản lý quyết định các vấn đề quan trọng của đơn vị theo nhiệm vụ và quyền hạn được giao và chịu trách nhiệm trước pháp luật về các quyết định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2. Nhiệm vụ, quyền hạn của Hội đồng quản lý thực hiện theo quy định tại </w:t>
      </w:r>
      <w:bookmarkStart w:id="11" w:name="dc_3"/>
      <w:r>
        <w:rPr>
          <w:rFonts w:hint="default" w:ascii="Times New Roman" w:hAnsi="Times New Roman" w:cs="Times New Roman"/>
          <w:i w:val="0"/>
          <w:iCs w:val="0"/>
          <w:caps w:val="0"/>
          <w:color w:val="000000"/>
          <w:spacing w:val="0"/>
          <w:sz w:val="28"/>
          <w:szCs w:val="28"/>
          <w:u w:val="none"/>
          <w:shd w:val="clear" w:fill="FFFFFF"/>
        </w:rPr>
        <w:t>khoản 3 Điều 7 Nghị định số 120/2020/NĐ-CP</w:t>
      </w:r>
      <w:bookmarkEnd w:id="11"/>
      <w:r>
        <w:rPr>
          <w:rFonts w:hint="default" w:ascii="Times New Roman" w:hAnsi="Times New Roman" w:cs="Times New Roman"/>
          <w:i w:val="0"/>
          <w:iCs w:val="0"/>
          <w:caps w:val="0"/>
          <w:color w:val="000000"/>
          <w:spacing w:val="0"/>
          <w:sz w:val="28"/>
          <w:szCs w:val="28"/>
          <w:shd w:val="clear" w:fill="FFFFFF"/>
        </w:rPr>
        <w:t>.</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12" w:name="dieu_6"/>
      <w:r>
        <w:rPr>
          <w:rFonts w:hint="default" w:ascii="Times New Roman" w:hAnsi="Times New Roman" w:cs="Times New Roman"/>
          <w:b/>
          <w:bCs/>
          <w:i w:val="0"/>
          <w:iCs w:val="0"/>
          <w:caps w:val="0"/>
          <w:color w:val="000000"/>
          <w:spacing w:val="0"/>
          <w:sz w:val="28"/>
          <w:szCs w:val="28"/>
          <w:u w:val="none"/>
          <w:shd w:val="clear" w:fill="FFFFFF"/>
        </w:rPr>
        <w:t>Điều 6. Cơ cấu tổ chức</w:t>
      </w:r>
      <w:bookmarkEnd w:id="12"/>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1. Hội đồng quản lý có số lượng thành viên từ 05 đến 11 người, tổng số thành viên phải là số lẻ, gồm Chủ tịch, Phó Chủ tịch (nếu có), Thư ký và các thành viên khác.</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2. Thành phần Hội đồng quản lý</w:t>
      </w:r>
    </w:p>
    <w:p>
      <w:pPr>
        <w:keepNext w:val="0"/>
        <w:keepLines w:val="0"/>
        <w:pageBreakBefore w:val="0"/>
        <w:widowControl/>
        <w:kinsoku/>
        <w:wordWrap/>
        <w:overflowPunct/>
        <w:topLinePunct w:val="0"/>
        <w:autoSpaceDE/>
        <w:autoSpaceDN/>
        <w:bidi w:val="0"/>
        <w:adjustRightInd/>
        <w:snapToGrid/>
        <w:spacing w:after="60"/>
        <w:ind w:left="0" w:leftChars="0" w:firstLine="397" w:firstLineChars="142"/>
        <w:jc w:val="both"/>
        <w:textAlignment w:val="auto"/>
        <w:rPr>
          <w:rFonts w:hint="default"/>
          <w:sz w:val="28"/>
          <w:szCs w:val="28"/>
        </w:rPr>
      </w:pPr>
      <w:r>
        <w:rPr>
          <w:rFonts w:hint="default"/>
          <w:sz w:val="28"/>
          <w:szCs w:val="28"/>
        </w:rPr>
        <w:t>a) </w:t>
      </w:r>
      <w:bookmarkStart w:id="13" w:name="cumtu_2"/>
      <w:r>
        <w:rPr>
          <w:rFonts w:hint="default"/>
          <w:sz w:val="28"/>
          <w:szCs w:val="28"/>
        </w:rPr>
        <w:t>Chủ tịch Hội đồng là đại diện cơ quan quản lý cấp trên trực tiếp hoặc đại diện cơ quan cấp trên của cơ quan quản lý cấp trên trực tiếp.</w:t>
      </w:r>
      <w:bookmarkEnd w:id="13"/>
    </w:p>
    <w:p>
      <w:pPr>
        <w:keepNext w:val="0"/>
        <w:keepLines w:val="0"/>
        <w:pageBreakBefore w:val="0"/>
        <w:widowControl/>
        <w:kinsoku/>
        <w:wordWrap/>
        <w:overflowPunct/>
        <w:topLinePunct w:val="0"/>
        <w:autoSpaceDE/>
        <w:autoSpaceDN/>
        <w:bidi w:val="0"/>
        <w:adjustRightInd/>
        <w:snapToGrid/>
        <w:spacing w:after="60"/>
        <w:ind w:left="0" w:leftChars="0" w:firstLine="397" w:firstLineChars="142"/>
        <w:jc w:val="both"/>
        <w:textAlignment w:val="auto"/>
        <w:rPr>
          <w:rFonts w:hint="default"/>
          <w:sz w:val="28"/>
          <w:szCs w:val="28"/>
        </w:rPr>
      </w:pPr>
      <w:r>
        <w:rPr>
          <w:rFonts w:hint="default"/>
          <w:sz w:val="28"/>
          <w:szCs w:val="28"/>
        </w:rPr>
        <w:t>b) </w:t>
      </w:r>
      <w:bookmarkStart w:id="14" w:name="cumtu_3"/>
      <w:r>
        <w:rPr>
          <w:rFonts w:hint="default"/>
          <w:sz w:val="28"/>
          <w:szCs w:val="28"/>
        </w:rPr>
        <w:t>Đại diện một số đơn vị cấp trên trực tiếp của tổ chức khoa học và công nghệ công lập về các lĩnh vực: kế hoạch, tài chính, tổ chức cán bộ, nghiệp vụ chuyên môn; 01 đại diện của cơ quan cấp trên khi cần thiết.</w:t>
      </w:r>
      <w:bookmarkEnd w:id="14"/>
    </w:p>
    <w:p>
      <w:pPr>
        <w:keepNext w:val="0"/>
        <w:keepLines w:val="0"/>
        <w:pageBreakBefore w:val="0"/>
        <w:widowControl/>
        <w:kinsoku/>
        <w:wordWrap/>
        <w:overflowPunct/>
        <w:topLinePunct w:val="0"/>
        <w:autoSpaceDE/>
        <w:autoSpaceDN/>
        <w:bidi w:val="0"/>
        <w:adjustRightInd/>
        <w:snapToGrid/>
        <w:spacing w:after="60"/>
        <w:ind w:left="0" w:leftChars="0" w:firstLine="397" w:firstLineChars="142"/>
        <w:jc w:val="both"/>
        <w:textAlignment w:val="auto"/>
        <w:rPr>
          <w:rFonts w:hint="default"/>
          <w:sz w:val="28"/>
          <w:szCs w:val="28"/>
        </w:rPr>
      </w:pPr>
      <w:r>
        <w:rPr>
          <w:rFonts w:hint="default"/>
          <w:sz w:val="28"/>
          <w:szCs w:val="28"/>
        </w:rPr>
        <w:t>c) </w:t>
      </w:r>
      <w:bookmarkStart w:id="15" w:name="cumtu_4"/>
      <w:r>
        <w:rPr>
          <w:rFonts w:hint="default"/>
          <w:sz w:val="28"/>
          <w:szCs w:val="28"/>
        </w:rPr>
        <w:t>Người đứng đầu, 01 cấp phó của người đứng đầu tổ chức khoa học và công nghệ công lập; Đại diện lãnh đạo cấp ủy Đảng, Công đoàn, Đoàn thanh niên Cộng sản Hồ Chí Minh của tổ chức khoa học và công nghệ công lập.</w:t>
      </w:r>
      <w:bookmarkEnd w:id="15"/>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3. Số lượng, cơ cấu, thành phần của Hội đồng quản lý do cấp có thẩm quyền thành lập Hội đồng quản lý quyết định cụ thể trên cơ sở quy định tại khoản 2 Điều này, yêu cầu thực tiễn, đặc thù của tổ chức khoa học và công nghệ công lập. Nhiệm kỳ của Chủ tịch, Phó Chủ tịch và các thành viên của Hội đồng quản lý không quá 05 (năm) năm.</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16" w:name="dieu_7"/>
      <w:r>
        <w:rPr>
          <w:rFonts w:hint="default" w:ascii="Times New Roman" w:hAnsi="Times New Roman" w:cs="Times New Roman"/>
          <w:b/>
          <w:bCs/>
          <w:i w:val="0"/>
          <w:iCs w:val="0"/>
          <w:caps w:val="0"/>
          <w:color w:val="000000"/>
          <w:spacing w:val="0"/>
          <w:sz w:val="28"/>
          <w:szCs w:val="28"/>
          <w:u w:val="none"/>
          <w:shd w:val="clear" w:fill="FFFFFF"/>
        </w:rPr>
        <w:t>Điều 7. Nguyên tắc và chế độ làm việc</w:t>
      </w:r>
      <w:bookmarkEnd w:id="16"/>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1. Nguyên tắc làm việc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a) Hội đồng quản lý làm việc theo chế độ tập thể, quyết định theo đa số. Quyết định của Hội đồng quản lý được thể hiện bằng hình thức Nghị quyết.</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b) Hội đồng quản lý thực hiện các nhiệm vụ, quyền hạn được giao theo đúng thẩm quyền.</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80" w:firstLineChars="142"/>
        <w:jc w:val="both"/>
        <w:textAlignment w:val="auto"/>
        <w:rPr>
          <w:rFonts w:hint="default" w:ascii="Times New Roman" w:hAnsi="Times New Roman" w:cs="Times New Roman"/>
          <w:i w:val="0"/>
          <w:iCs w:val="0"/>
          <w:caps w:val="0"/>
          <w:color w:val="000000"/>
          <w:spacing w:val="-6"/>
          <w:sz w:val="28"/>
          <w:szCs w:val="28"/>
        </w:rPr>
      </w:pPr>
      <w:r>
        <w:rPr>
          <w:rFonts w:hint="default" w:ascii="Times New Roman" w:hAnsi="Times New Roman" w:cs="Times New Roman"/>
          <w:i w:val="0"/>
          <w:iCs w:val="0"/>
          <w:caps w:val="0"/>
          <w:color w:val="000000"/>
          <w:spacing w:val="-6"/>
          <w:sz w:val="28"/>
          <w:szCs w:val="28"/>
          <w:shd w:val="clear" w:fill="FFFFFF"/>
        </w:rPr>
        <w:t>c) Văn bản của Hội đồng quản lý ban hành được sử dụng con dấu của tổ chức khoa học và công nghệ công lập và được lưu trữ theo quy định của pháp luật.</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2. Hội đồng quản lý họp định kỳ ít nhất 03 tháng một lần. Hội đồng quản lý họp đột xuất theo yêu cầu của Chủ tịch Hội đồng quản lý hoặc cấp có thẩm quyền thành lập Hội đồng quản lý hoặc cơ quan quản lý cấp trên trực tiếp của tổ chức khoa học và công nghệ công lập hoặc theo ý kiến của 3/4 tổng số thành viên Hội đồng quản lý. Các cuộc họp của Hội đồng quản lý được coi là hợp lệ khi có ít nhất 2/3 số thành viên tham dự, trong đó phải có Chủ tịch hoặc Phó Chủ tịch Hội đồng quản lý điều hành cuộc họp (khi Chủ tịch ủy quyền).</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Trường hợp cần thiết, Chủ tịch Hội đồng quản lý có thể mời đại diện một số cơ quan, tổ chức thuộc lĩnh vực hoạt động chính của tổ chức khoa học và công nghệ công lập tham dự cuộc họp của Hội đồng quản lý để tham khảo ý kiến. Đại diện được mời dự họp Hội đồng quản lý không có quyền biểu quyết.</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3. Chế độ làm việc của Chủ tịch Hội đồng quản lý do cấp có thẩm quyền thành lập Hội đồng quản lý quyết định căn cứ vào yêu cầu thực tế và quy định của pháp luật, các thành viên khác của Hội đồng quản lý làm việc theo chế độ kiêm nhiệm.</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4. Nghị quyết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a) Nghị quyết của Hội đồng quản lý phải được ghi thành văn bản, có ý kiến, chữ ký của tất cả các thành viên Hội đồng quản lý dự họp hoặc ý kiến bằng văn bản của tất cả các thành viên Hội đồng quản lý trong trường hợp không tổ chức cuộc họp.</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b) Nghị quyết của Hội đồng quản lý được thông qua khi được ít nhất 3/4 tổng số thành viên Hội đồng quản lý tham dự cuộc họp nhất trí thông qua bằng hình thức bỏ phiếu kín. Trường hợp không tổ chức cuộc họp, Nghị quyết của Hội đồng quản lý được thông qua khi ít nhất 3/4 tổng số thành viên Hội đồng quản lý nhất trí bằng văn bản.</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c) Các nội dung không được đưa ra biểu quyết tại cuộc họp của Hội đồng quản lý hoặc bị phủ quyết khi đã được biểu quyết trong trường hợp cơ quan có thẩm quyền kết luận hoặc người tham dự cuộc họp Hội đồng quản lý phát hiện và có bằng chứng chứng minh có vi phạm quy định của pháp luật.</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d) Nghị quyết của Hội đồng quản lý phải được gửi đến các thành viên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5. Kinh phí hoạt động của Hội đồng quản lý, chế độ phụ cấp và chế độ khác (nếu có) cho các thành viên Hội đồng quản lý được tính trong chi phí hoạt động của tổ chức khoa học và công nghệ công lập theo quy định của pháp luật.</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17" w:name="dieu_8"/>
      <w:r>
        <w:rPr>
          <w:rFonts w:hint="default" w:ascii="Times New Roman" w:hAnsi="Times New Roman" w:cs="Times New Roman"/>
          <w:b/>
          <w:bCs/>
          <w:i w:val="0"/>
          <w:iCs w:val="0"/>
          <w:caps w:val="0"/>
          <w:color w:val="000000"/>
          <w:spacing w:val="0"/>
          <w:sz w:val="28"/>
          <w:szCs w:val="28"/>
          <w:u w:val="none"/>
          <w:shd w:val="clear" w:fill="FFFFFF"/>
        </w:rPr>
        <w:t>Điều 8. Quan hệ công tác</w:t>
      </w:r>
      <w:bookmarkEnd w:id="17"/>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1. Mối quan hệ giữa Hội đồng quản lý với người đứng đầu tổ chức khoa học và công nghệ công lập</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a) Hội đồng quản lý quyết định các vấn đề thuộc thẩm quyền theo đề nghị của người đứng đầu tổ chức khoa học và công nghệ công lập.</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b) Người đứng đầu tổ chức khoa học và công nghệ công lập quản lý, điều hành hoạt động của đơn vị thực hiện các nghị quyết của Hội đồng quản lý và chịu trách nhiệm về kết quả thực hiện nghị quyết trước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c) Người đứng đầu tổ chức khoa học và công nghệ công lập có trách nhiệm tổ chức chuẩn bị các nội dung, tài liệu, điều kiện cơ sở vật chất phục vụ cho các cuộc họp, phiên họp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d) Người đứng đầu tổ chức khoa học và công nghệ công lập chịu sự kiểm tra, giám sát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2. Mối quan hệ giữa Hội đồng quản lý với cơ quan quản lý cấp trên</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a) Hội đồng quản lý chịu trách nhiệm trước cơ quan quản lý cấp trên về kết quả thực hiện các nhiệm vụ, quyền hạn được giao.</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b) Hội đồng quản lý có trách nhiệm báo cáo hoạt động của tổ chức khoa học và công nghệ công lập với cơ quan quản lý cấp trên.</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c) Cơ quan quản lý cấp trên có trách nhiệm xem xét và giải quyết đối với những vấn đề thuộc thẩm quyền theo đề nghị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3. Quan hệ công tác của Hội đồng quản lý được quy định cụ thể trong Quy chế hoạt động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18" w:name="dieu_9"/>
      <w:r>
        <w:rPr>
          <w:rFonts w:hint="default" w:ascii="Times New Roman" w:hAnsi="Times New Roman" w:cs="Times New Roman"/>
          <w:b/>
          <w:bCs/>
          <w:i w:val="0"/>
          <w:iCs w:val="0"/>
          <w:caps w:val="0"/>
          <w:color w:val="000000"/>
          <w:spacing w:val="0"/>
          <w:sz w:val="28"/>
          <w:szCs w:val="28"/>
          <w:u w:val="none"/>
          <w:shd w:val="clear" w:fill="FFFFFF"/>
        </w:rPr>
        <w:t>Điều 9. Quy chế hoạt động</w:t>
      </w:r>
      <w:bookmarkEnd w:id="18"/>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1. Hội đồng quản lý làm việc theo Quy chế hoạt động của Hội đồng quản lý được cấp có thẩm quyền thành lập Hội đồng quản lý phê duyệt.</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2. Đề cương Quy chế hoạt động của Hội đồng quản lý thực hiện theo quy định tại Phụ lục kèm theo Thông tư này.</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right="0" w:firstLine="0"/>
        <w:jc w:val="center"/>
        <w:textAlignment w:val="auto"/>
        <w:rPr>
          <w:rFonts w:hint="default" w:ascii="Times New Roman" w:hAnsi="Times New Roman" w:cs="Times New Roman"/>
          <w:i w:val="0"/>
          <w:iCs w:val="0"/>
          <w:caps w:val="0"/>
          <w:color w:val="000000"/>
          <w:spacing w:val="0"/>
          <w:sz w:val="28"/>
          <w:szCs w:val="28"/>
        </w:rPr>
      </w:pPr>
      <w:bookmarkStart w:id="19" w:name="chuong_3"/>
      <w:r>
        <w:rPr>
          <w:rFonts w:hint="default" w:ascii="Times New Roman" w:hAnsi="Times New Roman" w:cs="Times New Roman"/>
          <w:b/>
          <w:bCs/>
          <w:i w:val="0"/>
          <w:iCs w:val="0"/>
          <w:caps w:val="0"/>
          <w:color w:val="000000"/>
          <w:spacing w:val="0"/>
          <w:sz w:val="28"/>
          <w:szCs w:val="28"/>
          <w:u w:val="none"/>
          <w:shd w:val="clear" w:fill="FFFFFF"/>
        </w:rPr>
        <w:t>Chương III</w:t>
      </w:r>
      <w:bookmarkEnd w:id="19"/>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right="0" w:firstLine="0"/>
        <w:jc w:val="center"/>
        <w:textAlignment w:val="auto"/>
        <w:rPr>
          <w:rFonts w:hint="default" w:ascii="Times New Roman" w:hAnsi="Times New Roman" w:cs="Times New Roman"/>
          <w:i w:val="0"/>
          <w:iCs w:val="0"/>
          <w:caps w:val="0"/>
          <w:color w:val="000000"/>
          <w:spacing w:val="0"/>
          <w:sz w:val="28"/>
          <w:szCs w:val="28"/>
        </w:rPr>
      </w:pPr>
      <w:bookmarkStart w:id="20" w:name="chuong_3_name"/>
      <w:r>
        <w:rPr>
          <w:rFonts w:hint="default" w:ascii="Times New Roman" w:hAnsi="Times New Roman" w:cs="Times New Roman"/>
          <w:b/>
          <w:bCs/>
          <w:i w:val="0"/>
          <w:iCs w:val="0"/>
          <w:caps w:val="0"/>
          <w:color w:val="000000"/>
          <w:spacing w:val="0"/>
          <w:sz w:val="28"/>
          <w:szCs w:val="28"/>
          <w:u w:val="none"/>
          <w:shd w:val="clear" w:fill="FFFFFF"/>
        </w:rPr>
        <w:t>NHIỆM VỤ, QUYỀN HẠN, TIÊU CHUẨN, ĐIỀU KIỆN BỔ NHIỆM, MIỄN NHIỆM THÀNH VIÊN HỘI ĐỒNG QUẢN LÝ</w:t>
      </w:r>
      <w:bookmarkEnd w:id="20"/>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21" w:name="dieu_10"/>
      <w:r>
        <w:rPr>
          <w:rFonts w:hint="default" w:ascii="Times New Roman" w:hAnsi="Times New Roman" w:cs="Times New Roman"/>
          <w:b/>
          <w:bCs/>
          <w:i w:val="0"/>
          <w:iCs w:val="0"/>
          <w:caps w:val="0"/>
          <w:color w:val="000000"/>
          <w:spacing w:val="0"/>
          <w:sz w:val="28"/>
          <w:szCs w:val="28"/>
          <w:u w:val="none"/>
          <w:shd w:val="clear" w:fill="FFFFFF"/>
        </w:rPr>
        <w:t>Điều 10. Nhiệm vụ, quyền hạn của các thành viên Hội đồng quản lý</w:t>
      </w:r>
      <w:bookmarkEnd w:id="21"/>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1. Nhiệm vụ, quyền hạn của thành viên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a) Thực hiện nhiệm vụ do Hội đồng quản lý phân công; nhiệm vụ, quyền hạn khác theo quy định pháp luật và quy chế hoạt động của Hội đồng quản lý và của tổ chức khoa học và công nghệ công lập.</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b) Tham gia xây dựng kế hoạch hoạt động theo nhiệm kỳ và hằng năm; đề xuất nội dung và các vấn đề cần thảo luận tại cuộc họp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c) Dự các cuộc họp của Hội đồng quản lý, góp ý kiến, biểu quyết về những vấn đề đưa ra thảo luận trong các cuộc họp của Hội đồng quản lý. Chịu trách nhiệm về các quyết định của Hội đồng quản lý, và chịu trách nhiệm cá nhân về biểu quyết của mình trong các cuộc họp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d) Bảo mật thông tin được cung cấp theo quy định pháp luật.</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2. Thư ký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Thực hiện các nhiệm vụ, quyền hạn của thành viên Hội đồng quản lý theo quy định tại khoản 1 Điều này và trực tiếp giúp Chủ tịch Hội đồng quản lý những nhiệm vụ sau đây:</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a) Tổng hợp thông tin về hoạt động của đơn vị báo cáo Chủ tịch Hội đồng quản lý; chuẩn bị chương trình nghị sự, tài liệu, giấy mời họp và làm thư ký các cuộc họp của Hội đồng quản lý; xây dựng, hoàn chỉnh, lưu trữ các văn bản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b) Chuẩn bị các báo cáo, văn bản giải trình với cơ quan nhà nước và các cơ quan liên quan theo nhiệm vụ, chức năng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c) Nhiệm vụ khác do Chủ tịch Hội đồng quản lý giao và theo Quy chế hoạt động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3. Nhiệm vụ, quyền hạn của Phó Chủ tịch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a) Điều hành hoạt động và ký các văn bản theo ủy quyền.</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b) Thực hiện nhiệm vụ, quyền hạn của thành viên Hội đồng quản lý theo quy định tại khoản 1 Điều này và các nhiệm vụ, quyền hạn khác theo Quy chế hoạt động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4. Nhiệm vụ, quyền hạn của Chủ tịch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a) Điều hành Hội đồng quản lý thực hiện nhiệm vụ, quyền hạn quy định tại </w:t>
      </w:r>
      <w:bookmarkStart w:id="22" w:name="dc_4"/>
      <w:r>
        <w:rPr>
          <w:rFonts w:hint="default" w:ascii="Times New Roman" w:hAnsi="Times New Roman" w:cs="Times New Roman"/>
          <w:i w:val="0"/>
          <w:iCs w:val="0"/>
          <w:caps w:val="0"/>
          <w:color w:val="000000"/>
          <w:spacing w:val="0"/>
          <w:sz w:val="28"/>
          <w:szCs w:val="28"/>
          <w:u w:val="none"/>
          <w:shd w:val="clear" w:fill="FFFFFF"/>
        </w:rPr>
        <w:t>khoản 3 Điều 7 Nghị định số 120/2020/NĐ-CP</w:t>
      </w:r>
      <w:bookmarkEnd w:id="22"/>
      <w:r>
        <w:rPr>
          <w:rFonts w:hint="default" w:ascii="Times New Roman" w:hAnsi="Times New Roman" w:cs="Times New Roman"/>
          <w:i w:val="0"/>
          <w:iCs w:val="0"/>
          <w:caps w:val="0"/>
          <w:color w:val="000000"/>
          <w:spacing w:val="0"/>
          <w:sz w:val="28"/>
          <w:szCs w:val="28"/>
          <w:shd w:val="clear" w:fill="FFFFFF"/>
        </w:rPr>
        <w:t>.</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b) Tổ chức việc giám sát và đánh giá kết quả thực hiện mục tiêu chiến lược, kết quả hoạt động của tổ chức khoa học và công nghệ công lập; kết quả quản lý điều hành của người đứng đầu tổ chức khoa học và công nghệ công lập.</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80" w:firstLineChars="142"/>
        <w:jc w:val="both"/>
        <w:textAlignment w:val="auto"/>
        <w:rPr>
          <w:rFonts w:hint="default" w:ascii="Times New Roman" w:hAnsi="Times New Roman" w:cs="Times New Roman"/>
          <w:i w:val="0"/>
          <w:iCs w:val="0"/>
          <w:caps w:val="0"/>
          <w:color w:val="000000"/>
          <w:spacing w:val="-6"/>
          <w:sz w:val="28"/>
          <w:szCs w:val="28"/>
        </w:rPr>
      </w:pPr>
      <w:r>
        <w:rPr>
          <w:rFonts w:hint="default" w:ascii="Times New Roman" w:hAnsi="Times New Roman" w:cs="Times New Roman"/>
          <w:i w:val="0"/>
          <w:iCs w:val="0"/>
          <w:caps w:val="0"/>
          <w:color w:val="000000"/>
          <w:spacing w:val="-6"/>
          <w:sz w:val="28"/>
          <w:szCs w:val="28"/>
          <w:shd w:val="clear" w:fill="FFFFFF"/>
        </w:rPr>
        <w:t>c) Chỉ đạo xây dựng kế hoạch hoạt động theo nhiệm kỳ và hằng năm, hằng quý của Hội đồng quản lý; lãnh đạo thực hiện các nghị quyết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d) Triệu tập, chủ trì các cuộc họp Hội đồng quản lý; ủy quyền cho Phó chủ tịch chủ trì cuộc họp Hội đồng quản lý trong trường hợp vắng mặt; chỉ đạo chuẩn bị các chương trình, tài liệu cuộc họp hoặc lấy ý kiến thành viên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đ) Ký các văn bản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e) Thực hiện các nhiệm vụ, quyền hạn khác theo quy định pháp luật hoặc theo quy chế hoạt động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23" w:name="dieu_11"/>
      <w:r>
        <w:rPr>
          <w:rFonts w:hint="default" w:ascii="Times New Roman" w:hAnsi="Times New Roman" w:cs="Times New Roman"/>
          <w:b/>
          <w:bCs/>
          <w:i w:val="0"/>
          <w:iCs w:val="0"/>
          <w:caps w:val="0"/>
          <w:color w:val="000000"/>
          <w:spacing w:val="0"/>
          <w:sz w:val="28"/>
          <w:szCs w:val="28"/>
          <w:u w:val="none"/>
          <w:shd w:val="clear" w:fill="FFFFFF"/>
        </w:rPr>
        <w:t>Điều 11. Tiêu chuẩn, điều kiện bổ nhiệm</w:t>
      </w:r>
      <w:bookmarkEnd w:id="23"/>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1. Thành viên Hội đồng quản lý đáp ứng các tiêu chuẩn, điều kiện sau:</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a) Là công chức hoặc viên chức;</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b) Có phẩm chất chính trị, đạo đức tốt; có đủ sức khỏe để thực hiện nhiệm vụ và chức trách được giao;</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c) Không trong thời gian chấp hành quyết định kỷ luật hoặc trong thời gian bị xem xét xử lý kỷ luật, không thuộc các trường hợp bị cấm đảm nhiệm chức vụ theo quy định của pháp luật;</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d) Có trình độ từ đại học trở lên với chuyên ngành phù hợp với nhiệm vụ được giao;</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đ) Có kinh nghiệm từ 03 năm trở lên trong ngành hoặc lĩnh vực liên quan;</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e) Đủ tuổi công tác ít nhất 01 nhiệm kỳ 05 năm đối với công chức, viên chức; trường hợp đặc biệt báo cáo cấp có thẩm quyền bổ nhiệm xem xét, quyết định;</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g) Không phải là vợ hoặc chồng, cha đẻ, cha nuôi, mẹ đẻ, mẹ nuôi, con đẻ, con nuôi, anh ruột, chị ruột, em ruột, anh rể, em rể, chị dâu, em dâu của người đứng đầu, cấp phó của người đứng đầu, kế toán trưởng của tổ chức khoa học và công nghệ công lập;</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h) Các tiêu chuẩn, điều kiện khác theo quy định của cơ quan có thẩm quyền quyết định bổ nhiệm Chủ tịch và các thành viên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2. Chủ tịch Hội đồng quản lý phải đáp ứng các tiêu chuẩn, điều kiện sau:</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a) Các tiêu chuẩn, điều kiện quy định tại khoản 1 Điều này;</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b) </w:t>
      </w:r>
      <w:bookmarkStart w:id="24" w:name="cumtu_5"/>
      <w:r>
        <w:rPr>
          <w:rFonts w:hint="default"/>
          <w:sz w:val="28"/>
          <w:szCs w:val="28"/>
        </w:rPr>
        <w:t>Có năng lực quản lý và đáp ứng điều kiện, tiêu chuẩn như người đứng đầu tổ chức khoa học và công nghệ công lập theo quy định pháp luật và quy định của cơ quan có thẩm quyền quyết định bổ nhiệm Chủ tịch Hội đồng quản lý.</w:t>
      </w:r>
      <w:bookmarkEnd w:id="24"/>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25" w:name="dieu_12"/>
      <w:r>
        <w:rPr>
          <w:rFonts w:hint="default" w:ascii="Times New Roman" w:hAnsi="Times New Roman" w:cs="Times New Roman"/>
          <w:b/>
          <w:bCs/>
          <w:i w:val="0"/>
          <w:iCs w:val="0"/>
          <w:caps w:val="0"/>
          <w:color w:val="000000"/>
          <w:spacing w:val="0"/>
          <w:sz w:val="28"/>
          <w:szCs w:val="28"/>
          <w:u w:val="none"/>
          <w:shd w:val="clear" w:fill="FFFFFF"/>
        </w:rPr>
        <w:t>Điều 12. Điều kiện miễn nhiệm</w:t>
      </w:r>
      <w:bookmarkEnd w:id="25"/>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Miễn nhiệm Chủ tịch và các thành viên khác của Hội đồng quản lý nếu thuộc một trong các trường hợp sau:</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1. Nghỉ hưu theo quy định của pháp luật;</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2. Chuyển công tác khác;</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3. Tự nguyện xin thôi giữ chức vụ bằng văn bản và được cấp có thẩm quyền chấp thuận;</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4. Bị hạn chế năng lực hành vi dân sự;</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5. Không đủ sức khỏe để đảm nhiệm công việc được giao, đã phải nghỉ làm việc để điều trị bệnh quá 06 tháng mà khả năng lao động chưa hồi phục;</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6. Có trên 50% tổng số thành viên của Hội đồng quản lý kiến nghị bằng văn bản đề nghị miễn nhiệm;</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7. Có hai năm liên tiếp được xếp loại chất lượng công chức, viên chức ở mức không hoàn thành nhiệm vụ;</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8. Có các vi phạm khác đã quy định tại quy chế tổ chức và hoạt động của tổ chức khoa học và công nghệ công lập, Quy chế hoạt động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9. Trường hợp khác theo quy định của cơ quan có thẩm quyền quyết định bổ nhiệm Chủ tịch và thành viên khác của Hội đồng quản lý.</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26" w:name="dieu_13"/>
      <w:r>
        <w:rPr>
          <w:rFonts w:hint="default" w:ascii="Times New Roman" w:hAnsi="Times New Roman" w:cs="Times New Roman"/>
          <w:b/>
          <w:bCs/>
          <w:i w:val="0"/>
          <w:iCs w:val="0"/>
          <w:caps w:val="0"/>
          <w:color w:val="000000"/>
          <w:spacing w:val="0"/>
          <w:sz w:val="28"/>
          <w:szCs w:val="28"/>
          <w:u w:val="none"/>
          <w:shd w:val="clear" w:fill="FFFFFF"/>
        </w:rPr>
        <w:t>Điều 13. Bổ nhiệm, miễn nhiệm Chủ tịch và các thành viên của Hội đồng quản lý</w:t>
      </w:r>
      <w:bookmarkEnd w:id="26"/>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1. Bổ nhiệm, miễn nhiệm Chủ tịch, Phó Chủ tịch và thành viên của Hội đồng quản lý do người đứng đầu cơ quan có thẩm quyền thành lập Hội đồng quản lý của tổ chức khoa học và công nghệ công lập quyết định.</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2. Trình tự, thủ tục bổ nhiệm, miễn nhiệm Chủ tịch, Phó Chủ tịch và thành viên của Hội đồng quản lý thực hiện theo quy định của Đảng, pháp luật và của cơ quan có thẩm quyền.</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right="0" w:firstLine="0"/>
        <w:jc w:val="center"/>
        <w:textAlignment w:val="auto"/>
        <w:rPr>
          <w:rFonts w:hint="default" w:ascii="Times New Roman" w:hAnsi="Times New Roman" w:cs="Times New Roman"/>
          <w:i w:val="0"/>
          <w:iCs w:val="0"/>
          <w:caps w:val="0"/>
          <w:color w:val="000000"/>
          <w:spacing w:val="0"/>
          <w:sz w:val="28"/>
          <w:szCs w:val="28"/>
        </w:rPr>
      </w:pPr>
      <w:bookmarkStart w:id="27" w:name="chuong_4"/>
      <w:r>
        <w:rPr>
          <w:rFonts w:hint="default" w:ascii="Times New Roman" w:hAnsi="Times New Roman" w:cs="Times New Roman"/>
          <w:b/>
          <w:bCs/>
          <w:i w:val="0"/>
          <w:iCs w:val="0"/>
          <w:caps w:val="0"/>
          <w:color w:val="000000"/>
          <w:spacing w:val="0"/>
          <w:sz w:val="28"/>
          <w:szCs w:val="28"/>
          <w:u w:val="none"/>
          <w:shd w:val="clear" w:fill="FFFFFF"/>
        </w:rPr>
        <w:t>Chương IV</w:t>
      </w:r>
      <w:bookmarkEnd w:id="27"/>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right="0" w:firstLine="0"/>
        <w:jc w:val="center"/>
        <w:textAlignment w:val="auto"/>
        <w:rPr>
          <w:rFonts w:hint="default" w:ascii="Times New Roman" w:hAnsi="Times New Roman" w:cs="Times New Roman"/>
          <w:i w:val="0"/>
          <w:iCs w:val="0"/>
          <w:caps w:val="0"/>
          <w:color w:val="000000"/>
          <w:spacing w:val="0"/>
          <w:sz w:val="28"/>
          <w:szCs w:val="28"/>
        </w:rPr>
      </w:pPr>
      <w:bookmarkStart w:id="28" w:name="chuong_4_name"/>
      <w:r>
        <w:rPr>
          <w:rFonts w:hint="default" w:ascii="Times New Roman" w:hAnsi="Times New Roman" w:cs="Times New Roman"/>
          <w:b/>
          <w:bCs/>
          <w:i w:val="0"/>
          <w:iCs w:val="0"/>
          <w:caps w:val="0"/>
          <w:color w:val="000000"/>
          <w:spacing w:val="0"/>
          <w:sz w:val="28"/>
          <w:szCs w:val="28"/>
          <w:u w:val="none"/>
          <w:shd w:val="clear" w:fill="FFFFFF"/>
        </w:rPr>
        <w:t>TỔ CHỨC THỰC HIỆN</w:t>
      </w:r>
      <w:bookmarkEnd w:id="28"/>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29" w:name="dieu_14"/>
      <w:r>
        <w:rPr>
          <w:rFonts w:hint="default" w:ascii="Times New Roman" w:hAnsi="Times New Roman" w:cs="Times New Roman"/>
          <w:b/>
          <w:bCs/>
          <w:i w:val="0"/>
          <w:iCs w:val="0"/>
          <w:caps w:val="0"/>
          <w:color w:val="000000"/>
          <w:spacing w:val="0"/>
          <w:sz w:val="28"/>
          <w:szCs w:val="28"/>
          <w:u w:val="none"/>
          <w:shd w:val="clear" w:fill="FFFFFF"/>
        </w:rPr>
        <w:t>Điều 14. Trách nhiệm của Bộ trưởng, Thủ trưởng cơ quan ngang Bộ, Thủ trưởng cơ quan thuộc Chính phủ, người đứng đầu tổ chức do Chính phủ, Thủ tướng Chính phủ thành lập, Chủ tịch Ủy ban nhân dân tỉnh, thành phố trực thuộc Trung ương</w:t>
      </w:r>
      <w:bookmarkEnd w:id="29"/>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1. Chỉ đạo các tổ chức khoa học và công nghệ công lập thuộc thẩm quyền quản lý đáp ứng đủ điều kiện xây dựng Đề án thành lập Hội đồng quản lý theo quy định tại Thông tư này.</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2. Quyết định thành lập, bổ nhiệm các thành viên Hội đồng quản lý và phê duyệt Quy chế hoạt động của Hội đồng quản lý theo quy định tại Thông tư này.</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30" w:name="dieu_15"/>
      <w:r>
        <w:rPr>
          <w:rFonts w:hint="default" w:ascii="Times New Roman" w:hAnsi="Times New Roman" w:cs="Times New Roman"/>
          <w:b/>
          <w:bCs/>
          <w:i w:val="0"/>
          <w:iCs w:val="0"/>
          <w:caps w:val="0"/>
          <w:color w:val="000000"/>
          <w:spacing w:val="0"/>
          <w:sz w:val="28"/>
          <w:szCs w:val="28"/>
          <w:u w:val="none"/>
          <w:shd w:val="clear" w:fill="FFFFFF"/>
        </w:rPr>
        <w:t>Điều 15. Trách nhiệm của tổ chức khoa học và công nghệ công lập</w:t>
      </w:r>
      <w:bookmarkEnd w:id="30"/>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Tổ chức khoa học và công nghệ công lập thuộc đối tượng áp dụng của Thông tư này có trách nhiệm lập hồ sơ thành lập Hội đồng quản lý, chuẩn bị hồ sơ bổ nhiệm các thành viên Hội đồng quản lý, trình cấp có thẩm quyền xem xét, quyết định thành lập Hội đồng quản lý và bổ nhiệm các thành viên Hội đồng quản lý theo quy định.</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0" w:firstLineChars="0"/>
        <w:jc w:val="center"/>
        <w:textAlignment w:val="auto"/>
        <w:rPr>
          <w:rFonts w:hint="default" w:ascii="Times New Roman" w:hAnsi="Times New Roman" w:cs="Times New Roman"/>
          <w:i w:val="0"/>
          <w:iCs w:val="0"/>
          <w:caps w:val="0"/>
          <w:color w:val="000000"/>
          <w:spacing w:val="0"/>
          <w:sz w:val="28"/>
          <w:szCs w:val="28"/>
        </w:rPr>
      </w:pPr>
      <w:bookmarkStart w:id="31" w:name="chuong_5"/>
      <w:r>
        <w:rPr>
          <w:rFonts w:hint="default" w:ascii="Times New Roman" w:hAnsi="Times New Roman" w:cs="Times New Roman"/>
          <w:b/>
          <w:bCs/>
          <w:i w:val="0"/>
          <w:iCs w:val="0"/>
          <w:caps w:val="0"/>
          <w:color w:val="000000"/>
          <w:spacing w:val="0"/>
          <w:sz w:val="28"/>
          <w:szCs w:val="28"/>
          <w:u w:val="none"/>
          <w:shd w:val="clear" w:fill="FFFFFF"/>
        </w:rPr>
        <w:t>Chương V</w:t>
      </w:r>
      <w:bookmarkEnd w:id="31"/>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0" w:firstLineChars="0"/>
        <w:jc w:val="center"/>
        <w:textAlignment w:val="auto"/>
        <w:rPr>
          <w:rFonts w:hint="default" w:ascii="Times New Roman" w:hAnsi="Times New Roman" w:cs="Times New Roman"/>
          <w:i w:val="0"/>
          <w:iCs w:val="0"/>
          <w:caps w:val="0"/>
          <w:color w:val="000000"/>
          <w:spacing w:val="0"/>
          <w:sz w:val="28"/>
          <w:szCs w:val="28"/>
        </w:rPr>
      </w:pPr>
      <w:bookmarkStart w:id="32" w:name="chuong_5_name"/>
      <w:r>
        <w:rPr>
          <w:rFonts w:hint="default" w:ascii="Times New Roman" w:hAnsi="Times New Roman" w:cs="Times New Roman"/>
          <w:b/>
          <w:bCs/>
          <w:i w:val="0"/>
          <w:iCs w:val="0"/>
          <w:caps w:val="0"/>
          <w:color w:val="000000"/>
          <w:spacing w:val="0"/>
          <w:sz w:val="28"/>
          <w:szCs w:val="28"/>
          <w:u w:val="none"/>
          <w:shd w:val="clear" w:fill="FFFFFF"/>
        </w:rPr>
        <w:t>ĐIỀU KHOẢN THI HÀNH</w:t>
      </w:r>
      <w:bookmarkEnd w:id="32"/>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33" w:name="dieu_16"/>
      <w:r>
        <w:rPr>
          <w:rFonts w:hint="default" w:ascii="Times New Roman" w:hAnsi="Times New Roman" w:cs="Times New Roman"/>
          <w:b/>
          <w:bCs/>
          <w:i w:val="0"/>
          <w:iCs w:val="0"/>
          <w:caps w:val="0"/>
          <w:color w:val="000000"/>
          <w:spacing w:val="0"/>
          <w:sz w:val="28"/>
          <w:szCs w:val="28"/>
          <w:u w:val="none"/>
          <w:shd w:val="clear" w:fill="FFFFFF"/>
        </w:rPr>
        <w:t>Điều 16. Hiệu lực thi hành</w:t>
      </w:r>
      <w:bookmarkEnd w:id="33"/>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b w:val="0"/>
          <w:bCs w:val="0"/>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b w:val="0"/>
          <w:bCs w:val="0"/>
          <w:i w:val="0"/>
          <w:iCs w:val="0"/>
          <w:caps w:val="0"/>
          <w:color w:val="000000" w:themeColor="text1"/>
          <w:spacing w:val="0"/>
          <w:sz w:val="28"/>
          <w:szCs w:val="28"/>
          <w:shd w:val="clear" w:fill="FFFFFF"/>
          <w14:textFill>
            <w14:solidFill>
              <w14:schemeClr w14:val="tx1"/>
            </w14:solidFill>
          </w14:textFill>
        </w:rPr>
        <w:t>1. </w:t>
      </w:r>
      <w:bookmarkStart w:id="34" w:name="cumtu_6"/>
      <w:r>
        <w:rPr>
          <w:rFonts w:hint="default"/>
          <w:sz w:val="28"/>
          <w:szCs w:val="28"/>
        </w:rPr>
        <w:t>Thông tư có hiệu lực thi hành kể từ ngày 15 tháng 3 năm 202</w:t>
      </w:r>
      <w:r>
        <w:rPr>
          <w:rFonts w:hint="default"/>
          <w:sz w:val="28"/>
          <w:szCs w:val="28"/>
          <w:lang w:val="en-US"/>
        </w:rPr>
        <w:t>3</w:t>
      </w:r>
      <w:r>
        <w:rPr>
          <w:rFonts w:hint="default"/>
          <w:sz w:val="28"/>
          <w:szCs w:val="28"/>
        </w:rPr>
        <w:t>.</w:t>
      </w:r>
      <w:bookmarkEnd w:id="34"/>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b w:val="0"/>
          <w:bCs w:val="0"/>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b w:val="0"/>
          <w:bCs w:val="0"/>
          <w:i w:val="0"/>
          <w:iCs w:val="0"/>
          <w:caps w:val="0"/>
          <w:color w:val="000000" w:themeColor="text1"/>
          <w:spacing w:val="0"/>
          <w:sz w:val="28"/>
          <w:szCs w:val="28"/>
          <w:shd w:val="clear" w:fill="FFFFFF"/>
          <w14:textFill>
            <w14:solidFill>
              <w14:schemeClr w14:val="tx1"/>
            </w14:solidFill>
          </w14:textFill>
        </w:rPr>
        <w:t>2. Thông tư số </w:t>
      </w:r>
      <w:bookmarkStart w:id="36" w:name="_GoBack"/>
      <w:r>
        <w:rPr>
          <w:rFonts w:hint="default" w:ascii="Times New Roman" w:hAnsi="Times New Roman" w:cs="Times New Roman"/>
          <w:b w:val="0"/>
          <w:bCs w:val="0"/>
          <w:i w:val="0"/>
          <w:iCs w:val="0"/>
          <w:caps w:val="0"/>
          <w:color w:val="000000" w:themeColor="text1"/>
          <w:spacing w:val="0"/>
          <w:sz w:val="28"/>
          <w:szCs w:val="28"/>
          <w:u w:val="none"/>
          <w:shd w:val="clear" w:fill="FFFFFF"/>
          <w14:textFill>
            <w14:solidFill>
              <w14:schemeClr w14:val="tx1"/>
            </w14:solidFill>
          </w14:textFill>
        </w:rPr>
        <w:t>13/2017/TT-BKHCN</w:t>
      </w:r>
      <w:r>
        <w:rPr>
          <w:rFonts w:hint="default" w:ascii="Times New Roman" w:hAnsi="Times New Roman" w:cs="Times New Roman"/>
          <w:b w:val="0"/>
          <w:bCs w:val="0"/>
          <w:i w:val="0"/>
          <w:iCs w:val="0"/>
          <w:caps w:val="0"/>
          <w:color w:val="000000" w:themeColor="text1"/>
          <w:spacing w:val="0"/>
          <w:sz w:val="28"/>
          <w:szCs w:val="28"/>
          <w:shd w:val="clear" w:fill="FFFFFF"/>
          <w14:textFill>
            <w14:solidFill>
              <w14:schemeClr w14:val="tx1"/>
            </w14:solidFill>
          </w14:textFill>
        </w:rPr>
        <w:t> </w:t>
      </w:r>
      <w:bookmarkEnd w:id="36"/>
      <w:r>
        <w:rPr>
          <w:rFonts w:hint="default" w:ascii="Times New Roman" w:hAnsi="Times New Roman" w:cs="Times New Roman"/>
          <w:b w:val="0"/>
          <w:bCs w:val="0"/>
          <w:i w:val="0"/>
          <w:iCs w:val="0"/>
          <w:caps w:val="0"/>
          <w:color w:val="000000" w:themeColor="text1"/>
          <w:spacing w:val="0"/>
          <w:sz w:val="28"/>
          <w:szCs w:val="28"/>
          <w:shd w:val="clear" w:fill="FFFFFF"/>
          <w14:textFill>
            <w14:solidFill>
              <w14:schemeClr w14:val="tx1"/>
            </w14:solidFill>
          </w14:textFill>
        </w:rPr>
        <w:t>ngày 06 tháng 11 năm 2017 của Bộ trưởng Bộ Khoa học và Công nghệ hướng dẫn về thành lập, tổ chức và hoạt động của Hội đồng quản lý trong tổ chức khoa học và công nghệ công lập (sau đây viết tắt là Thông tư số 13/2017/TT-BKHCN) hết hiệu lực thi hành kể từ ngày Thông tư này có hiệu lực thi hành.</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b w:val="0"/>
          <w:bCs w:val="0"/>
          <w:i w:val="0"/>
          <w:iCs w:val="0"/>
          <w:caps w:val="0"/>
          <w:color w:val="000000" w:themeColor="text1"/>
          <w:spacing w:val="0"/>
          <w:sz w:val="28"/>
          <w:szCs w:val="28"/>
          <w14:textFill>
            <w14:solidFill>
              <w14:schemeClr w14:val="tx1"/>
            </w14:solidFill>
          </w14:textFill>
        </w:rPr>
      </w:pPr>
      <w:r>
        <w:rPr>
          <w:rFonts w:hint="default" w:ascii="Times New Roman" w:hAnsi="Times New Roman" w:cs="Times New Roman"/>
          <w:b w:val="0"/>
          <w:bCs w:val="0"/>
          <w:i w:val="0"/>
          <w:iCs w:val="0"/>
          <w:caps w:val="0"/>
          <w:color w:val="000000" w:themeColor="text1"/>
          <w:spacing w:val="0"/>
          <w:sz w:val="28"/>
          <w:szCs w:val="28"/>
          <w:shd w:val="clear" w:fill="FFFFFF"/>
          <w14:textFill>
            <w14:solidFill>
              <w14:schemeClr w14:val="tx1"/>
            </w14:solidFill>
          </w14:textFill>
        </w:rPr>
        <w:t>3. Hội đồng quản lý trong tổ chức khoa học và công nghệ công lập đã thành lập theo quy định của Thông tư số </w:t>
      </w:r>
      <w:r>
        <w:rPr>
          <w:rFonts w:hint="default" w:ascii="Times New Roman" w:hAnsi="Times New Roman" w:cs="Times New Roman"/>
          <w:b w:val="0"/>
          <w:bCs w:val="0"/>
          <w:i w:val="0"/>
          <w:iCs w:val="0"/>
          <w:caps w:val="0"/>
          <w:color w:val="000000" w:themeColor="text1"/>
          <w:spacing w:val="0"/>
          <w:sz w:val="28"/>
          <w:szCs w:val="28"/>
          <w:u w:val="none"/>
          <w:shd w:val="clear" w:fill="FFFFFF"/>
          <w14:textFill>
            <w14:solidFill>
              <w14:schemeClr w14:val="tx1"/>
            </w14:solidFill>
          </w14:textFill>
        </w:rPr>
        <w:t>13/2017/TT-BKHCN</w:t>
      </w:r>
      <w:r>
        <w:rPr>
          <w:rFonts w:hint="default" w:ascii="Times New Roman" w:hAnsi="Times New Roman" w:cs="Times New Roman"/>
          <w:b w:val="0"/>
          <w:bCs w:val="0"/>
          <w:i w:val="0"/>
          <w:iCs w:val="0"/>
          <w:caps w:val="0"/>
          <w:color w:val="000000" w:themeColor="text1"/>
          <w:spacing w:val="0"/>
          <w:sz w:val="28"/>
          <w:szCs w:val="28"/>
          <w:shd w:val="clear" w:fill="FFFFFF"/>
          <w14:textFill>
            <w14:solidFill>
              <w14:schemeClr w14:val="tx1"/>
            </w14:solidFill>
          </w14:textFill>
        </w:rPr>
        <w:t> tiếp tục hoạt động đến hết nhiệm kỳ.</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8" w:firstLineChars="142"/>
        <w:jc w:val="both"/>
        <w:textAlignment w:val="auto"/>
        <w:rPr>
          <w:rFonts w:hint="default" w:ascii="Times New Roman" w:hAnsi="Times New Roman" w:cs="Times New Roman"/>
          <w:i w:val="0"/>
          <w:iCs w:val="0"/>
          <w:caps w:val="0"/>
          <w:color w:val="000000"/>
          <w:spacing w:val="0"/>
          <w:sz w:val="28"/>
          <w:szCs w:val="28"/>
        </w:rPr>
      </w:pPr>
      <w:bookmarkStart w:id="35" w:name="dieu_17"/>
      <w:r>
        <w:rPr>
          <w:rFonts w:hint="default" w:ascii="Times New Roman" w:hAnsi="Times New Roman" w:cs="Times New Roman"/>
          <w:b/>
          <w:bCs/>
          <w:i w:val="0"/>
          <w:iCs w:val="0"/>
          <w:caps w:val="0"/>
          <w:color w:val="000000"/>
          <w:spacing w:val="0"/>
          <w:sz w:val="28"/>
          <w:szCs w:val="28"/>
          <w:u w:val="none"/>
          <w:shd w:val="clear" w:fill="FFFFFF"/>
        </w:rPr>
        <w:t>Điều 17. Trách nhiệm thi hành</w:t>
      </w:r>
      <w:bookmarkEnd w:id="35"/>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i w:val="0"/>
          <w:iCs w:val="0"/>
          <w:caps w:val="0"/>
          <w:color w:val="000000"/>
          <w:spacing w:val="0"/>
          <w:sz w:val="28"/>
          <w:szCs w:val="28"/>
        </w:rPr>
      </w:pPr>
      <w:r>
        <w:rPr>
          <w:rFonts w:hint="default" w:ascii="Times New Roman" w:hAnsi="Times New Roman" w:cs="Times New Roman"/>
          <w:i w:val="0"/>
          <w:iCs w:val="0"/>
          <w:caps w:val="0"/>
          <w:color w:val="000000"/>
          <w:spacing w:val="0"/>
          <w:sz w:val="28"/>
          <w:szCs w:val="28"/>
          <w:shd w:val="clear" w:fill="FFFFFF"/>
        </w:rPr>
        <w:t>1. Các Bộ, cơ quan ngang bộ, cơ quan thuộc Chính phủ, Ủy ban nhân dân các tỉnh, thành phố trực thuộc Trung ương; Thủ trưởng các cơ quan, đơn vị, tổ chức, cá nhân liên quan chịu trách nhiệm thi hành Thông tư này.</w:t>
      </w:r>
    </w:p>
    <w:p>
      <w:pPr>
        <w:pStyle w:val="12"/>
        <w:keepNext w:val="0"/>
        <w:keepLines w:val="0"/>
        <w:pageBreakBefore w:val="0"/>
        <w:widowControl/>
        <w:suppressLineNumbers w:val="0"/>
        <w:pBdr>
          <w:left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225" w:lineRule="atLeast"/>
        <w:ind w:left="0" w:leftChars="0" w:right="0" w:firstLine="397" w:firstLineChars="142"/>
        <w:jc w:val="both"/>
        <w:textAlignment w:val="auto"/>
        <w:rPr>
          <w:rFonts w:hint="default" w:ascii="Times New Roman" w:hAnsi="Times New Roman" w:cs="Times New Roman"/>
          <w:color w:val="000000"/>
          <w:lang w:eastAsia="en-US"/>
        </w:rPr>
      </w:pPr>
      <w:r>
        <w:rPr>
          <w:rFonts w:hint="default" w:ascii="Times New Roman" w:hAnsi="Times New Roman" w:cs="Times New Roman"/>
          <w:i w:val="0"/>
          <w:iCs w:val="0"/>
          <w:caps w:val="0"/>
          <w:color w:val="000000"/>
          <w:spacing w:val="0"/>
          <w:sz w:val="28"/>
          <w:szCs w:val="28"/>
          <w:shd w:val="clear" w:fill="FFFFFF"/>
        </w:rPr>
        <w:t>2. Trong quá trình thực hiện Thông tư này, nếu có khó khăn, vướng mắc, đề nghị các cơ quan, đơn vị phản ánh bằng văn bản về Bộ Khoa học và Công nghệ để được hướng dẫn hoặc nghiên cứu, sửa đổi cho phù hợp./.</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p>
    <w:tbl>
      <w:tblPr>
        <w:tblStyle w:val="3"/>
        <w:tblW w:w="5000" w:type="pct"/>
        <w:tblInd w:w="0" w:type="dxa"/>
        <w:tblLayout w:type="autofit"/>
        <w:tblCellMar>
          <w:top w:w="0" w:type="dxa"/>
          <w:left w:w="0" w:type="dxa"/>
          <w:bottom w:w="0" w:type="dxa"/>
          <w:right w:w="0" w:type="dxa"/>
        </w:tblCellMar>
      </w:tblPr>
      <w:tblGrid>
        <w:gridCol w:w="5096"/>
        <w:gridCol w:w="4192"/>
      </w:tblGrid>
      <w:tr>
        <w:tblPrEx>
          <w:tblCellMar>
            <w:top w:w="0" w:type="dxa"/>
            <w:left w:w="0" w:type="dxa"/>
            <w:bottom w:w="0" w:type="dxa"/>
            <w:right w:w="0" w:type="dxa"/>
          </w:tblCellMar>
        </w:tblPrEx>
        <w:tc>
          <w:tcPr>
            <w:tcW w:w="2743" w:type="pct"/>
            <w:tcBorders>
              <w:top w:val="nil"/>
              <w:left w:val="nil"/>
              <w:bottom w:val="nil"/>
              <w:right w:val="nil"/>
            </w:tcBorders>
            <w:noWrap w:val="0"/>
            <w:tcMar>
              <w:top w:w="0" w:type="dxa"/>
              <w:left w:w="108" w:type="dxa"/>
              <w:bottom w:w="0" w:type="dxa"/>
              <w:right w:w="108" w:type="dxa"/>
            </w:tcMar>
            <w:vAlign w:val="top"/>
          </w:tcPr>
          <w:p>
            <w:pPr>
              <w:ind w:left="-90"/>
              <w:jc w:val="both"/>
              <w:rPr>
                <w:rFonts w:eastAsia="Times New Roman"/>
                <w:b/>
                <w:i/>
                <w:sz w:val="22"/>
                <w:szCs w:val="28"/>
                <w:lang w:val="nl-NL"/>
              </w:rPr>
            </w:pPr>
            <w:r>
              <w:rPr>
                <w:rFonts w:eastAsia="Times New Roman"/>
                <w:b/>
                <w:i/>
                <w:sz w:val="22"/>
                <w:szCs w:val="28"/>
                <w:lang w:val="nl-NL"/>
              </w:rPr>
              <w:t>Nơi nhận:</w:t>
            </w:r>
          </w:p>
          <w:p>
            <w:pPr>
              <w:ind w:left="-90"/>
              <w:jc w:val="both"/>
              <w:rPr>
                <w:rFonts w:eastAsia="Times New Roman"/>
                <w:sz w:val="22"/>
                <w:szCs w:val="22"/>
                <w:lang w:val="nl-NL"/>
              </w:rPr>
            </w:pPr>
            <w:r>
              <w:rPr>
                <w:rFonts w:eastAsia="Times New Roman"/>
                <w:sz w:val="22"/>
                <w:szCs w:val="22"/>
                <w:lang w:val="nl-NL"/>
              </w:rPr>
              <w:t>- Thủ tướng Chính phủ (để b/c);</w:t>
            </w:r>
          </w:p>
          <w:p>
            <w:pPr>
              <w:ind w:left="-90"/>
              <w:jc w:val="both"/>
              <w:rPr>
                <w:rFonts w:eastAsia="Times New Roman"/>
                <w:sz w:val="22"/>
                <w:szCs w:val="22"/>
                <w:lang w:val="nl-NL"/>
              </w:rPr>
            </w:pPr>
            <w:r>
              <w:rPr>
                <w:rFonts w:eastAsia="Times New Roman"/>
                <w:sz w:val="22"/>
                <w:szCs w:val="22"/>
                <w:lang w:val="nl-NL"/>
              </w:rPr>
              <w:t>- Các Phó Thủ tướng Chính phủ (để b/c);</w:t>
            </w:r>
          </w:p>
          <w:p>
            <w:pPr>
              <w:ind w:left="-90"/>
              <w:jc w:val="both"/>
              <w:rPr>
                <w:rFonts w:eastAsia="Times New Roman"/>
                <w:sz w:val="22"/>
                <w:szCs w:val="22"/>
                <w:lang w:val="nl-NL"/>
              </w:rPr>
            </w:pPr>
            <w:r>
              <w:rPr>
                <w:rFonts w:eastAsia="Times New Roman"/>
                <w:sz w:val="22"/>
                <w:szCs w:val="22"/>
                <w:lang w:val="nl-NL"/>
              </w:rPr>
              <w:t>- Các Bộ, CQ ngang Bộ, CQ thuộc Chính phủ;</w:t>
            </w:r>
          </w:p>
          <w:p>
            <w:pPr>
              <w:ind w:left="-90"/>
              <w:jc w:val="both"/>
              <w:rPr>
                <w:rFonts w:eastAsia="Times New Roman"/>
                <w:sz w:val="22"/>
                <w:szCs w:val="22"/>
                <w:lang w:val="nl-NL"/>
              </w:rPr>
            </w:pPr>
            <w:r>
              <w:rPr>
                <w:rFonts w:eastAsia="Times New Roman"/>
                <w:sz w:val="22"/>
                <w:szCs w:val="22"/>
                <w:lang w:val="nl-NL"/>
              </w:rPr>
              <w:t>- UBND các tỉnh, TP trực thuộc TW;</w:t>
            </w:r>
          </w:p>
          <w:p>
            <w:pPr>
              <w:ind w:left="-90"/>
              <w:jc w:val="both"/>
              <w:rPr>
                <w:rFonts w:eastAsia="Times New Roman"/>
                <w:sz w:val="22"/>
                <w:szCs w:val="22"/>
                <w:lang w:val="nl-NL"/>
              </w:rPr>
            </w:pPr>
            <w:r>
              <w:rPr>
                <w:rFonts w:eastAsia="Times New Roman"/>
                <w:sz w:val="22"/>
                <w:szCs w:val="22"/>
                <w:lang w:val="nl-NL"/>
              </w:rPr>
              <w:t>- Văn phòng Tổng Bí thư;</w:t>
            </w:r>
          </w:p>
          <w:p>
            <w:pPr>
              <w:ind w:left="-90"/>
              <w:jc w:val="both"/>
              <w:rPr>
                <w:rFonts w:eastAsia="Times New Roman"/>
                <w:sz w:val="22"/>
                <w:szCs w:val="22"/>
                <w:lang w:val="nl-NL"/>
              </w:rPr>
            </w:pPr>
            <w:r>
              <w:rPr>
                <w:rFonts w:eastAsia="Times New Roman"/>
                <w:sz w:val="22"/>
                <w:szCs w:val="22"/>
                <w:lang w:val="nl-NL"/>
              </w:rPr>
              <w:t>- Văn phòng Quốc hội;</w:t>
            </w:r>
          </w:p>
          <w:p>
            <w:pPr>
              <w:ind w:left="-90"/>
              <w:jc w:val="both"/>
              <w:rPr>
                <w:rFonts w:eastAsia="Times New Roman"/>
                <w:sz w:val="22"/>
                <w:szCs w:val="22"/>
                <w:lang w:val="nl-NL"/>
              </w:rPr>
            </w:pPr>
            <w:r>
              <w:rPr>
                <w:rFonts w:eastAsia="Times New Roman"/>
                <w:sz w:val="22"/>
                <w:szCs w:val="22"/>
                <w:lang w:val="nl-NL"/>
              </w:rPr>
              <w:t>- Văn phòng Chủ tịch nước;</w:t>
            </w:r>
          </w:p>
          <w:p>
            <w:pPr>
              <w:ind w:left="-90"/>
              <w:jc w:val="both"/>
              <w:rPr>
                <w:rFonts w:eastAsia="Times New Roman"/>
                <w:sz w:val="22"/>
                <w:szCs w:val="22"/>
                <w:lang w:val="nl-NL"/>
              </w:rPr>
            </w:pPr>
            <w:r>
              <w:rPr>
                <w:rFonts w:eastAsia="Times New Roman"/>
                <w:sz w:val="22"/>
                <w:szCs w:val="22"/>
                <w:lang w:val="nl-NL"/>
              </w:rPr>
              <w:t>- Viện Kiểm sát nhân dân tối cao;</w:t>
            </w:r>
          </w:p>
          <w:p>
            <w:pPr>
              <w:ind w:left="-90"/>
              <w:jc w:val="both"/>
              <w:rPr>
                <w:rFonts w:eastAsia="Times New Roman"/>
                <w:sz w:val="22"/>
                <w:szCs w:val="22"/>
                <w:lang w:val="nl-NL"/>
              </w:rPr>
            </w:pPr>
            <w:r>
              <w:rPr>
                <w:rFonts w:eastAsia="Times New Roman"/>
                <w:sz w:val="22"/>
                <w:szCs w:val="22"/>
                <w:lang w:val="nl-NL"/>
              </w:rPr>
              <w:t>- Toà án nhân dân tối cao;</w:t>
            </w:r>
          </w:p>
          <w:p>
            <w:pPr>
              <w:ind w:left="-90"/>
              <w:jc w:val="both"/>
              <w:rPr>
                <w:rFonts w:eastAsia="Times New Roman"/>
                <w:sz w:val="22"/>
                <w:szCs w:val="22"/>
                <w:lang w:val="nl-NL"/>
              </w:rPr>
            </w:pPr>
            <w:r>
              <w:rPr>
                <w:rFonts w:eastAsia="Times New Roman"/>
                <w:sz w:val="22"/>
                <w:szCs w:val="22"/>
                <w:lang w:val="nl-NL"/>
              </w:rPr>
              <w:t>- Cục Kiểm tra văn bản (Bộ Tư pháp);</w:t>
            </w:r>
          </w:p>
          <w:p>
            <w:pPr>
              <w:ind w:left="-90"/>
              <w:jc w:val="both"/>
              <w:rPr>
                <w:rFonts w:eastAsia="Times New Roman"/>
                <w:sz w:val="22"/>
                <w:szCs w:val="22"/>
                <w:lang w:val="nl-NL"/>
              </w:rPr>
            </w:pPr>
            <w:r>
              <w:rPr>
                <w:rFonts w:eastAsia="Times New Roman"/>
                <w:sz w:val="22"/>
                <w:szCs w:val="22"/>
                <w:lang w:val="nl-NL"/>
              </w:rPr>
              <w:t>- Công báo;</w:t>
            </w:r>
          </w:p>
          <w:p>
            <w:pPr>
              <w:ind w:left="-90"/>
              <w:jc w:val="both"/>
              <w:rPr>
                <w:rFonts w:eastAsia="Times New Roman"/>
                <w:sz w:val="22"/>
                <w:szCs w:val="22"/>
                <w:lang w:val="nl-NL"/>
              </w:rPr>
            </w:pPr>
            <w:r>
              <w:rPr>
                <w:rFonts w:eastAsia="Times New Roman"/>
                <w:sz w:val="22"/>
                <w:szCs w:val="22"/>
                <w:lang w:val="nl-NL"/>
              </w:rPr>
              <w:t>- Lưu: VT, PC</w:t>
            </w:r>
            <w:r>
              <w:rPr>
                <w:rFonts w:hint="default" w:eastAsia="Times New Roman"/>
                <w:sz w:val="22"/>
                <w:szCs w:val="22"/>
                <w:lang w:val="en-US"/>
              </w:rPr>
              <w:t xml:space="preserve">, </w:t>
            </w:r>
            <w:r>
              <w:rPr>
                <w:rFonts w:eastAsia="Times New Roman"/>
                <w:sz w:val="22"/>
                <w:szCs w:val="22"/>
                <w:lang w:val="nl-NL"/>
              </w:rPr>
              <w:t>TĐC.</w:t>
            </w:r>
          </w:p>
        </w:tc>
        <w:tc>
          <w:tcPr>
            <w:tcW w:w="2256" w:type="pct"/>
            <w:tcBorders>
              <w:top w:val="nil"/>
              <w:left w:val="nil"/>
              <w:bottom w:val="nil"/>
              <w:right w:val="nil"/>
            </w:tcBorders>
            <w:noWrap w:val="0"/>
            <w:tcMar>
              <w:top w:w="0" w:type="dxa"/>
              <w:left w:w="108" w:type="dxa"/>
              <w:bottom w:w="0" w:type="dxa"/>
              <w:right w:w="108" w:type="dxa"/>
            </w:tcMar>
            <w:vAlign w:val="top"/>
          </w:tcPr>
          <w:p>
            <w:pPr>
              <w:ind w:left="0" w:leftChars="0" w:firstLine="200" w:firstLineChars="0"/>
              <w:jc w:val="center"/>
              <w:rPr>
                <w:rFonts w:eastAsia="Times New Roman"/>
                <w:b/>
                <w:bCs/>
                <w:sz w:val="28"/>
                <w:szCs w:val="32"/>
                <w:lang w:val="nl-NL"/>
              </w:rPr>
            </w:pPr>
            <w:r>
              <w:rPr>
                <w:rFonts w:hint="default" w:eastAsia="Times New Roman"/>
                <w:b/>
                <w:bCs/>
                <w:sz w:val="28"/>
                <w:szCs w:val="32"/>
                <w:lang w:val="en-US"/>
              </w:rPr>
              <w:t xml:space="preserve">KT. </w:t>
            </w:r>
            <w:r>
              <w:rPr>
                <w:rFonts w:eastAsia="Times New Roman"/>
                <w:b/>
                <w:bCs/>
                <w:sz w:val="28"/>
                <w:szCs w:val="32"/>
                <w:lang w:val="nl-NL"/>
              </w:rPr>
              <w:t>BỘ TRƯỞNG</w:t>
            </w:r>
          </w:p>
          <w:p>
            <w:pPr>
              <w:ind w:left="0" w:leftChars="0" w:firstLine="200" w:firstLineChars="0"/>
              <w:jc w:val="center"/>
              <w:rPr>
                <w:rFonts w:hint="default" w:eastAsia="Times New Roman"/>
                <w:b/>
                <w:bCs/>
                <w:sz w:val="28"/>
                <w:szCs w:val="32"/>
                <w:lang w:val="en-US"/>
              </w:rPr>
            </w:pPr>
            <w:r>
              <w:rPr>
                <w:rFonts w:hint="default" w:eastAsia="Times New Roman"/>
                <w:b/>
                <w:bCs/>
                <w:sz w:val="28"/>
                <w:szCs w:val="32"/>
                <w:lang w:val="en-US"/>
              </w:rPr>
              <w:t>THỨ TRƯỞNG</w:t>
            </w: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sz w:val="28"/>
                <w:szCs w:val="28"/>
                <w:lang w:val="en-US"/>
              </w:rPr>
            </w:pPr>
            <w:r>
              <w:rPr>
                <w:rFonts w:hint="default" w:eastAsia="Times New Roman"/>
                <w:b/>
                <w:bCs/>
                <w:sz w:val="28"/>
                <w:szCs w:val="32"/>
                <w:lang w:val="en-US"/>
              </w:rPr>
              <w:t>Trần Văn Tùng</w:t>
            </w:r>
          </w:p>
        </w:tc>
      </w:tr>
    </w:tbl>
    <w:p>
      <w:pPr>
        <w:rPr>
          <w:sz w:val="28"/>
          <w:szCs w:val="28"/>
          <w:lang w:val="nl-NL"/>
        </w:rPr>
      </w:pPr>
    </w:p>
    <w:sectPr>
      <w:headerReference r:id="rId5" w:type="first"/>
      <w:footerReference r:id="rId8" w:type="first"/>
      <w:headerReference r:id="rId3" w:type="default"/>
      <w:footerReference r:id="rId6" w:type="default"/>
      <w:headerReference r:id="rId4" w:type="even"/>
      <w:footerReference r:id="rId7" w:type="even"/>
      <w:pgSz w:w="11907" w:h="16840"/>
      <w:pgMar w:top="1134" w:right="1134" w:bottom="1134" w:left="1701"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nTime">
    <w:altName w:val="Segoe Print"/>
    <w:panose1 w:val="020B72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1080"/>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2</w:t>
    </w:r>
    <w:r>
      <w:rPr>
        <w:sz w:val="26"/>
        <w:szCs w:val="26"/>
      </w:rPr>
      <w:fldChar w:fldCharType="end"/>
    </w:r>
  </w:p>
  <w:p>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hyphenationZone w:val="360"/>
  <w:drawingGridHorizontalSpacing w:val="10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0FCA"/>
    <w:rsid w:val="00011658"/>
    <w:rsid w:val="000429AA"/>
    <w:rsid w:val="0005540F"/>
    <w:rsid w:val="000575A4"/>
    <w:rsid w:val="000637E9"/>
    <w:rsid w:val="00096439"/>
    <w:rsid w:val="000A7DF3"/>
    <w:rsid w:val="000E35E5"/>
    <w:rsid w:val="000E6264"/>
    <w:rsid w:val="000F54C7"/>
    <w:rsid w:val="000F6D77"/>
    <w:rsid w:val="00100D91"/>
    <w:rsid w:val="00113405"/>
    <w:rsid w:val="0012029B"/>
    <w:rsid w:val="001216F5"/>
    <w:rsid w:val="0012211E"/>
    <w:rsid w:val="00130430"/>
    <w:rsid w:val="0013250E"/>
    <w:rsid w:val="00162045"/>
    <w:rsid w:val="00170FCA"/>
    <w:rsid w:val="001726BB"/>
    <w:rsid w:val="00174EAA"/>
    <w:rsid w:val="00175389"/>
    <w:rsid w:val="001A2C37"/>
    <w:rsid w:val="001A5F15"/>
    <w:rsid w:val="001A7DDF"/>
    <w:rsid w:val="001B26EB"/>
    <w:rsid w:val="001C6C7C"/>
    <w:rsid w:val="001D6089"/>
    <w:rsid w:val="001F3F99"/>
    <w:rsid w:val="00237911"/>
    <w:rsid w:val="00250BAE"/>
    <w:rsid w:val="002560C1"/>
    <w:rsid w:val="00284F05"/>
    <w:rsid w:val="00285CF9"/>
    <w:rsid w:val="00297BC1"/>
    <w:rsid w:val="002B4689"/>
    <w:rsid w:val="002D34A1"/>
    <w:rsid w:val="002E14A4"/>
    <w:rsid w:val="002E6785"/>
    <w:rsid w:val="002E7497"/>
    <w:rsid w:val="002F01C9"/>
    <w:rsid w:val="003040BF"/>
    <w:rsid w:val="00314E86"/>
    <w:rsid w:val="00317374"/>
    <w:rsid w:val="00317D51"/>
    <w:rsid w:val="0034030A"/>
    <w:rsid w:val="003412E4"/>
    <w:rsid w:val="00367893"/>
    <w:rsid w:val="003C3D3D"/>
    <w:rsid w:val="0043378E"/>
    <w:rsid w:val="004412BC"/>
    <w:rsid w:val="00444317"/>
    <w:rsid w:val="00466750"/>
    <w:rsid w:val="00474083"/>
    <w:rsid w:val="004823F4"/>
    <w:rsid w:val="004951F9"/>
    <w:rsid w:val="004A5459"/>
    <w:rsid w:val="004B6C7A"/>
    <w:rsid w:val="004C2580"/>
    <w:rsid w:val="004C2B02"/>
    <w:rsid w:val="004C3384"/>
    <w:rsid w:val="004F41EE"/>
    <w:rsid w:val="00513280"/>
    <w:rsid w:val="00521098"/>
    <w:rsid w:val="00554F5D"/>
    <w:rsid w:val="00581190"/>
    <w:rsid w:val="00582FDD"/>
    <w:rsid w:val="005877D3"/>
    <w:rsid w:val="005C47AA"/>
    <w:rsid w:val="005C651A"/>
    <w:rsid w:val="005D1707"/>
    <w:rsid w:val="005F5139"/>
    <w:rsid w:val="00614359"/>
    <w:rsid w:val="006175C6"/>
    <w:rsid w:val="006252B3"/>
    <w:rsid w:val="00640082"/>
    <w:rsid w:val="00646B93"/>
    <w:rsid w:val="00650E77"/>
    <w:rsid w:val="00661399"/>
    <w:rsid w:val="006707B5"/>
    <w:rsid w:val="00685A38"/>
    <w:rsid w:val="006C0455"/>
    <w:rsid w:val="006C1946"/>
    <w:rsid w:val="006F232C"/>
    <w:rsid w:val="006F7F31"/>
    <w:rsid w:val="00701103"/>
    <w:rsid w:val="00751972"/>
    <w:rsid w:val="0075480F"/>
    <w:rsid w:val="0075660F"/>
    <w:rsid w:val="00765C63"/>
    <w:rsid w:val="00770D9E"/>
    <w:rsid w:val="00793AEC"/>
    <w:rsid w:val="007C229C"/>
    <w:rsid w:val="007C76B7"/>
    <w:rsid w:val="007E1C0C"/>
    <w:rsid w:val="007F3413"/>
    <w:rsid w:val="00801FDD"/>
    <w:rsid w:val="008024AF"/>
    <w:rsid w:val="00810DD8"/>
    <w:rsid w:val="00836CC9"/>
    <w:rsid w:val="00837A33"/>
    <w:rsid w:val="00841E6A"/>
    <w:rsid w:val="00884A28"/>
    <w:rsid w:val="008A0186"/>
    <w:rsid w:val="008B3701"/>
    <w:rsid w:val="008B4CBA"/>
    <w:rsid w:val="008F6F67"/>
    <w:rsid w:val="009017B3"/>
    <w:rsid w:val="00931A0F"/>
    <w:rsid w:val="0094666B"/>
    <w:rsid w:val="009800B4"/>
    <w:rsid w:val="009A20B3"/>
    <w:rsid w:val="009A2281"/>
    <w:rsid w:val="00A00EC9"/>
    <w:rsid w:val="00A014A7"/>
    <w:rsid w:val="00A118B1"/>
    <w:rsid w:val="00A3346D"/>
    <w:rsid w:val="00A424CE"/>
    <w:rsid w:val="00A50FC2"/>
    <w:rsid w:val="00A65BB8"/>
    <w:rsid w:val="00A92015"/>
    <w:rsid w:val="00AA21A6"/>
    <w:rsid w:val="00AB0286"/>
    <w:rsid w:val="00AB079C"/>
    <w:rsid w:val="00AB236F"/>
    <w:rsid w:val="00AB57B3"/>
    <w:rsid w:val="00AC273A"/>
    <w:rsid w:val="00AC640E"/>
    <w:rsid w:val="00AF6CB4"/>
    <w:rsid w:val="00B024A1"/>
    <w:rsid w:val="00B224C3"/>
    <w:rsid w:val="00B30D80"/>
    <w:rsid w:val="00B47AFE"/>
    <w:rsid w:val="00B50D9E"/>
    <w:rsid w:val="00B55B55"/>
    <w:rsid w:val="00B57549"/>
    <w:rsid w:val="00B656C0"/>
    <w:rsid w:val="00B72090"/>
    <w:rsid w:val="00B7607D"/>
    <w:rsid w:val="00B776A4"/>
    <w:rsid w:val="00B8308E"/>
    <w:rsid w:val="00B97E27"/>
    <w:rsid w:val="00BA024F"/>
    <w:rsid w:val="00BE4031"/>
    <w:rsid w:val="00BF2289"/>
    <w:rsid w:val="00C27C79"/>
    <w:rsid w:val="00C339E4"/>
    <w:rsid w:val="00C60FB8"/>
    <w:rsid w:val="00C6529F"/>
    <w:rsid w:val="00C86301"/>
    <w:rsid w:val="00C86E52"/>
    <w:rsid w:val="00C931B6"/>
    <w:rsid w:val="00CB05D8"/>
    <w:rsid w:val="00CB3FCE"/>
    <w:rsid w:val="00D377FD"/>
    <w:rsid w:val="00D5511D"/>
    <w:rsid w:val="00D5638A"/>
    <w:rsid w:val="00D63D0C"/>
    <w:rsid w:val="00D642F9"/>
    <w:rsid w:val="00D718B7"/>
    <w:rsid w:val="00D84885"/>
    <w:rsid w:val="00DA74F4"/>
    <w:rsid w:val="00DB223E"/>
    <w:rsid w:val="00DE6B84"/>
    <w:rsid w:val="00DF45AA"/>
    <w:rsid w:val="00DF4B0C"/>
    <w:rsid w:val="00E02848"/>
    <w:rsid w:val="00E1615A"/>
    <w:rsid w:val="00E25B93"/>
    <w:rsid w:val="00E367B8"/>
    <w:rsid w:val="00E44284"/>
    <w:rsid w:val="00E52D3D"/>
    <w:rsid w:val="00E60C42"/>
    <w:rsid w:val="00E65F99"/>
    <w:rsid w:val="00E73D6D"/>
    <w:rsid w:val="00E863C7"/>
    <w:rsid w:val="00EA3D96"/>
    <w:rsid w:val="00EA7603"/>
    <w:rsid w:val="00EB3585"/>
    <w:rsid w:val="00EC0B6A"/>
    <w:rsid w:val="00EF25CD"/>
    <w:rsid w:val="00F02A11"/>
    <w:rsid w:val="00F03474"/>
    <w:rsid w:val="00F11CEB"/>
    <w:rsid w:val="00F57303"/>
    <w:rsid w:val="00F61FDE"/>
    <w:rsid w:val="00F652AA"/>
    <w:rsid w:val="00F6657A"/>
    <w:rsid w:val="00F86813"/>
    <w:rsid w:val="00F869C2"/>
    <w:rsid w:val="00F90C44"/>
    <w:rsid w:val="00F923FE"/>
    <w:rsid w:val="00F92BDF"/>
    <w:rsid w:val="00F93FBF"/>
    <w:rsid w:val="00FC378A"/>
    <w:rsid w:val="00FF470A"/>
    <w:rsid w:val="02671A0C"/>
    <w:rsid w:val="4AFF3EEE"/>
    <w:rsid w:val="537B3271"/>
    <w:rsid w:val="56812378"/>
    <w:rsid w:val="63B412A5"/>
    <w:rsid w:val="73C00E9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rPr>
      <w:rFonts w:ascii="Tahoma" w:hAnsi="Tahoma"/>
      <w:sz w:val="16"/>
      <w:szCs w:val="16"/>
    </w:rPr>
  </w:style>
  <w:style w:type="paragraph" w:styleId="5">
    <w:name w:val="Body Text Indent"/>
    <w:basedOn w:val="1"/>
    <w:link w:val="21"/>
    <w:unhideWhenUsed/>
    <w:uiPriority w:val="99"/>
    <w:pPr>
      <w:spacing w:before="120" w:after="240" w:line="288" w:lineRule="auto"/>
      <w:ind w:firstLine="425"/>
      <w:jc w:val="both"/>
    </w:pPr>
    <w:rPr>
      <w:rFonts w:eastAsia="Times New Roman"/>
      <w:color w:val="000000"/>
      <w:sz w:val="28"/>
      <w:szCs w:val="28"/>
      <w:lang w:val="nl-NL"/>
    </w:rPr>
  </w:style>
  <w:style w:type="character" w:styleId="6">
    <w:name w:val="annotation reference"/>
    <w:semiHidden/>
    <w:unhideWhenUsed/>
    <w:qFormat/>
    <w:uiPriority w:val="99"/>
    <w:rPr>
      <w:sz w:val="16"/>
      <w:szCs w:val="16"/>
    </w:rPr>
  </w:style>
  <w:style w:type="paragraph" w:styleId="7">
    <w:name w:val="annotation text"/>
    <w:basedOn w:val="1"/>
    <w:link w:val="23"/>
    <w:unhideWhenUsed/>
    <w:uiPriority w:val="99"/>
  </w:style>
  <w:style w:type="paragraph" w:styleId="8">
    <w:name w:val="annotation subject"/>
    <w:basedOn w:val="7"/>
    <w:next w:val="7"/>
    <w:link w:val="24"/>
    <w:semiHidden/>
    <w:unhideWhenUsed/>
    <w:qFormat/>
    <w:uiPriority w:val="99"/>
    <w:rPr>
      <w:b/>
      <w:bCs/>
    </w:rPr>
  </w:style>
  <w:style w:type="paragraph" w:styleId="9">
    <w:name w:val="footer"/>
    <w:basedOn w:val="1"/>
    <w:link w:val="20"/>
    <w:unhideWhenUsed/>
    <w:qFormat/>
    <w:uiPriority w:val="99"/>
    <w:pPr>
      <w:tabs>
        <w:tab w:val="center" w:pos="4680"/>
        <w:tab w:val="right" w:pos="9360"/>
      </w:tabs>
    </w:pPr>
  </w:style>
  <w:style w:type="paragraph" w:styleId="10">
    <w:name w:val="header"/>
    <w:basedOn w:val="1"/>
    <w:link w:val="19"/>
    <w:unhideWhenUsed/>
    <w:qFormat/>
    <w:uiPriority w:val="99"/>
    <w:pPr>
      <w:tabs>
        <w:tab w:val="center" w:pos="4680"/>
        <w:tab w:val="right" w:pos="9360"/>
      </w:tabs>
    </w:pPr>
  </w:style>
  <w:style w:type="character" w:styleId="11">
    <w:name w:val="Hyperlink"/>
    <w:semiHidden/>
    <w:unhideWhenUsed/>
    <w:qFormat/>
    <w:uiPriority w:val="99"/>
    <w:rPr>
      <w:color w:val="0000FF"/>
      <w:u w:val="single"/>
    </w:rPr>
  </w:style>
  <w:style w:type="paragraph" w:styleId="12">
    <w:name w:val="Normal (Web)"/>
    <w:basedOn w:val="1"/>
    <w:semiHidden/>
    <w:unhideWhenUsed/>
    <w:qFormat/>
    <w:uiPriority w:val="99"/>
    <w:pPr>
      <w:spacing w:before="100" w:beforeAutospacing="1" w:after="100" w:afterAutospacing="1"/>
    </w:pPr>
    <w:rPr>
      <w:rFonts w:eastAsia="Times New Roman"/>
      <w:sz w:val="24"/>
      <w:szCs w:val="24"/>
    </w:rPr>
  </w:style>
  <w:style w:type="table" w:styleId="13">
    <w:name w:val="Table Grid"/>
    <w:basedOn w:val="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4">
    <w:name w:val="Balloon Text Char"/>
    <w:link w:val="4"/>
    <w:semiHidden/>
    <w:qFormat/>
    <w:uiPriority w:val="99"/>
    <w:rPr>
      <w:rFonts w:ascii="Tahoma" w:hAnsi="Tahoma" w:cs="Tahoma"/>
      <w:sz w:val="16"/>
      <w:szCs w:val="16"/>
    </w:rPr>
  </w:style>
  <w:style w:type="paragraph" w:customStyle="1" w:styleId="15">
    <w:name w:val="normal-p"/>
    <w:basedOn w:val="1"/>
    <w:qFormat/>
    <w:uiPriority w:val="0"/>
    <w:rPr>
      <w:rFonts w:eastAsia="Times New Roman"/>
    </w:rPr>
  </w:style>
  <w:style w:type="paragraph" w:customStyle="1" w:styleId="16">
    <w:name w:val="title-p"/>
    <w:basedOn w:val="1"/>
    <w:qFormat/>
    <w:uiPriority w:val="0"/>
    <w:pPr>
      <w:jc w:val="center"/>
    </w:pPr>
    <w:rPr>
      <w:rFonts w:eastAsia="Times New Roman"/>
    </w:rPr>
  </w:style>
  <w:style w:type="character" w:customStyle="1" w:styleId="17">
    <w:name w:val="title-h1"/>
    <w:qFormat/>
    <w:uiPriority w:val="0"/>
    <w:rPr>
      <w:rFonts w:hint="default" w:ascii="Times New Roman" w:hAnsi="Times New Roman" w:cs="Times New Roman"/>
      <w:b/>
      <w:bCs/>
      <w:sz w:val="32"/>
      <w:szCs w:val="32"/>
    </w:rPr>
  </w:style>
  <w:style w:type="character" w:customStyle="1" w:styleId="18">
    <w:name w:val="normal-h1"/>
    <w:qFormat/>
    <w:uiPriority w:val="0"/>
    <w:rPr>
      <w:rFonts w:hint="default" w:ascii=".VnTime" w:hAnsi=".VnTime"/>
      <w:sz w:val="28"/>
      <w:szCs w:val="28"/>
    </w:rPr>
  </w:style>
  <w:style w:type="character" w:customStyle="1" w:styleId="19">
    <w:name w:val="Header Char"/>
    <w:basedOn w:val="2"/>
    <w:link w:val="10"/>
    <w:qFormat/>
    <w:uiPriority w:val="99"/>
  </w:style>
  <w:style w:type="character" w:customStyle="1" w:styleId="20">
    <w:name w:val="Footer Char"/>
    <w:basedOn w:val="2"/>
    <w:link w:val="9"/>
    <w:qFormat/>
    <w:uiPriority w:val="99"/>
  </w:style>
  <w:style w:type="character" w:customStyle="1" w:styleId="21">
    <w:name w:val="Body Text Indent Char"/>
    <w:link w:val="5"/>
    <w:qFormat/>
    <w:uiPriority w:val="99"/>
    <w:rPr>
      <w:rFonts w:eastAsia="Times New Roman"/>
      <w:color w:val="000000"/>
      <w:sz w:val="28"/>
      <w:szCs w:val="28"/>
      <w:lang w:val="nl-NL"/>
    </w:rPr>
  </w:style>
  <w:style w:type="paragraph" w:customStyle="1" w:styleId="22">
    <w:name w:val="_Style 21"/>
    <w:hidden/>
    <w:qFormat/>
    <w:uiPriority w:val="71"/>
    <w:rPr>
      <w:rFonts w:ascii="Times New Roman" w:hAnsi="Times New Roman" w:eastAsia="SimSun" w:cs="Times New Roman"/>
      <w:lang w:val="en-US" w:eastAsia="en-US" w:bidi="ar-SA"/>
    </w:rPr>
  </w:style>
  <w:style w:type="character" w:customStyle="1" w:styleId="23">
    <w:name w:val="Comment Text Char"/>
    <w:basedOn w:val="2"/>
    <w:link w:val="7"/>
    <w:qFormat/>
    <w:uiPriority w:val="99"/>
  </w:style>
  <w:style w:type="character" w:customStyle="1" w:styleId="24">
    <w:name w:val="Comment Subject Char"/>
    <w:link w:val="8"/>
    <w:semiHidden/>
    <w:qFormat/>
    <w:uiPriority w:val="99"/>
    <w:rPr>
      <w:b/>
      <w:bCs/>
    </w:r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header" Target="header1.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settings" Target="settings.xml"/><Relationship Id="rId6" Type="http://schemas.openxmlformats.org/officeDocument/2006/relationships/footer" Target="footer1.xml"/><Relationship Id="rId11" Type="http://schemas.openxmlformats.org/officeDocument/2006/relationships/fontTable" Target="fontTable.xml"/><Relationship Id="rId1" Type="http://schemas.openxmlformats.org/officeDocument/2006/relationships/styles" Target="styles.xml"/><Relationship Id="rId5" Type="http://schemas.openxmlformats.org/officeDocument/2006/relationships/header" Target="header3.xml"/><Relationship Id="rId10" Type="http://schemas.openxmlformats.org/officeDocument/2006/relationships/customXml" Target="../customXml/item1.xml"/><Relationship Id="rId9" Type="http://schemas.openxmlformats.org/officeDocument/2006/relationships/theme" Target="theme/theme1.xml"/><Relationship Id="rId4"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CADC92-AF7F-48DC-8D59-307908F1A18A}"/>
</file>

<file path=customXml/itemProps3.xml><?xml version="1.0" encoding="utf-8"?>
<ds:datastoreItem xmlns:ds="http://schemas.openxmlformats.org/officeDocument/2006/customXml" ds:itemID="{2B3CFB76-C129-42CB-86D6-5D1B70DE8A90}"/>
</file>

<file path=customXml/itemProps4.xml><?xml version="1.0" encoding="utf-8"?>
<ds:datastoreItem xmlns:ds="http://schemas.openxmlformats.org/officeDocument/2006/customXml" ds:itemID="{5F1D19CB-8CB4-4345-A646-3C4EDDEB71B0}"/>
</file>

<file path=docProps/app.xml><?xml version="1.0" encoding="utf-8"?>
<Properties xmlns="http://schemas.openxmlformats.org/officeDocument/2006/extended-properties" xmlns:vt="http://schemas.openxmlformats.org/officeDocument/2006/docPropsVTypes">
  <Pages>2</Pages>
  <Words>486</Words>
  <Characters>2773</Characters>
  <Lines>23</Lines>
  <Paragraphs>6</Paragraphs>
  <TotalTime>19</TotalTime>
  <ScaleCrop>false</ScaleCrop>
  <LinksUpToDate>false</LinksUpToDate>
  <CharactersWithSpaces>3253</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Đặng Linh</dc:creator>
  <cp:lastModifiedBy>Đặng Linh</cp:lastModifiedBy>
  <cp:revision>1</cp:revision>
  <cp:lastPrinted>2023-04-24T08:02:00Z</cp:lastPrinted>
  <dcterms:created xsi:type="dcterms:W3CDTF">2023-04-24T06:12:00Z</dcterms:created>
  <dcterms:modified xsi:type="dcterms:W3CDTF">2023-05-10T10:01:34Z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43704B19E4354C818F1E33B1C1721747</vt:lpwstr>
  </property>
</Properties>
</file>