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jc w:val="center"/>
        <w:tblLayout w:type="autofit"/>
        <w:tblCellMar>
          <w:top w:w="0" w:type="dxa"/>
          <w:left w:w="108" w:type="dxa"/>
          <w:bottom w:w="0" w:type="dxa"/>
          <w:right w:w="108" w:type="dxa"/>
        </w:tblCellMar>
      </w:tblPr>
      <w:tblGrid>
        <w:gridCol w:w="3936"/>
        <w:gridCol w:w="5352"/>
      </w:tblGrid>
      <w:tr>
        <w:tblPrEx>
          <w:tblCellMar>
            <w:top w:w="0" w:type="dxa"/>
            <w:left w:w="108" w:type="dxa"/>
            <w:bottom w:w="0" w:type="dxa"/>
            <w:right w:w="108" w:type="dxa"/>
          </w:tblCellMar>
        </w:tblPrEx>
        <w:trPr>
          <w:jc w:val="center"/>
        </w:trPr>
        <w:tc>
          <w:tcPr>
            <w:tcW w:w="2119" w:type="pct"/>
            <w:noWrap w:val="0"/>
            <w:vAlign w:val="top"/>
          </w:tcPr>
          <w:p>
            <w:pPr>
              <w:ind w:left="-142" w:right="-109"/>
              <w:jc w:val="center"/>
              <w:rPr>
                <w:b/>
                <w:sz w:val="24"/>
                <w:szCs w:val="28"/>
              </w:rPr>
            </w:pPr>
            <w:r>
              <w:rPr>
                <w:b/>
                <w:sz w:val="24"/>
                <w:szCs w:val="28"/>
              </w:rPr>
              <w:t>BỘ KHOA HỌC VÀ CÔNG NGHỆ</w:t>
            </w:r>
          </w:p>
          <w:p>
            <w:pPr>
              <w:ind w:left="-142" w:right="-109"/>
              <w:jc w:val="center"/>
              <w:rPr>
                <w:sz w:val="28"/>
                <w:szCs w:val="28"/>
              </w:rPr>
            </w:pPr>
            <w:r>
              <w:rPr>
                <w:b/>
                <w:sz w:val="24"/>
                <w:szCs w:val="28"/>
              </w:rPr>
              <mc:AlternateContent>
                <mc:Choice Requires="wps">
                  <w:drawing>
                    <wp:anchor distT="0" distB="0" distL="114300" distR="114300" simplePos="0" relativeHeight="251660288" behindDoc="0" locked="0" layoutInCell="1" allowOverlap="1">
                      <wp:simplePos x="0" y="0"/>
                      <wp:positionH relativeFrom="column">
                        <wp:posOffset>688340</wp:posOffset>
                      </wp:positionH>
                      <wp:positionV relativeFrom="paragraph">
                        <wp:posOffset>90805</wp:posOffset>
                      </wp:positionV>
                      <wp:extent cx="1080135" cy="0"/>
                      <wp:effectExtent l="0" t="0" r="0" b="0"/>
                      <wp:wrapNone/>
                      <wp:docPr id="3" name="Lines 5"/>
                      <wp:cNvGraphicFramePr/>
                      <a:graphic xmlns:a="http://schemas.openxmlformats.org/drawingml/2006/main">
                        <a:graphicData uri="http://schemas.microsoft.com/office/word/2010/wordprocessingShape">
                          <wps:wsp>
                            <wps:cNvCnPr/>
                            <wps:spPr>
                              <a:xfrm>
                                <a:off x="0" y="0"/>
                                <a:ext cx="108013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5" o:spid="_x0000_s1026" o:spt="20" style="position:absolute;left:0pt;margin-left:54.2pt;margin-top:7.15pt;height:0pt;width:85.05pt;z-index:251660288;mso-width-relative:page;mso-height-relative:page;" filled="f" stroked="t" coordsize="21600,21600" o:gfxdata="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1RI/q1gAAAAkBAAAPAAAAAAAA&#10;AAEAIAAAACIAAABkcnMvZG93bnJldi54bWxQSwECFAAUAAAACACHTuJAP6doINsBAADaAwAADgAA&#10;AAAAAAABACAAAAAlAQAAZHJzL2Uyb0RvYy54bWxQSwUGAAAAAAYABgBZAQAAcgUAAAAA&#10;">
                      <v:fill on="f" focussize="0,0"/>
                      <v:stroke color="#000000" joinstyle="round"/>
                      <v:imagedata o:title=""/>
                      <o:lock v:ext="edit" aspectratio="f"/>
                    </v:line>
                  </w:pict>
                </mc:Fallback>
              </mc:AlternateContent>
            </w:r>
          </w:p>
          <w:p>
            <w:pPr>
              <w:ind w:left="-142" w:right="-109"/>
              <w:jc w:val="center"/>
              <w:rPr>
                <w:sz w:val="24"/>
                <w:szCs w:val="28"/>
              </w:rPr>
            </w:pPr>
            <w:r>
              <w:rPr>
                <w:sz w:val="28"/>
                <w:szCs w:val="28"/>
              </w:rPr>
              <w:t xml:space="preserve">Số: </w:t>
            </w:r>
            <w:r>
              <w:rPr>
                <w:rFonts w:hint="default"/>
                <w:sz w:val="28"/>
                <w:szCs w:val="28"/>
                <w:lang w:val="en-US"/>
              </w:rPr>
              <w:t>01</w:t>
            </w:r>
            <w:r>
              <w:rPr>
                <w:sz w:val="28"/>
                <w:szCs w:val="28"/>
              </w:rPr>
              <w:t>/202</w:t>
            </w:r>
            <w:r>
              <w:rPr>
                <w:rFonts w:hint="default"/>
                <w:sz w:val="28"/>
                <w:szCs w:val="28"/>
                <w:lang w:val="en-US"/>
              </w:rPr>
              <w:t>3</w:t>
            </w:r>
            <w:r>
              <w:rPr>
                <w:sz w:val="28"/>
                <w:szCs w:val="28"/>
              </w:rPr>
              <w:t>/TT-BKHCN</w:t>
            </w:r>
          </w:p>
        </w:tc>
        <w:tc>
          <w:tcPr>
            <w:tcW w:w="2881" w:type="pct"/>
            <w:noWrap w:val="0"/>
            <w:vAlign w:val="top"/>
          </w:tcPr>
          <w:p>
            <w:pPr>
              <w:ind w:left="33"/>
              <w:jc w:val="center"/>
              <w:rPr>
                <w:b/>
                <w:sz w:val="24"/>
                <w:szCs w:val="28"/>
              </w:rPr>
            </w:pPr>
            <w:r>
              <w:rPr>
                <w:b/>
                <w:sz w:val="24"/>
                <w:szCs w:val="28"/>
              </w:rPr>
              <w:t>CỘNG HÒA XÃ HỘI CHỦ NGHĨA VIỆT NAM</w:t>
            </w:r>
          </w:p>
          <w:p>
            <w:pPr>
              <w:ind w:left="33"/>
              <w:jc w:val="center"/>
              <w:rPr>
                <w:b/>
                <w:sz w:val="26"/>
                <w:szCs w:val="28"/>
              </w:rPr>
            </w:pPr>
            <w:r>
              <w:rPr>
                <w:b/>
                <w:sz w:val="26"/>
                <w:szCs w:val="28"/>
              </w:rPr>
              <w:t>Độc lập - Tự do - Hạnh phúc</w:t>
            </w:r>
          </w:p>
          <w:p>
            <w:pPr>
              <w:ind w:left="33"/>
              <w:jc w:val="center"/>
              <w:rPr>
                <w:i/>
                <w:sz w:val="28"/>
                <w:szCs w:val="28"/>
              </w:rPr>
            </w:pPr>
            <w:r>
              <w:rPr>
                <w:b/>
                <w:sz w:val="24"/>
                <w:szCs w:val="28"/>
              </w:rPr>
              <mc:AlternateContent>
                <mc:Choice Requires="wps">
                  <w:drawing>
                    <wp:anchor distT="0" distB="0" distL="114300" distR="114300" simplePos="0" relativeHeight="251659264" behindDoc="0" locked="0" layoutInCell="1" allowOverlap="1">
                      <wp:simplePos x="0" y="0"/>
                      <wp:positionH relativeFrom="column">
                        <wp:posOffset>642620</wp:posOffset>
                      </wp:positionH>
                      <wp:positionV relativeFrom="paragraph">
                        <wp:posOffset>64135</wp:posOffset>
                      </wp:positionV>
                      <wp:extent cx="2026285" cy="3810"/>
                      <wp:effectExtent l="0" t="0" r="0" b="0"/>
                      <wp:wrapNone/>
                      <wp:docPr id="2" name="Lines 4"/>
                      <wp:cNvGraphicFramePr/>
                      <a:graphic xmlns:a="http://schemas.openxmlformats.org/drawingml/2006/main">
                        <a:graphicData uri="http://schemas.microsoft.com/office/word/2010/wordprocessingShape">
                          <wps:wsp>
                            <wps:cNvCnPr/>
                            <wps:spPr>
                              <a:xfrm flipV="1">
                                <a:off x="0" y="0"/>
                                <a:ext cx="2026285" cy="381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flip:y;margin-left:50.6pt;margin-top:5.05pt;height:0.3pt;width:159.55pt;z-index:251659264;mso-width-relative:page;mso-height-relative:page;" filled="f" stroked="t" coordsize="21600,21600" o:gfxdata="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LUNSQdUAAAAJ&#10;AQAADwAAAAAAAAABACAAAAAiAAAAZHJzL2Rvd25yZXYueG1sUEsBAhQAFAAAAAgAh07iQJiqH5rm&#10;AQAA5wMAAA4AAAAAAAAAAQAgAAAAJAEAAGRycy9lMm9Eb2MueG1sUEsFBgAAAAAGAAYAWQEAAHwF&#10;AAAAAA==&#10;">
                      <v:fill on="f" focussize="0,0"/>
                      <v:stroke color="#000000" joinstyle="round"/>
                      <v:imagedata o:title=""/>
                      <o:lock v:ext="edit" aspectratio="f"/>
                    </v:line>
                  </w:pict>
                </mc:Fallback>
              </mc:AlternateContent>
            </w:r>
          </w:p>
          <w:p>
            <w:pPr>
              <w:ind w:left="33"/>
              <w:jc w:val="center"/>
              <w:rPr>
                <w:rFonts w:hint="default"/>
                <w:b/>
                <w:sz w:val="24"/>
                <w:szCs w:val="28"/>
                <w:lang w:val="en-US"/>
              </w:rPr>
            </w:pPr>
            <w:r>
              <w:rPr>
                <w:i/>
                <w:sz w:val="28"/>
                <w:szCs w:val="28"/>
              </w:rPr>
              <w:t xml:space="preserve">Hà Nội, ngày </w:t>
            </w:r>
            <w:r>
              <w:rPr>
                <w:rFonts w:hint="default"/>
                <w:i/>
                <w:sz w:val="28"/>
                <w:szCs w:val="28"/>
                <w:lang w:val="en-US"/>
              </w:rPr>
              <w:t>24</w:t>
            </w:r>
            <w:r>
              <w:rPr>
                <w:i/>
                <w:sz w:val="28"/>
                <w:szCs w:val="28"/>
              </w:rPr>
              <w:t xml:space="preserve"> tháng </w:t>
            </w:r>
            <w:r>
              <w:rPr>
                <w:rFonts w:hint="default"/>
                <w:i/>
                <w:sz w:val="28"/>
                <w:szCs w:val="28"/>
                <w:lang w:val="en-US"/>
              </w:rPr>
              <w:t xml:space="preserve">4 </w:t>
            </w:r>
            <w:r>
              <w:rPr>
                <w:i/>
                <w:sz w:val="28"/>
                <w:szCs w:val="28"/>
              </w:rPr>
              <w:t>năm 20</w:t>
            </w:r>
            <w:r>
              <w:rPr>
                <w:rFonts w:hint="default"/>
                <w:i/>
                <w:sz w:val="28"/>
                <w:szCs w:val="28"/>
                <w:lang w:val="en-US"/>
              </w:rPr>
              <w:t>23</w:t>
            </w:r>
          </w:p>
        </w:tc>
      </w:tr>
    </w:tbl>
    <w:p>
      <w:pPr>
        <w:spacing w:before="480"/>
        <w:jc w:val="center"/>
        <w:outlineLvl w:val="4"/>
        <w:rPr>
          <w:rFonts w:eastAsia="Times New Roman"/>
          <w:b/>
          <w:bCs/>
          <w:iCs/>
          <w:sz w:val="28"/>
          <w:szCs w:val="30"/>
        </w:rPr>
      </w:pPr>
      <w:r>
        <w:rPr>
          <w:rFonts w:eastAsia="Times New Roman"/>
          <w:b/>
          <w:bCs/>
          <w:iCs/>
          <w:sz w:val="28"/>
          <w:szCs w:val="30"/>
        </w:rPr>
        <w:t>THÔNG TƯ</w:t>
      </w:r>
    </w:p>
    <w:p>
      <w:pPr>
        <w:spacing w:line="264" w:lineRule="auto"/>
        <w:jc w:val="center"/>
        <w:rPr>
          <w:rFonts w:eastAsia="Times New Roman"/>
          <w:b/>
          <w:sz w:val="28"/>
          <w:szCs w:val="28"/>
          <w:lang w:val="vi-VN"/>
        </w:rPr>
      </w:pPr>
      <w:r>
        <w:rPr>
          <w:rFonts w:hint="default" w:eastAsia="Times New Roman"/>
          <w:b/>
          <w:sz w:val="28"/>
          <w:szCs w:val="28"/>
          <w:lang w:eastAsia="en-US"/>
        </w:rPr>
        <w:t>Ban hành định mức kinh tế - kỹ thuật dịch vụ sự nghiệp công sử dụng ngân sách nhà nước về thẩm định cấp Giấy chủng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w:t>
      </w:r>
      <w:r>
        <w:rPr>
          <w:rFonts w:eastAsia="Times New Roman"/>
          <w:b/>
          <w:sz w:val="28"/>
          <w:szCs w:val="28"/>
          <w:lang w:val="vi-VN"/>
        </w:rPr>
        <w:t xml:space="preserve"> </w:t>
      </w:r>
    </w:p>
    <w:p>
      <w:pPr>
        <w:spacing w:before="100" w:after="100"/>
        <w:jc w:val="center"/>
        <w:rPr>
          <w:rFonts w:hint="default" w:eastAsia="Times New Roman"/>
          <w:b/>
          <w:bCs/>
          <w:sz w:val="28"/>
          <w:szCs w:val="28"/>
          <w:lang w:val="en-US"/>
        </w:rPr>
      </w:pPr>
      <w:r>
        <w:rPr>
          <w:rFonts w:hint="default" w:eastAsia="Times New Roman"/>
          <w:b/>
          <w:bCs/>
          <w:sz w:val="28"/>
          <w:szCs w:val="28"/>
          <w:lang w:val="en-US"/>
        </w:rPr>
        <w:t>_________________________</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eastAsia="Times New Roman" w:cs="Times New Roman"/>
          <w:i/>
          <w:iCs/>
          <w:color w:val="000000"/>
          <w:sz w:val="28"/>
          <w:szCs w:val="28"/>
          <w:lang w:val="nl-NL" w:eastAsia="en-US" w:bidi="ar-SA"/>
        </w:rPr>
      </w:pPr>
      <w:r>
        <w:rPr>
          <w:rFonts w:hint="default" w:ascii="Times New Roman" w:hAnsi="Times New Roman" w:eastAsia="Times New Roman" w:cs="Times New Roman"/>
          <w:i/>
          <w:iCs/>
          <w:color w:val="000000"/>
          <w:sz w:val="28"/>
          <w:szCs w:val="28"/>
          <w:lang w:eastAsia="en-US" w:bidi="ar-SA"/>
        </w:rPr>
        <w:t>Căn cứ </w:t>
      </w:r>
      <w:bookmarkStart w:id="0" w:name="tvpllink_wpmetgoqxh"/>
      <w:r>
        <w:rPr>
          <w:rFonts w:hint="default" w:ascii="Times New Roman" w:hAnsi="Times New Roman" w:eastAsia="Times New Roman" w:cs="Times New Roman"/>
          <w:i/>
          <w:iCs/>
          <w:color w:val="000000"/>
          <w:sz w:val="28"/>
          <w:szCs w:val="28"/>
          <w:lang w:eastAsia="en-US" w:bidi="ar-SA"/>
        </w:rPr>
        <w:t>Luật Công nghệ cao</w:t>
      </w:r>
      <w:bookmarkEnd w:id="0"/>
      <w:r>
        <w:rPr>
          <w:rFonts w:hint="default" w:ascii="Times New Roman" w:hAnsi="Times New Roman" w:eastAsia="Times New Roman" w:cs="Times New Roman"/>
          <w:i/>
          <w:iCs/>
          <w:color w:val="000000"/>
          <w:sz w:val="28"/>
          <w:szCs w:val="28"/>
          <w:lang w:eastAsia="en-US" w:bidi="ar-SA"/>
        </w:rPr>
        <w:t> ngày 13 tháng 11 năm 2008;</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eastAsia="Times New Roman" w:cs="Times New Roman"/>
          <w:i/>
          <w:iCs/>
          <w:color w:val="000000"/>
          <w:sz w:val="28"/>
          <w:szCs w:val="28"/>
          <w:lang w:val="nl-NL" w:eastAsia="en-US" w:bidi="ar-SA"/>
        </w:rPr>
      </w:pPr>
      <w:r>
        <w:rPr>
          <w:rFonts w:hint="default" w:ascii="Times New Roman" w:hAnsi="Times New Roman" w:eastAsia="Times New Roman" w:cs="Times New Roman"/>
          <w:i/>
          <w:iCs/>
          <w:color w:val="000000"/>
          <w:sz w:val="28"/>
          <w:szCs w:val="28"/>
          <w:lang w:eastAsia="en-US" w:bidi="ar-SA"/>
        </w:rPr>
        <w:t>Căn cứ </w:t>
      </w:r>
      <w:bookmarkStart w:id="1" w:name="tvpllink_wejspragmj"/>
      <w:r>
        <w:rPr>
          <w:rFonts w:hint="default" w:ascii="Times New Roman" w:hAnsi="Times New Roman" w:eastAsia="Times New Roman" w:cs="Times New Roman"/>
          <w:i/>
          <w:iCs/>
          <w:color w:val="000000"/>
          <w:sz w:val="28"/>
          <w:szCs w:val="28"/>
          <w:lang w:eastAsia="en-US" w:bidi="ar-SA"/>
        </w:rPr>
        <w:t>Nghị định số 95/2017/NĐ-CP</w:t>
      </w:r>
      <w:bookmarkEnd w:id="1"/>
      <w:r>
        <w:rPr>
          <w:rFonts w:hint="default" w:ascii="Times New Roman" w:hAnsi="Times New Roman" w:eastAsia="Times New Roman" w:cs="Times New Roman"/>
          <w:i/>
          <w:iCs/>
          <w:color w:val="000000"/>
          <w:sz w:val="28"/>
          <w:szCs w:val="28"/>
          <w:lang w:eastAsia="en-US" w:bidi="ar-SA"/>
        </w:rPr>
        <w:t> ngày 16 tháng 8 năm 2017 của Chính phủ quy định chức năng, nhiệm vụ, quyền hạn và cơ cấu tổ chức của Bộ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eastAsia="Times New Roman" w:cs="Times New Roman"/>
          <w:i/>
          <w:iCs/>
          <w:color w:val="000000"/>
          <w:sz w:val="28"/>
          <w:szCs w:val="28"/>
          <w:lang w:val="nl-NL" w:eastAsia="en-US" w:bidi="ar-SA"/>
        </w:rPr>
      </w:pPr>
      <w:r>
        <w:rPr>
          <w:rFonts w:hint="default" w:ascii="Times New Roman" w:hAnsi="Times New Roman" w:eastAsia="Times New Roman" w:cs="Times New Roman"/>
          <w:i/>
          <w:iCs/>
          <w:color w:val="000000"/>
          <w:sz w:val="28"/>
          <w:szCs w:val="28"/>
          <w:lang w:eastAsia="en-US" w:bidi="ar-SA"/>
        </w:rPr>
        <w:t>Căn cứ </w:t>
      </w:r>
      <w:bookmarkStart w:id="2" w:name="tvpllink_mjqsafigbx"/>
      <w:r>
        <w:rPr>
          <w:rFonts w:hint="default" w:ascii="Times New Roman" w:hAnsi="Times New Roman" w:eastAsia="Times New Roman" w:cs="Times New Roman"/>
          <w:i/>
          <w:iCs/>
          <w:color w:val="000000"/>
          <w:sz w:val="28"/>
          <w:szCs w:val="28"/>
          <w:lang w:eastAsia="en-US" w:bidi="ar-SA"/>
        </w:rPr>
        <w:t>Nghị định số 60/2021/NĐ-CP</w:t>
      </w:r>
      <w:bookmarkEnd w:id="2"/>
      <w:r>
        <w:rPr>
          <w:rFonts w:hint="default" w:ascii="Times New Roman" w:hAnsi="Times New Roman" w:eastAsia="Times New Roman" w:cs="Times New Roman"/>
          <w:i/>
          <w:iCs/>
          <w:color w:val="000000"/>
          <w:sz w:val="28"/>
          <w:szCs w:val="28"/>
          <w:lang w:eastAsia="en-US" w:bidi="ar-SA"/>
        </w:rPr>
        <w:t> ngày 21 tháng 6 năm 2021 của Chính phủ quy định cơ chế tự chủ của đơn vị sự nghiệp công lập;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eastAsia="Times New Roman" w:cs="Times New Roman"/>
          <w:i/>
          <w:iCs/>
          <w:color w:val="000000"/>
          <w:sz w:val="28"/>
          <w:szCs w:val="28"/>
          <w:lang w:val="nl-NL" w:eastAsia="en-US" w:bidi="ar-SA"/>
        </w:rPr>
      </w:pPr>
      <w:r>
        <w:rPr>
          <w:rFonts w:hint="default" w:ascii="Times New Roman" w:hAnsi="Times New Roman" w:eastAsia="Times New Roman" w:cs="Times New Roman"/>
          <w:i/>
          <w:iCs/>
          <w:color w:val="000000"/>
          <w:sz w:val="28"/>
          <w:szCs w:val="28"/>
          <w:lang w:eastAsia="en-US" w:bidi="ar-SA"/>
        </w:rPr>
        <w:t>Thực hiện </w:t>
      </w:r>
      <w:bookmarkStart w:id="3" w:name="tvpllink_vpoghfrrty"/>
      <w:r>
        <w:rPr>
          <w:rFonts w:hint="default" w:ascii="Times New Roman" w:hAnsi="Times New Roman" w:eastAsia="Times New Roman" w:cs="Times New Roman"/>
          <w:i/>
          <w:iCs/>
          <w:color w:val="000000"/>
          <w:sz w:val="28"/>
          <w:szCs w:val="28"/>
          <w:lang w:eastAsia="en-US" w:bidi="ar-SA"/>
        </w:rPr>
        <w:t>Quyết định số 2099/QĐ-TTg</w:t>
      </w:r>
      <w:bookmarkEnd w:id="3"/>
      <w:r>
        <w:rPr>
          <w:rFonts w:hint="default" w:ascii="Times New Roman" w:hAnsi="Times New Roman" w:eastAsia="Times New Roman" w:cs="Times New Roman"/>
          <w:i/>
          <w:iCs/>
          <w:color w:val="000000"/>
          <w:sz w:val="28"/>
          <w:szCs w:val="28"/>
          <w:lang w:eastAsia="en-US" w:bidi="ar-SA"/>
        </w:rPr>
        <w:t> ngày 27 tháng 12 năm 2017 của Thủ tướng Chính phủ ban hành Danh mục dịch vụ sự nghiệp công sử dụng ngân sách nhà nước thuộc lĩnh vực quản lý nhà nước của Bộ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eastAsia="Times New Roman" w:cs="Times New Roman"/>
          <w:i/>
          <w:iCs/>
          <w:color w:val="000000"/>
          <w:sz w:val="28"/>
          <w:szCs w:val="28"/>
          <w:lang w:val="nl-NL" w:eastAsia="en-US" w:bidi="ar-SA"/>
        </w:rPr>
      </w:pPr>
      <w:r>
        <w:rPr>
          <w:rFonts w:hint="default" w:ascii="Times New Roman" w:hAnsi="Times New Roman" w:eastAsia="Times New Roman" w:cs="Times New Roman"/>
          <w:i/>
          <w:iCs/>
          <w:color w:val="000000"/>
          <w:sz w:val="28"/>
          <w:szCs w:val="28"/>
          <w:lang w:eastAsia="en-US" w:bidi="ar-SA"/>
        </w:rPr>
        <w:t>Theo đề nghị của Giám đốc Văn phòng Đăng ký hoạt động khoa học và công nghệ và Vụ trưởng Vụ Pháp chế;</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eastAsia="Times New Roman"/>
          <w:i/>
          <w:spacing w:val="-2"/>
          <w:sz w:val="28"/>
          <w:szCs w:val="28"/>
          <w:lang w:val="vi-VN"/>
        </w:rPr>
      </w:pPr>
      <w:r>
        <w:rPr>
          <w:rFonts w:hint="default" w:ascii="Times New Roman" w:hAnsi="Times New Roman" w:eastAsia="Times New Roman" w:cs="Times New Roman"/>
          <w:i/>
          <w:iCs/>
          <w:color w:val="000000"/>
          <w:sz w:val="28"/>
          <w:szCs w:val="28"/>
          <w:lang w:eastAsia="en-US" w:bidi="ar-SA"/>
        </w:rPr>
        <w:t>Bộ trưởng Bộ Khoa học và Công nghệ ban hành Thông tư Ban hành định mức kinh tế - kỹ thuật dịch vụ sự nghiệp công sử dụng ngân sách nhà nước về thẩm định cấp Giấy chủng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w:t>
      </w:r>
      <w:r>
        <w:rPr>
          <w:rFonts w:eastAsia="Times New Roman"/>
          <w:i/>
          <w:spacing w:val="-2"/>
          <w:sz w:val="28"/>
          <w:szCs w:val="28"/>
          <w:lang w:val="vi-VN"/>
        </w:rPr>
        <w:t xml:space="preserve">  </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4" w:name="dieu_1"/>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1. Phạm vi điều chỉnh</w:t>
      </w:r>
      <w:bookmarkEnd w:id="4"/>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Thông tư này ban hành định mức kinh tế - kỹ thuật đối với 05 (năm) dịch vụ sự nghiệp công sử dụng ngân sách nhà nước sau:</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a) Thẩm định cấp Giấy chứng nhận hoạt động ứng dụng công nghệ cao;</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b) Thẩm định cấp Giấy chứng nhận doanh nghiệp thành lập mới từ dự án đầu tư sản xuất sản phẩm công nghệ cao;</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c) Thẩm định cấp Giấy chứng nhận doanh nghiệp công nghệ cao;</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d) Thẩm định cấp Giấy chứng nhận hoạt động nghiên cứu và phát triển công nghệ cao;</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đ) Thẩm định cấp Giấy chứng nhận cơ sở ươm tạo công nghệ cao, ươm tạo doanh nghiệp công nghệ cao.</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Định mức kinh tế - kỹ thuật tại Phụ lục ban hành kèm theo Thông tư này được áp dụng chung cho 05 (năm) dịch vụ sự nghiệp công sử dụng ngân sách nhà nước quy định tại khoản 1 Điều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5" w:name="dieu_2"/>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2. Đối tượng áp dụng</w:t>
      </w:r>
      <w:bookmarkEnd w:id="5"/>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Cơ quan, tổ chức, cá nhân sử dụng ngân sách nhà nước để thực hiện các dịch vụ sự nghiệp công quy định tại </w:t>
      </w:r>
      <w:bookmarkStart w:id="6" w:name="tc_1"/>
      <w:r>
        <w:rPr>
          <w:rFonts w:hint="default" w:ascii="Times New Roman" w:hAnsi="Times New Roman" w:cs="Times New Roman"/>
          <w:i w:val="0"/>
          <w:iCs w:val="0"/>
          <w:caps w:val="0"/>
          <w:color w:val="auto"/>
          <w:spacing w:val="0"/>
          <w:sz w:val="28"/>
          <w:szCs w:val="28"/>
          <w:u w:val="none"/>
          <w:bdr w:val="none" w:color="auto" w:sz="0" w:space="0"/>
          <w:shd w:val="clear" w:fill="FFFFFF"/>
          <w:lang/>
        </w:rPr>
        <w:t>Điều 1 Thông tư này</w:t>
      </w:r>
      <w:bookmarkEnd w:id="6"/>
      <w:r>
        <w:rPr>
          <w:rFonts w:hint="default" w:ascii="Times New Roman" w:hAnsi="Times New Roman" w:cs="Times New Roman"/>
          <w:i w:val="0"/>
          <w:iCs w:val="0"/>
          <w:caps w:val="0"/>
          <w:color w:val="auto"/>
          <w:spacing w:val="0"/>
          <w:sz w:val="28"/>
          <w:szCs w:val="28"/>
          <w:bdr w:val="none" w:color="auto" w:sz="0" w:space="0"/>
          <w:shd w:val="clear" w:fill="FFFFFF"/>
          <w:lang/>
        </w:rPr>
        <w: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Cơ quan, tổ chức, cá nhân liên quan đến hoạt động quản lý, sử dụng ngân sách nhà nước thực hiện dịch vụ sự nghiệp công quy định tại </w:t>
      </w:r>
      <w:bookmarkStart w:id="7" w:name="tc_2"/>
      <w:r>
        <w:rPr>
          <w:rFonts w:hint="default" w:ascii="Times New Roman" w:hAnsi="Times New Roman" w:cs="Times New Roman"/>
          <w:i w:val="0"/>
          <w:iCs w:val="0"/>
          <w:caps w:val="0"/>
          <w:color w:val="auto"/>
          <w:spacing w:val="0"/>
          <w:sz w:val="28"/>
          <w:szCs w:val="28"/>
          <w:u w:val="none"/>
          <w:bdr w:val="none" w:color="auto" w:sz="0" w:space="0"/>
          <w:shd w:val="clear" w:fill="FFFFFF"/>
          <w:lang/>
        </w:rPr>
        <w:t>Điều 1 Thông tư này</w:t>
      </w:r>
      <w:bookmarkEnd w:id="7"/>
      <w:r>
        <w:rPr>
          <w:rFonts w:hint="default" w:ascii="Times New Roman" w:hAnsi="Times New Roman" w:cs="Times New Roman"/>
          <w:i w:val="0"/>
          <w:iCs w:val="0"/>
          <w:caps w:val="0"/>
          <w:color w:val="auto"/>
          <w:spacing w:val="0"/>
          <w:sz w:val="28"/>
          <w:szCs w:val="28"/>
          <w:bdr w:val="none" w:color="auto" w:sz="0" w:space="0"/>
          <w:shd w:val="clear" w:fill="FFFFFF"/>
          <w:lang/>
        </w:rPr>
        <w: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8" w:name="dieu_3"/>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3. Giải thích từ ngữ</w:t>
      </w:r>
      <w:bookmarkEnd w:id="8"/>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w:t>
      </w:r>
      <w:r>
        <w:rPr>
          <w:rFonts w:hint="default" w:ascii="Times New Roman" w:hAnsi="Times New Roman" w:cs="Times New Roman"/>
          <w:i/>
          <w:iCs/>
          <w:caps w:val="0"/>
          <w:color w:val="auto"/>
          <w:spacing w:val="0"/>
          <w:sz w:val="28"/>
          <w:szCs w:val="28"/>
          <w:bdr w:val="none" w:color="auto" w:sz="0" w:space="0"/>
          <w:shd w:val="clear" w:fill="FFFFFF"/>
          <w:lang/>
        </w:rPr>
        <w:t>Dịch vụ sự nghiệp công sử dụng ngân sách nhà nước</w:t>
      </w:r>
      <w:r>
        <w:rPr>
          <w:rFonts w:hint="default" w:ascii="Times New Roman" w:hAnsi="Times New Roman" w:cs="Times New Roman"/>
          <w:i w:val="0"/>
          <w:iCs w:val="0"/>
          <w:caps w:val="0"/>
          <w:color w:val="auto"/>
          <w:spacing w:val="0"/>
          <w:sz w:val="28"/>
          <w:szCs w:val="28"/>
          <w:bdr w:val="none" w:color="auto" w:sz="0" w:space="0"/>
          <w:shd w:val="clear" w:fill="FFFFFF"/>
          <w:lang/>
        </w:rPr>
        <w:t> về thẩm định cấp Giấy chứng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 (sau đây gọi chung là thẩm định cấp Giấy chứng nhận hoạt động công nghệ cao) là dịch vụ công thuộc lĩnh vực khoa học và công nghệ, do đơn vị sự nghiệp công lập thực hiện, được Nhà nước bảo đảm toàn bộ kinh phí thực hiện.</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w:t>
      </w:r>
      <w:r>
        <w:rPr>
          <w:rFonts w:hint="default" w:ascii="Times New Roman" w:hAnsi="Times New Roman" w:cs="Times New Roman"/>
          <w:i/>
          <w:iCs/>
          <w:caps w:val="0"/>
          <w:color w:val="auto"/>
          <w:spacing w:val="0"/>
          <w:sz w:val="28"/>
          <w:szCs w:val="28"/>
          <w:bdr w:val="none" w:color="auto" w:sz="0" w:space="0"/>
          <w:shd w:val="clear" w:fill="FFFFFF"/>
          <w:lang/>
        </w:rPr>
        <w:t>Định mức kinh tế - kỹ thuật dịch vụ sự nghiệp công sử dụng ngân sách nhà nước</w:t>
      </w:r>
      <w:r>
        <w:rPr>
          <w:rFonts w:hint="default" w:ascii="Times New Roman" w:hAnsi="Times New Roman" w:cs="Times New Roman"/>
          <w:i w:val="0"/>
          <w:iCs w:val="0"/>
          <w:caps w:val="0"/>
          <w:color w:val="auto"/>
          <w:spacing w:val="0"/>
          <w:sz w:val="28"/>
          <w:szCs w:val="28"/>
          <w:bdr w:val="none" w:color="auto" w:sz="0" w:space="0"/>
          <w:shd w:val="clear" w:fill="FFFFFF"/>
          <w:lang/>
        </w:rPr>
        <w:t> về thẩm định cấp Giấy chứng nhận hoạt động công nghệ cao (sau đây gọi chung là định mức kinh tế - kỹ thuật) là mức hao phí cần thiết về lao động, máy móc, thiết bị, vật tư trong một điều kiện cụ thể, theo quy trình thực hiện dịch vụ tương ứng để hoàn thành một đơn vị sản phẩm (hoặc một khối lượng công việc nhất định) đạt được các tiêu chí, tiêu chuẩn do cơ quan có thẩm quyền ban hành.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3. </w:t>
      </w:r>
      <w:r>
        <w:rPr>
          <w:rFonts w:hint="default" w:ascii="Times New Roman" w:hAnsi="Times New Roman" w:cs="Times New Roman"/>
          <w:i/>
          <w:iCs/>
          <w:caps w:val="0"/>
          <w:color w:val="auto"/>
          <w:spacing w:val="0"/>
          <w:sz w:val="28"/>
          <w:szCs w:val="28"/>
          <w:bdr w:val="none" w:color="auto" w:sz="0" w:space="0"/>
          <w:shd w:val="clear" w:fill="FFFFFF"/>
          <w:lang/>
        </w:rPr>
        <w:t>Thẩm định cấp Giấy chứng nhận hoạt động ứng dụng công nghệ cao dành cho tổ chức, cá nhân</w:t>
      </w:r>
      <w:r>
        <w:rPr>
          <w:rFonts w:hint="default" w:ascii="Times New Roman" w:hAnsi="Times New Roman" w:cs="Times New Roman"/>
          <w:i w:val="0"/>
          <w:iCs w:val="0"/>
          <w:caps w:val="0"/>
          <w:color w:val="auto"/>
          <w:spacing w:val="0"/>
          <w:sz w:val="28"/>
          <w:szCs w:val="28"/>
          <w:bdr w:val="none" w:color="auto" w:sz="0" w:space="0"/>
          <w:shd w:val="clear" w:fill="FFFFFF"/>
          <w:lang/>
        </w:rPr>
        <w:t> là quá trình tiếp nhận, thẩm định hồ sơ đề nghị cấp Giấy chứng nhận hoạt động ứng dụng công nghệ cao của tổ chức, cá nhân và theo dõi, kiểm tra việc đáp ứng các điều kiện theo quy định của Giấy chứng nhận đã được cấp.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4. </w:t>
      </w:r>
      <w:r>
        <w:rPr>
          <w:rFonts w:hint="default" w:ascii="Times New Roman" w:hAnsi="Times New Roman" w:cs="Times New Roman"/>
          <w:i/>
          <w:iCs/>
          <w:caps w:val="0"/>
          <w:color w:val="auto"/>
          <w:spacing w:val="0"/>
          <w:sz w:val="28"/>
          <w:szCs w:val="28"/>
          <w:bdr w:val="none" w:color="auto" w:sz="0" w:space="0"/>
          <w:shd w:val="clear" w:fill="FFFFFF"/>
          <w:lang/>
        </w:rPr>
        <w:t>Thẩm định cấp Giấy chứng nhận doanh nghiệp thành lập mới từ dự án đầu tư sản xuất sản phẩm công nghệ cao</w:t>
      </w:r>
      <w:r>
        <w:rPr>
          <w:rFonts w:hint="default" w:ascii="Times New Roman" w:hAnsi="Times New Roman" w:cs="Times New Roman"/>
          <w:i w:val="0"/>
          <w:iCs w:val="0"/>
          <w:caps w:val="0"/>
          <w:color w:val="auto"/>
          <w:spacing w:val="0"/>
          <w:sz w:val="28"/>
          <w:szCs w:val="28"/>
          <w:bdr w:val="none" w:color="auto" w:sz="0" w:space="0"/>
          <w:shd w:val="clear" w:fill="FFFFFF"/>
          <w:lang/>
        </w:rPr>
        <w:t> là quá trình tiếp nhận, thẩm định hồ sơ đề nghị cấp Giấy chứng nhận doanh nghiệp thành lập mới từ dự án đầu tư sản xuất sản phẩm công nghệ cao và theo dõi, kiểm tra việc đáp ứng các điều kiện theo quy định của Giấy chứng nhận đã được cấp.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5. </w:t>
      </w:r>
      <w:r>
        <w:rPr>
          <w:rFonts w:hint="default" w:ascii="Times New Roman" w:hAnsi="Times New Roman" w:cs="Times New Roman"/>
          <w:i/>
          <w:iCs/>
          <w:caps w:val="0"/>
          <w:color w:val="auto"/>
          <w:spacing w:val="0"/>
          <w:sz w:val="28"/>
          <w:szCs w:val="28"/>
          <w:bdr w:val="none" w:color="auto" w:sz="0" w:space="0"/>
          <w:shd w:val="clear" w:fill="FFFFFF"/>
          <w:lang/>
        </w:rPr>
        <w:t>Thẩm định cấp Giấy chứng nhận doanh nghiệp công nghệ cao</w:t>
      </w:r>
      <w:r>
        <w:rPr>
          <w:rFonts w:hint="default" w:ascii="Times New Roman" w:hAnsi="Times New Roman" w:cs="Times New Roman"/>
          <w:i w:val="0"/>
          <w:iCs w:val="0"/>
          <w:caps w:val="0"/>
          <w:color w:val="auto"/>
          <w:spacing w:val="0"/>
          <w:sz w:val="28"/>
          <w:szCs w:val="28"/>
          <w:bdr w:val="none" w:color="auto" w:sz="0" w:space="0"/>
          <w:shd w:val="clear" w:fill="FFFFFF"/>
          <w:lang/>
        </w:rPr>
        <w:t> là quá trình tiếp nhận, thẩm định hồ sơ đề nghị cấp Giấy chứng nhận doanh nghiệp công nghệ cao và theo dõi, kiểm tra việc đáp ứng các điều kiện theo quy định của Giấy chứng nhận đã được cấp.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6. Thẩm định cấp Giấy chứng nhận hoạt động nghiên cứu và phát triển công nghệ cao là quá trình tiếp nhận, thẩm định hồ sơ đề nghị cấp Giấy chứng nhận hoạt động nghiên cứu và phát triển công nghệ cao và theo dõi, kiểm tra việc đáp ứng các điều kiện theo quy định của Giấy chứng nhận đã được cấp.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7. </w:t>
      </w:r>
      <w:r>
        <w:rPr>
          <w:rFonts w:hint="default" w:ascii="Times New Roman" w:hAnsi="Times New Roman" w:cs="Times New Roman"/>
          <w:i/>
          <w:iCs/>
          <w:caps w:val="0"/>
          <w:color w:val="auto"/>
          <w:spacing w:val="0"/>
          <w:sz w:val="28"/>
          <w:szCs w:val="28"/>
          <w:bdr w:val="none" w:color="auto" w:sz="0" w:space="0"/>
          <w:shd w:val="clear" w:fill="FFFFFF"/>
          <w:lang/>
        </w:rPr>
        <w:t>Thẩm định cấp Giấy chứng nhận cơ sở ươm tạo công nghệ cao, ươm tạo doanh nghiệp công nghệ cao</w:t>
      </w:r>
      <w:r>
        <w:rPr>
          <w:rFonts w:hint="default" w:ascii="Times New Roman" w:hAnsi="Times New Roman" w:cs="Times New Roman"/>
          <w:i w:val="0"/>
          <w:iCs w:val="0"/>
          <w:caps w:val="0"/>
          <w:color w:val="auto"/>
          <w:spacing w:val="0"/>
          <w:sz w:val="28"/>
          <w:szCs w:val="28"/>
          <w:bdr w:val="none" w:color="auto" w:sz="0" w:space="0"/>
          <w:shd w:val="clear" w:fill="FFFFFF"/>
          <w:lang/>
        </w:rPr>
        <w:t> là quá trình tiếp nhận, thẩm định hồ sơ đề nghị cấp Giấy chứng nhận cơ sở ươm tạo công nghệ cao, ươm tạo doanh nghiệp công nghệ cao và theo dõi, kiểm tra việc đáp ứng các điều kiện theo quy định của Giấy chứng nhận đã được cấp.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9" w:name="dieu_4"/>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4. Phương pháp, cơ sở xây dựng định mức kinh tế - kỹ thuật</w:t>
      </w:r>
      <w:bookmarkEnd w:id="9"/>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Xây dựng định mức thành phần trong định mức kinh tế-kỹ thuật áp dụng quy định tại các văn bản quy phạm pháp luật sau đây: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a) </w:t>
      </w:r>
      <w:bookmarkStart w:id="10" w:name="tvpllink_wpmetgoqxh_1"/>
      <w:r>
        <w:rPr>
          <w:rFonts w:hint="default" w:ascii="Times New Roman" w:hAnsi="Times New Roman" w:cs="Times New Roman"/>
          <w:i w:val="0"/>
          <w:iCs w:val="0"/>
          <w:caps w:val="0"/>
          <w:color w:val="auto"/>
          <w:spacing w:val="0"/>
          <w:sz w:val="28"/>
          <w:szCs w:val="28"/>
          <w:u w:val="none"/>
          <w:bdr w:val="none" w:color="auto" w:sz="0" w:space="0"/>
          <w:shd w:val="clear" w:fill="FFFFFF"/>
          <w:lang/>
        </w:rPr>
        <w:t>Luật Công nghệ cao</w:t>
      </w:r>
      <w:bookmarkEnd w:id="10"/>
      <w:r>
        <w:rPr>
          <w:rFonts w:hint="default" w:ascii="Times New Roman" w:hAnsi="Times New Roman" w:cs="Times New Roman"/>
          <w:i w:val="0"/>
          <w:iCs w:val="0"/>
          <w:caps w:val="0"/>
          <w:color w:val="auto"/>
          <w:spacing w:val="0"/>
          <w:sz w:val="28"/>
          <w:szCs w:val="28"/>
          <w:bdr w:val="none" w:color="auto" w:sz="0" w:space="0"/>
          <w:shd w:val="clear" w:fill="FFFFFF"/>
          <w:lang/>
        </w:rPr>
        <w:t> ngày 13 tháng 11 năm 2008; Quyết định số </w:t>
      </w:r>
      <w:bookmarkStart w:id="11" w:name="tvpllink_kikjtnveaq"/>
      <w:r>
        <w:rPr>
          <w:rFonts w:hint="default" w:ascii="Times New Roman" w:hAnsi="Times New Roman" w:cs="Times New Roman"/>
          <w:i w:val="0"/>
          <w:iCs w:val="0"/>
          <w:caps w:val="0"/>
          <w:color w:val="auto"/>
          <w:spacing w:val="0"/>
          <w:sz w:val="28"/>
          <w:szCs w:val="28"/>
          <w:u w:val="none"/>
          <w:bdr w:val="none" w:color="auto" w:sz="0" w:space="0"/>
          <w:shd w:val="clear" w:fill="FFFFFF"/>
          <w:lang/>
        </w:rPr>
        <w:t>55/2010/QĐ-TTg</w:t>
      </w:r>
      <w:bookmarkEnd w:id="11"/>
      <w:r>
        <w:rPr>
          <w:rFonts w:hint="default" w:ascii="Times New Roman" w:hAnsi="Times New Roman" w:cs="Times New Roman"/>
          <w:i w:val="0"/>
          <w:iCs w:val="0"/>
          <w:caps w:val="0"/>
          <w:color w:val="auto"/>
          <w:spacing w:val="0"/>
          <w:sz w:val="28"/>
          <w:szCs w:val="28"/>
          <w:bdr w:val="none" w:color="auto" w:sz="0" w:space="0"/>
          <w:shd w:val="clear" w:fill="FFFFFF"/>
          <w:lang/>
        </w:rPr>
        <w:t> ngày 10 tháng 9 năm 2010 của Thủ tướng Chính phủ quy định về thẩm quyền, trình tự, thủ tục chứng nhận tổ chức, cá nhân hoạt động ứng dụng công nghệ cao, chứng nhận tổ chức, cá nhân nghiên cứu và phát triển công nghệ cao và doanh nghiệp công nghệ cao; Thông tư số </w:t>
      </w:r>
      <w:bookmarkStart w:id="12" w:name="tvpllink_ahwhxqbaah"/>
      <w:r>
        <w:rPr>
          <w:rFonts w:hint="default" w:ascii="Times New Roman" w:hAnsi="Times New Roman" w:cs="Times New Roman"/>
          <w:i w:val="0"/>
          <w:iCs w:val="0"/>
          <w:caps w:val="0"/>
          <w:color w:val="auto"/>
          <w:spacing w:val="0"/>
          <w:sz w:val="28"/>
          <w:szCs w:val="28"/>
          <w:u w:val="none"/>
          <w:bdr w:val="none" w:color="auto" w:sz="0" w:space="0"/>
          <w:shd w:val="clear" w:fill="FFFFFF"/>
          <w:lang/>
        </w:rPr>
        <w:t>32/2011/TT-BKHCN</w:t>
      </w:r>
      <w:bookmarkEnd w:id="12"/>
      <w:r>
        <w:rPr>
          <w:rFonts w:hint="default" w:ascii="Times New Roman" w:hAnsi="Times New Roman" w:cs="Times New Roman"/>
          <w:i w:val="0"/>
          <w:iCs w:val="0"/>
          <w:caps w:val="0"/>
          <w:color w:val="auto"/>
          <w:spacing w:val="0"/>
          <w:sz w:val="28"/>
          <w:szCs w:val="28"/>
          <w:bdr w:val="none" w:color="auto" w:sz="0" w:space="0"/>
          <w:shd w:val="clear" w:fill="FFFFFF"/>
          <w:lang/>
        </w:rPr>
        <w:t> ngày 15 tháng 11 năm 2011 của Bộ trưởng Bộ Khoa học và Công nghệ về việc xác định tiêu chí dự án ứng dụng công nghệ cao, dự án đầu tư sản xuất sản phẩm công nghệ cao và thẩm định hồ sơ đề nghị cấp Giấy chứng nhận hoạt động ứng dụng công nghệ cao, doanh nghiệp thành lập mới từ dự án đầu tư sản xuất sản phẩm công nghệ cao, doanh nghiệp công nghệ cao; Thông tư số </w:t>
      </w:r>
      <w:bookmarkStart w:id="13" w:name="tvpllink_fohvdmeyjj"/>
      <w:r>
        <w:rPr>
          <w:rFonts w:hint="default" w:ascii="Times New Roman" w:hAnsi="Times New Roman" w:cs="Times New Roman"/>
          <w:i w:val="0"/>
          <w:iCs w:val="0"/>
          <w:caps w:val="0"/>
          <w:color w:val="auto"/>
          <w:spacing w:val="0"/>
          <w:sz w:val="28"/>
          <w:szCs w:val="28"/>
          <w:u w:val="none"/>
          <w:bdr w:val="none" w:color="auto" w:sz="0" w:space="0"/>
          <w:shd w:val="clear" w:fill="FFFFFF"/>
          <w:lang/>
        </w:rPr>
        <w:t>04/2020/TT-BKHCN</w:t>
      </w:r>
      <w:bookmarkEnd w:id="13"/>
      <w:r>
        <w:rPr>
          <w:rFonts w:hint="default" w:ascii="Times New Roman" w:hAnsi="Times New Roman" w:cs="Times New Roman"/>
          <w:i w:val="0"/>
          <w:iCs w:val="0"/>
          <w:caps w:val="0"/>
          <w:color w:val="auto"/>
          <w:spacing w:val="0"/>
          <w:sz w:val="28"/>
          <w:szCs w:val="28"/>
          <w:bdr w:val="none" w:color="auto" w:sz="0" w:space="0"/>
          <w:shd w:val="clear" w:fill="FFFFFF"/>
          <w:lang/>
        </w:rPr>
        <w:t> ngày 28 tháng 9 năm 2020 của Bộ trưởng Bộ Khoa học và Công nghệ sửa đổi, bổ sung một số điều của Thông tư số </w:t>
      </w:r>
      <w:bookmarkStart w:id="14" w:name="tvpllink_ahwhxqbaah_1"/>
      <w:r>
        <w:rPr>
          <w:rFonts w:hint="default" w:ascii="Times New Roman" w:hAnsi="Times New Roman" w:cs="Times New Roman"/>
          <w:i w:val="0"/>
          <w:iCs w:val="0"/>
          <w:caps w:val="0"/>
          <w:color w:val="auto"/>
          <w:spacing w:val="0"/>
          <w:sz w:val="28"/>
          <w:szCs w:val="28"/>
          <w:u w:val="none"/>
          <w:bdr w:val="none" w:color="auto" w:sz="0" w:space="0"/>
          <w:shd w:val="clear" w:fill="FFFFFF"/>
          <w:lang/>
        </w:rPr>
        <w:t>32/2011/TT-BKHCN</w:t>
      </w:r>
      <w:bookmarkEnd w:id="14"/>
      <w:r>
        <w:rPr>
          <w:rFonts w:hint="default" w:ascii="Times New Roman" w:hAnsi="Times New Roman" w:cs="Times New Roman"/>
          <w:i w:val="0"/>
          <w:iCs w:val="0"/>
          <w:caps w:val="0"/>
          <w:color w:val="auto"/>
          <w:spacing w:val="0"/>
          <w:sz w:val="28"/>
          <w:szCs w:val="28"/>
          <w:bdr w:val="none" w:color="auto" w:sz="0" w:space="0"/>
          <w:shd w:val="clear" w:fill="FFFFFF"/>
          <w:lang/>
        </w:rPr>
        <w:t> ngày 15 tháng 11 năm 2011 của Bộ trưởng Bộ Khoa học và Công nghệ về việc xác định tiêu chí dự án ứng dụng công nghệ cao, dự án đầu tư sản xuất sản phẩm công nghệ cao và thẩm định hồ sơ đề nghị cấp Giấy chứng nhận hoạt động ứng dụng công nghệ cao, doanh nghiệp thành lập mới từ dự án đầu tư sản xuất sản phẩm công nghệ cao, doanh nghiệp công nghệ cao;</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b) Nghị định số </w:t>
      </w:r>
      <w:bookmarkStart w:id="15" w:name="tvpllink_apwcxupwjb"/>
      <w:r>
        <w:rPr>
          <w:rFonts w:hint="default" w:ascii="Times New Roman" w:hAnsi="Times New Roman" w:cs="Times New Roman"/>
          <w:i w:val="0"/>
          <w:iCs w:val="0"/>
          <w:caps w:val="0"/>
          <w:color w:val="auto"/>
          <w:spacing w:val="0"/>
          <w:sz w:val="28"/>
          <w:szCs w:val="28"/>
          <w:u w:val="none"/>
          <w:bdr w:val="none" w:color="auto" w:sz="0" w:space="0"/>
          <w:shd w:val="clear" w:fill="FFFFFF"/>
          <w:lang/>
        </w:rPr>
        <w:t>204/2004/NĐ-CP</w:t>
      </w:r>
      <w:bookmarkEnd w:id="15"/>
      <w:r>
        <w:rPr>
          <w:rFonts w:hint="default" w:ascii="Times New Roman" w:hAnsi="Times New Roman" w:cs="Times New Roman"/>
          <w:i w:val="0"/>
          <w:iCs w:val="0"/>
          <w:caps w:val="0"/>
          <w:color w:val="auto"/>
          <w:spacing w:val="0"/>
          <w:sz w:val="28"/>
          <w:szCs w:val="28"/>
          <w:bdr w:val="none" w:color="auto" w:sz="0" w:space="0"/>
          <w:shd w:val="clear" w:fill="FFFFFF"/>
          <w:lang/>
        </w:rPr>
        <w:t> ngày 14 tháng 12 năm 2004 của Chính phủ quy định về chế độ tiền lương đối với cán bộ, công chức, viên chức và lực lượng vũ trang và Nghị định số </w:t>
      </w:r>
      <w:bookmarkStart w:id="16" w:name="tvpllink_aztemlsawm"/>
      <w:r>
        <w:rPr>
          <w:rFonts w:hint="default" w:ascii="Times New Roman" w:hAnsi="Times New Roman" w:cs="Times New Roman"/>
          <w:i w:val="0"/>
          <w:iCs w:val="0"/>
          <w:caps w:val="0"/>
          <w:color w:val="auto"/>
          <w:spacing w:val="0"/>
          <w:sz w:val="28"/>
          <w:szCs w:val="28"/>
          <w:u w:val="none"/>
          <w:bdr w:val="none" w:color="auto" w:sz="0" w:space="0"/>
          <w:shd w:val="clear" w:fill="FFFFFF"/>
          <w:lang/>
        </w:rPr>
        <w:t>117/2016/NĐ-CP</w:t>
      </w:r>
      <w:bookmarkEnd w:id="16"/>
      <w:r>
        <w:rPr>
          <w:rFonts w:hint="default" w:ascii="Times New Roman" w:hAnsi="Times New Roman" w:cs="Times New Roman"/>
          <w:i w:val="0"/>
          <w:iCs w:val="0"/>
          <w:caps w:val="0"/>
          <w:color w:val="auto"/>
          <w:spacing w:val="0"/>
          <w:sz w:val="28"/>
          <w:szCs w:val="28"/>
          <w:bdr w:val="none" w:color="auto" w:sz="0" w:space="0"/>
          <w:shd w:val="clear" w:fill="FFFFFF"/>
          <w:lang/>
        </w:rPr>
        <w:t> ngày 21 tháng 7 năm 2016 của Chính phủ sửa đổi, bổ sung một số điều của Nghị định số </w:t>
      </w:r>
      <w:bookmarkStart w:id="17" w:name="tvpllink_apwcxupwjb_1"/>
      <w:r>
        <w:rPr>
          <w:rFonts w:hint="default" w:ascii="Times New Roman" w:hAnsi="Times New Roman" w:cs="Times New Roman"/>
          <w:i w:val="0"/>
          <w:iCs w:val="0"/>
          <w:caps w:val="0"/>
          <w:color w:val="auto"/>
          <w:spacing w:val="0"/>
          <w:sz w:val="28"/>
          <w:szCs w:val="28"/>
          <w:u w:val="none"/>
          <w:bdr w:val="none" w:color="auto" w:sz="0" w:space="0"/>
          <w:shd w:val="clear" w:fill="FFFFFF"/>
          <w:lang/>
        </w:rPr>
        <w:t>204/2004/NĐ-CP</w:t>
      </w:r>
      <w:bookmarkEnd w:id="17"/>
      <w:r>
        <w:rPr>
          <w:rFonts w:hint="default" w:ascii="Times New Roman" w:hAnsi="Times New Roman" w:cs="Times New Roman"/>
          <w:i w:val="0"/>
          <w:iCs w:val="0"/>
          <w:caps w:val="0"/>
          <w:color w:val="auto"/>
          <w:spacing w:val="0"/>
          <w:sz w:val="28"/>
          <w:szCs w:val="28"/>
          <w:bdr w:val="none" w:color="auto" w:sz="0" w:space="0"/>
          <w:shd w:val="clear" w:fill="FFFFFF"/>
          <w:lang/>
        </w:rPr>
        <w:t> ngày 14 tháng 12 năm 2004 của Chính phủ về chế độ tiền lương đối với cán bộ, công chức, viên chức và lực lượng vũ trang;</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c) Nghị định số </w:t>
      </w:r>
      <w:bookmarkStart w:id="18" w:name="tvpllink_iyunljivwu"/>
      <w:r>
        <w:rPr>
          <w:rFonts w:hint="default" w:ascii="Times New Roman" w:hAnsi="Times New Roman" w:cs="Times New Roman"/>
          <w:i w:val="0"/>
          <w:iCs w:val="0"/>
          <w:caps w:val="0"/>
          <w:color w:val="auto"/>
          <w:spacing w:val="0"/>
          <w:sz w:val="28"/>
          <w:szCs w:val="28"/>
          <w:u w:val="none"/>
          <w:bdr w:val="none" w:color="auto" w:sz="0" w:space="0"/>
          <w:shd w:val="clear" w:fill="FFFFFF"/>
          <w:lang/>
        </w:rPr>
        <w:t>38/2019/NĐ-CP</w:t>
      </w:r>
      <w:bookmarkEnd w:id="18"/>
      <w:r>
        <w:rPr>
          <w:rFonts w:hint="default" w:ascii="Times New Roman" w:hAnsi="Times New Roman" w:cs="Times New Roman"/>
          <w:i w:val="0"/>
          <w:iCs w:val="0"/>
          <w:caps w:val="0"/>
          <w:color w:val="auto"/>
          <w:spacing w:val="0"/>
          <w:sz w:val="28"/>
          <w:szCs w:val="28"/>
          <w:bdr w:val="none" w:color="auto" w:sz="0" w:space="0"/>
          <w:shd w:val="clear" w:fill="FFFFFF"/>
          <w:lang/>
        </w:rPr>
        <w:t> ngày 09 tháng 5 năm 2019 của Chính phủ quy định mức lương cơ sở đối với cán bộ, công chức, viên chức và lực lượng vũ trang;</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d) Quyết định số </w:t>
      </w:r>
      <w:bookmarkStart w:id="19" w:name="tvpllink_lwbwmqbaky"/>
      <w:r>
        <w:rPr>
          <w:rFonts w:hint="default" w:ascii="Times New Roman" w:hAnsi="Times New Roman" w:cs="Times New Roman"/>
          <w:i w:val="0"/>
          <w:iCs w:val="0"/>
          <w:caps w:val="0"/>
          <w:color w:val="auto"/>
          <w:spacing w:val="0"/>
          <w:sz w:val="28"/>
          <w:szCs w:val="28"/>
          <w:u w:val="none"/>
          <w:bdr w:val="none" w:color="auto" w:sz="0" w:space="0"/>
          <w:shd w:val="clear" w:fill="FFFFFF"/>
          <w:lang/>
        </w:rPr>
        <w:t>50/2017/QĐ-TTg</w:t>
      </w:r>
      <w:bookmarkEnd w:id="19"/>
      <w:r>
        <w:rPr>
          <w:rFonts w:hint="default" w:ascii="Times New Roman" w:hAnsi="Times New Roman" w:cs="Times New Roman"/>
          <w:i w:val="0"/>
          <w:iCs w:val="0"/>
          <w:caps w:val="0"/>
          <w:color w:val="auto"/>
          <w:spacing w:val="0"/>
          <w:sz w:val="28"/>
          <w:szCs w:val="28"/>
          <w:bdr w:val="none" w:color="auto" w:sz="0" w:space="0"/>
          <w:shd w:val="clear" w:fill="FFFFFF"/>
          <w:lang/>
        </w:rPr>
        <w:t> ngày 31 tháng 12 năm 2017 của Thủ tướng Chính phủ quy định tiêu chuẩn, định mức sử dụng máy móc, thiết bị;</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đ) Thông tư số </w:t>
      </w:r>
      <w:bookmarkStart w:id="20" w:name="tvpllink_dbnnvamfdu"/>
      <w:r>
        <w:rPr>
          <w:rFonts w:hint="default" w:ascii="Times New Roman" w:hAnsi="Times New Roman" w:cs="Times New Roman"/>
          <w:i w:val="0"/>
          <w:iCs w:val="0"/>
          <w:caps w:val="0"/>
          <w:color w:val="auto"/>
          <w:spacing w:val="0"/>
          <w:sz w:val="28"/>
          <w:szCs w:val="28"/>
          <w:u w:val="none"/>
          <w:bdr w:val="none" w:color="auto" w:sz="0" w:space="0"/>
          <w:shd w:val="clear" w:fill="FFFFFF"/>
          <w:lang/>
        </w:rPr>
        <w:t>45/2018/TT-BTC</w:t>
      </w:r>
      <w:bookmarkEnd w:id="20"/>
      <w:r>
        <w:rPr>
          <w:rFonts w:hint="default" w:ascii="Times New Roman" w:hAnsi="Times New Roman" w:cs="Times New Roman"/>
          <w:i w:val="0"/>
          <w:iCs w:val="0"/>
          <w:caps w:val="0"/>
          <w:color w:val="auto"/>
          <w:spacing w:val="0"/>
          <w:sz w:val="28"/>
          <w:szCs w:val="28"/>
          <w:bdr w:val="none" w:color="auto" w:sz="0" w:space="0"/>
          <w:shd w:val="clear" w:fill="FFFFFF"/>
          <w:lang/>
        </w:rPr>
        <w:t> ngày 07 tháng 5 năm 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e) Thông tư liên tịch số </w:t>
      </w:r>
      <w:bookmarkStart w:id="21" w:name="tvpllink_fjjoenmuhc"/>
      <w:r>
        <w:rPr>
          <w:rFonts w:hint="default" w:ascii="Times New Roman" w:hAnsi="Times New Roman" w:cs="Times New Roman"/>
          <w:i w:val="0"/>
          <w:iCs w:val="0"/>
          <w:caps w:val="0"/>
          <w:color w:val="auto"/>
          <w:spacing w:val="0"/>
          <w:sz w:val="28"/>
          <w:szCs w:val="28"/>
          <w:u w:val="none"/>
          <w:bdr w:val="none" w:color="auto" w:sz="0" w:space="0"/>
          <w:shd w:val="clear" w:fill="FFFFFF"/>
          <w:lang/>
        </w:rPr>
        <w:t>24/2014/TTLT-BKHCN-BNV</w:t>
      </w:r>
      <w:bookmarkEnd w:id="21"/>
      <w:r>
        <w:rPr>
          <w:rFonts w:hint="default" w:ascii="Times New Roman" w:hAnsi="Times New Roman" w:cs="Times New Roman"/>
          <w:i w:val="0"/>
          <w:iCs w:val="0"/>
          <w:caps w:val="0"/>
          <w:color w:val="auto"/>
          <w:spacing w:val="0"/>
          <w:sz w:val="28"/>
          <w:szCs w:val="28"/>
          <w:bdr w:val="none" w:color="auto" w:sz="0" w:space="0"/>
          <w:shd w:val="clear" w:fill="FFFFFF"/>
          <w:lang/>
        </w:rPr>
        <w:t> ngày 01 tháng 10 năm 2014 của Bộ trưởng Bộ Khoa học và Công nghệ và Bộ trưởng Bộ Nội vụ quy định mã số và tiêu chuẩn chức danh nghề nghiệp viên chức chuyên ngành khoa học và công nghệ; Thông tư số </w:t>
      </w:r>
      <w:bookmarkStart w:id="22" w:name="tvpllink_oqucdpteut"/>
      <w:r>
        <w:rPr>
          <w:rFonts w:hint="default" w:ascii="Times New Roman" w:hAnsi="Times New Roman" w:cs="Times New Roman"/>
          <w:i w:val="0"/>
          <w:iCs w:val="0"/>
          <w:caps w:val="0"/>
          <w:color w:val="auto"/>
          <w:spacing w:val="0"/>
          <w:sz w:val="28"/>
          <w:szCs w:val="28"/>
          <w:u w:val="none"/>
          <w:bdr w:val="none" w:color="auto" w:sz="0" w:space="0"/>
          <w:shd w:val="clear" w:fill="FFFFFF"/>
          <w:lang/>
        </w:rPr>
        <w:t>01/2020/TT-BKHCN</w:t>
      </w:r>
      <w:bookmarkEnd w:id="22"/>
      <w:r>
        <w:rPr>
          <w:rFonts w:hint="default" w:ascii="Times New Roman" w:hAnsi="Times New Roman" w:cs="Times New Roman"/>
          <w:i w:val="0"/>
          <w:iCs w:val="0"/>
          <w:caps w:val="0"/>
          <w:color w:val="auto"/>
          <w:spacing w:val="0"/>
          <w:sz w:val="28"/>
          <w:szCs w:val="28"/>
          <w:bdr w:val="none" w:color="auto" w:sz="0" w:space="0"/>
          <w:shd w:val="clear" w:fill="FFFFFF"/>
          <w:lang/>
        </w:rPr>
        <w:t> ngày 20 tháng 01 năm 2020 của Bộ trưởng Bộ Khoa học và Công nghệ sửa đổi, bổ sung một số điều của Thông tư liên tịch số </w:t>
      </w:r>
      <w:bookmarkStart w:id="23" w:name="tvpllink_fjjoenmuhc_1"/>
      <w:r>
        <w:rPr>
          <w:rFonts w:hint="default" w:ascii="Times New Roman" w:hAnsi="Times New Roman" w:cs="Times New Roman"/>
          <w:i w:val="0"/>
          <w:iCs w:val="0"/>
          <w:caps w:val="0"/>
          <w:color w:val="auto"/>
          <w:spacing w:val="0"/>
          <w:sz w:val="28"/>
          <w:szCs w:val="28"/>
          <w:u w:val="none"/>
          <w:bdr w:val="none" w:color="auto" w:sz="0" w:space="0"/>
          <w:shd w:val="clear" w:fill="FFFFFF"/>
          <w:lang/>
        </w:rPr>
        <w:t>24/2014/TTLT-BKHCN-BNV</w:t>
      </w:r>
      <w:bookmarkEnd w:id="23"/>
      <w:r>
        <w:rPr>
          <w:rFonts w:hint="default" w:ascii="Times New Roman" w:hAnsi="Times New Roman" w:cs="Times New Roman"/>
          <w:i w:val="0"/>
          <w:iCs w:val="0"/>
          <w:caps w:val="0"/>
          <w:color w:val="auto"/>
          <w:spacing w:val="0"/>
          <w:sz w:val="28"/>
          <w:szCs w:val="28"/>
          <w:bdr w:val="none" w:color="auto" w:sz="0" w:space="0"/>
          <w:shd w:val="clear" w:fill="FFFFFF"/>
          <w:lang/>
        </w:rPr>
        <w: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g) Thông tư số </w:t>
      </w:r>
      <w:bookmarkStart w:id="24" w:name="tvpllink_auifuirrxi"/>
      <w:r>
        <w:rPr>
          <w:rFonts w:hint="default" w:ascii="Times New Roman" w:hAnsi="Times New Roman" w:cs="Times New Roman"/>
          <w:i w:val="0"/>
          <w:iCs w:val="0"/>
          <w:caps w:val="0"/>
          <w:color w:val="auto"/>
          <w:spacing w:val="0"/>
          <w:sz w:val="28"/>
          <w:szCs w:val="28"/>
          <w:u w:val="none"/>
          <w:bdr w:val="none" w:color="auto" w:sz="0" w:space="0"/>
          <w:shd w:val="clear" w:fill="FFFFFF"/>
          <w:lang/>
        </w:rPr>
        <w:t>03/2023/TT-BTC</w:t>
      </w:r>
      <w:bookmarkEnd w:id="24"/>
      <w:r>
        <w:rPr>
          <w:rFonts w:hint="default" w:ascii="Times New Roman" w:hAnsi="Times New Roman" w:cs="Times New Roman"/>
          <w:i w:val="0"/>
          <w:iCs w:val="0"/>
          <w:caps w:val="0"/>
          <w:color w:val="auto"/>
          <w:spacing w:val="0"/>
          <w:sz w:val="28"/>
          <w:szCs w:val="28"/>
          <w:bdr w:val="none" w:color="auto" w:sz="0" w:space="0"/>
          <w:shd w:val="clear" w:fill="FFFFFF"/>
          <w:lang/>
        </w:rPr>
        <w:t> ngày 10 tháng 01 năm 2023 của Bộ trưởng Bộ Tài chính quy định lập dự toán, quản lý sử dụng và quyết toán kinh phí ngân sách nhà nước thực hiện nhiệm vụ khoa học và công nghệ;</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h) Thông tư số </w:t>
      </w:r>
      <w:bookmarkStart w:id="25" w:name="tvpllink_jhhuybatuh"/>
      <w:r>
        <w:rPr>
          <w:rFonts w:hint="default" w:ascii="Times New Roman" w:hAnsi="Times New Roman" w:cs="Times New Roman"/>
          <w:i w:val="0"/>
          <w:iCs w:val="0"/>
          <w:caps w:val="0"/>
          <w:color w:val="auto"/>
          <w:spacing w:val="0"/>
          <w:sz w:val="28"/>
          <w:szCs w:val="28"/>
          <w:u w:val="none"/>
          <w:bdr w:val="none" w:color="auto" w:sz="0" w:space="0"/>
          <w:shd w:val="clear" w:fill="FFFFFF"/>
          <w:lang/>
        </w:rPr>
        <w:t>107/2017/TT-BTC</w:t>
      </w:r>
      <w:bookmarkEnd w:id="25"/>
      <w:r>
        <w:rPr>
          <w:rFonts w:hint="default" w:ascii="Times New Roman" w:hAnsi="Times New Roman" w:cs="Times New Roman"/>
          <w:i w:val="0"/>
          <w:iCs w:val="0"/>
          <w:caps w:val="0"/>
          <w:color w:val="auto"/>
          <w:spacing w:val="0"/>
          <w:sz w:val="28"/>
          <w:szCs w:val="28"/>
          <w:bdr w:val="none" w:color="auto" w:sz="0" w:space="0"/>
          <w:shd w:val="clear" w:fill="FFFFFF"/>
          <w:lang/>
        </w:rPr>
        <w:t> ngày 10 tháng 10 năm 2017 của Bộ trưởng Bộ Tài chính về hướng dẫn chế độ kế toán hành chính, sự nghiệp.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Xây dựng định mức kinh tế - kỹ thuật chưa có quy định cụ thể</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Đối với các định mức kinh tế - kỹ thuật chưa có văn bản quy phạm pháp luật quy định cụ thể, phương pháp xây dựng thực hiện theo quy định tại </w:t>
      </w:r>
      <w:bookmarkStart w:id="26" w:name="dc_1"/>
      <w:r>
        <w:rPr>
          <w:rFonts w:hint="default" w:ascii="Times New Roman" w:hAnsi="Times New Roman" w:cs="Times New Roman"/>
          <w:i w:val="0"/>
          <w:iCs w:val="0"/>
          <w:caps w:val="0"/>
          <w:color w:val="auto"/>
          <w:spacing w:val="0"/>
          <w:sz w:val="28"/>
          <w:szCs w:val="28"/>
          <w:u w:val="none"/>
          <w:bdr w:val="none" w:color="auto" w:sz="0" w:space="0"/>
          <w:shd w:val="clear" w:fill="FFFFFF"/>
          <w:lang/>
        </w:rPr>
        <w:t>Điều 10 Thông tư số</w:t>
      </w:r>
      <w:bookmarkStart w:id="33" w:name="_GoBack"/>
      <w:r>
        <w:rPr>
          <w:rFonts w:hint="default" w:ascii="Times New Roman" w:hAnsi="Times New Roman" w:cs="Times New Roman"/>
          <w:i w:val="0"/>
          <w:iCs w:val="0"/>
          <w:caps w:val="0"/>
          <w:color w:val="auto"/>
          <w:spacing w:val="0"/>
          <w:sz w:val="28"/>
          <w:szCs w:val="28"/>
          <w:u w:val="none"/>
          <w:bdr w:val="none" w:color="auto" w:sz="0" w:space="0"/>
          <w:shd w:val="clear" w:fill="FFFFFF"/>
          <w:lang/>
        </w:rPr>
        <w:t xml:space="preserve"> 21/2019/TT-BKHCN</w:t>
      </w:r>
      <w:bookmarkEnd w:id="26"/>
      <w:bookmarkEnd w:id="33"/>
      <w:r>
        <w:rPr>
          <w:rFonts w:hint="default" w:ascii="Times New Roman" w:hAnsi="Times New Roman" w:cs="Times New Roman"/>
          <w:i w:val="0"/>
          <w:iCs w:val="0"/>
          <w:caps w:val="0"/>
          <w:color w:val="auto"/>
          <w:spacing w:val="0"/>
          <w:sz w:val="28"/>
          <w:szCs w:val="28"/>
          <w:bdr w:val="none" w:color="auto" w:sz="0" w:space="0"/>
          <w:shd w:val="clear" w:fill="FFFFFF"/>
          <w:lang/>
        </w:rPr>
        <w:t> ngày 18 tháng 12 năm 2019 của Bộ trưởng Bộ Khoa học và Công nghệ quy định quy trình xây dựng định mức kinh tế - kỹ thuật dịch vụ sự nghiệp công sử dụng ngân sách nhà nước thuộc lĩnh vực quản lý nhà nước của Bộ Khoa học và Công nghệ (sau đây gọi tắt là Thông tư số </w:t>
      </w:r>
      <w:bookmarkStart w:id="27" w:name="tvpllink_vusxoddhko"/>
      <w:r>
        <w:rPr>
          <w:rFonts w:hint="default" w:ascii="Times New Roman" w:hAnsi="Times New Roman" w:cs="Times New Roman"/>
          <w:i w:val="0"/>
          <w:iCs w:val="0"/>
          <w:caps w:val="0"/>
          <w:color w:val="auto"/>
          <w:spacing w:val="0"/>
          <w:sz w:val="28"/>
          <w:szCs w:val="28"/>
          <w:u w:val="none"/>
          <w:bdr w:val="none" w:color="auto" w:sz="0" w:space="0"/>
          <w:shd w:val="clear" w:fill="FFFFFF"/>
          <w:lang/>
        </w:rPr>
        <w:t>21/2019/TT-BKHCN</w:t>
      </w:r>
      <w:bookmarkEnd w:id="27"/>
      <w:r>
        <w:rPr>
          <w:rFonts w:hint="default" w:ascii="Times New Roman" w:hAnsi="Times New Roman" w:cs="Times New Roman"/>
          <w:i w:val="0"/>
          <w:iCs w:val="0"/>
          <w:caps w:val="0"/>
          <w:color w:val="auto"/>
          <w:spacing w:val="0"/>
          <w:sz w:val="28"/>
          <w:szCs w:val="28"/>
          <w:bdr w:val="none" w:color="auto" w:sz="0" w:space="0"/>
          <w:shd w:val="clear" w:fill="FFFFFF"/>
          <w:lang/>
        </w:rPr>
        <w: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3. Cơ sở xây dựng định mức kinh tế - kỹ thuật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Định mức kinh tế-kỹ thuật quy định tại Thông tư này xây dựng trên cơ sở “Quy trình thẩm định cấp Giấy chứng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 đã được phê duyệt.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28" w:name="dieu_5"/>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5. Nội dung định mức kinh tế - kỹ thuật</w:t>
      </w:r>
      <w:bookmarkEnd w:id="28"/>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Nội dung định mức kinh tế - kỹ thuật thực hiện theo quy định tại </w:t>
      </w:r>
      <w:bookmarkStart w:id="29" w:name="dc_2"/>
      <w:r>
        <w:rPr>
          <w:rFonts w:hint="default" w:ascii="Times New Roman" w:hAnsi="Times New Roman" w:cs="Times New Roman"/>
          <w:i w:val="0"/>
          <w:iCs w:val="0"/>
          <w:caps w:val="0"/>
          <w:color w:val="auto"/>
          <w:spacing w:val="0"/>
          <w:sz w:val="28"/>
          <w:szCs w:val="28"/>
          <w:u w:val="none"/>
          <w:bdr w:val="none" w:color="auto" w:sz="0" w:space="0"/>
          <w:shd w:val="clear" w:fill="FFFFFF"/>
          <w:lang/>
        </w:rPr>
        <w:t>Điều 14 Thông tư số 21/2019/TT-BKHCN</w:t>
      </w:r>
      <w:bookmarkEnd w:id="29"/>
      <w:r>
        <w:rPr>
          <w:rFonts w:hint="default" w:ascii="Times New Roman" w:hAnsi="Times New Roman" w:cs="Times New Roman"/>
          <w:i w:val="0"/>
          <w:iCs w:val="0"/>
          <w:caps w:val="0"/>
          <w:color w:val="auto"/>
          <w:spacing w:val="0"/>
          <w:sz w:val="28"/>
          <w:szCs w:val="28"/>
          <w:bdr w:val="none" w:color="auto" w:sz="0" w:space="0"/>
          <w:shd w:val="clear" w:fill="FFFFFF"/>
          <w:lang/>
        </w:rPr>
        <w:t>, bao gồm các định mức thành phần như sau:</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a) Định mức lao động bao gồm thời gian lao động trực tiếp (thực hiện) và gián tiếp (quản lý, phục vụ), trong đó:</w:t>
      </w:r>
    </w:p>
    <w:tbl>
      <w:tblPr>
        <w:tblW w:w="0" w:type="auto"/>
        <w:tblCellSpacing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20"/>
        <w:gridCol w:w="786"/>
        <w:gridCol w:w="2200"/>
        <w:gridCol w:w="900"/>
        <w:gridCol w:w="26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blCellSpacing w:w="0" w:type="dxa"/>
        </w:trPr>
        <w:tc>
          <w:tcPr>
            <w:tcW w:w="2020" w:type="dxa"/>
            <w:shd w:val="clear" w:color="auto" w:fill="FFFFFF"/>
            <w:tcMar>
              <w:left w:w="100" w:type="dxa"/>
              <w:right w:w="100" w:type="dxa"/>
            </w:tcMar>
            <w:vAlign w:val="center"/>
          </w:tcPr>
          <w:p>
            <w:pPr>
              <w:pStyle w:val="12"/>
              <w:keepNext w:val="0"/>
              <w:keepLines w:val="0"/>
              <w:widowControl/>
              <w:suppressLineNumbers w:val="0"/>
              <w:pBdr>
                <w:left w:val="none" w:color="auto" w:sz="0" w:space="0"/>
                <w:right w:val="none" w:color="auto" w:sz="0" w:space="0"/>
              </w:pBdr>
              <w:spacing w:before="120" w:beforeAutospacing="0" w:after="120" w:afterAutospacing="0" w:line="225" w:lineRule="atLeast"/>
              <w:ind w:left="0" w:leftChars="0" w:right="0" w:firstLine="599" w:firstLineChars="214"/>
              <w:jc w:val="both"/>
              <w:rPr>
                <w:rFonts w:hint="default" w:ascii="Times New Roman" w:hAnsi="Times New Roman" w:cs="Times New Roman"/>
                <w:color w:val="auto"/>
                <w:sz w:val="28"/>
                <w:szCs w:val="28"/>
              </w:rPr>
            </w:pPr>
            <w:r>
              <w:rPr>
                <w:rFonts w:hint="default" w:ascii="Times New Roman" w:hAnsi="Times New Roman" w:cs="Times New Roman"/>
                <w:i w:val="0"/>
                <w:iCs w:val="0"/>
                <w:caps w:val="0"/>
                <w:color w:val="auto"/>
                <w:spacing w:val="0"/>
                <w:sz w:val="28"/>
                <w:szCs w:val="28"/>
                <w:bdr w:val="none" w:color="auto" w:sz="0" w:space="0"/>
                <w:lang/>
              </w:rPr>
              <w:t>Định mức lao động</w:t>
            </w:r>
          </w:p>
        </w:tc>
        <w:tc>
          <w:tcPr>
            <w:tcW w:w="6" w:type="dxa"/>
            <w:shd w:val="clear" w:color="auto" w:fill="FFFFFF"/>
            <w:tcMar>
              <w:left w:w="100" w:type="dxa"/>
              <w:right w:w="100" w:type="dxa"/>
            </w:tcMar>
            <w:vAlign w:val="center"/>
          </w:tcPr>
          <w:p>
            <w:pPr>
              <w:pStyle w:val="12"/>
              <w:keepNext w:val="0"/>
              <w:keepLines w:val="0"/>
              <w:widowControl/>
              <w:suppressLineNumbers w:val="0"/>
              <w:pBdr>
                <w:left w:val="none" w:color="auto" w:sz="0" w:space="0"/>
                <w:right w:val="none" w:color="auto" w:sz="0" w:space="0"/>
              </w:pBdr>
              <w:spacing w:before="120" w:beforeAutospacing="0" w:after="120" w:afterAutospacing="0" w:line="225" w:lineRule="atLeast"/>
              <w:ind w:left="0" w:leftChars="0" w:right="0" w:firstLine="599" w:firstLineChars="214"/>
              <w:jc w:val="both"/>
              <w:rPr>
                <w:rFonts w:hint="default" w:ascii="Times New Roman" w:hAnsi="Times New Roman" w:cs="Times New Roman"/>
                <w:color w:val="auto"/>
                <w:sz w:val="28"/>
                <w:szCs w:val="28"/>
              </w:rPr>
            </w:pPr>
            <w:r>
              <w:rPr>
                <w:rFonts w:hint="default" w:ascii="Times New Roman" w:hAnsi="Times New Roman" w:cs="Times New Roman"/>
                <w:i w:val="0"/>
                <w:iCs w:val="0"/>
                <w:caps w:val="0"/>
                <w:color w:val="auto"/>
                <w:spacing w:val="0"/>
                <w:sz w:val="28"/>
                <w:szCs w:val="28"/>
                <w:bdr w:val="none" w:color="auto" w:sz="0" w:space="0"/>
                <w:lang/>
              </w:rPr>
              <w:t>=</w:t>
            </w:r>
          </w:p>
        </w:tc>
        <w:tc>
          <w:tcPr>
            <w:tcW w:w="2200" w:type="dxa"/>
            <w:shd w:val="clear" w:color="auto" w:fill="FFFFFF"/>
            <w:tcMar>
              <w:left w:w="100" w:type="dxa"/>
              <w:right w:w="100" w:type="dxa"/>
            </w:tcMar>
            <w:vAlign w:val="center"/>
          </w:tcPr>
          <w:p>
            <w:pPr>
              <w:pStyle w:val="12"/>
              <w:keepNext w:val="0"/>
              <w:keepLines w:val="0"/>
              <w:widowControl/>
              <w:suppressLineNumbers w:val="0"/>
              <w:pBdr>
                <w:left w:val="none" w:color="auto" w:sz="0" w:space="0"/>
                <w:right w:val="none" w:color="auto" w:sz="0" w:space="0"/>
              </w:pBdr>
              <w:spacing w:before="120" w:beforeAutospacing="0" w:after="120" w:afterAutospacing="0" w:line="225" w:lineRule="atLeast"/>
              <w:ind w:left="0" w:leftChars="0" w:right="0" w:firstLine="599" w:firstLineChars="214"/>
              <w:jc w:val="both"/>
              <w:rPr>
                <w:rFonts w:hint="default" w:ascii="Times New Roman" w:hAnsi="Times New Roman" w:cs="Times New Roman"/>
                <w:color w:val="auto"/>
                <w:sz w:val="28"/>
                <w:szCs w:val="28"/>
              </w:rPr>
            </w:pPr>
            <w:r>
              <w:rPr>
                <w:rFonts w:hint="default" w:ascii="Times New Roman" w:hAnsi="Times New Roman" w:cs="Times New Roman"/>
                <w:i w:val="0"/>
                <w:iCs w:val="0"/>
                <w:caps w:val="0"/>
                <w:color w:val="auto"/>
                <w:spacing w:val="0"/>
                <w:sz w:val="28"/>
                <w:szCs w:val="28"/>
                <w:bdr w:val="none" w:color="auto" w:sz="0" w:space="0"/>
                <w:lang/>
              </w:rPr>
              <w:t>Định mức lao động trực tiếp (thực hiện)</w:t>
            </w:r>
          </w:p>
        </w:tc>
        <w:tc>
          <w:tcPr>
            <w:tcW w:w="900" w:type="dxa"/>
            <w:shd w:val="clear" w:color="auto" w:fill="FFFFFF"/>
            <w:tcMar>
              <w:left w:w="100" w:type="dxa"/>
              <w:right w:w="100" w:type="dxa"/>
            </w:tcMar>
            <w:vAlign w:val="center"/>
          </w:tcPr>
          <w:p>
            <w:pPr>
              <w:pStyle w:val="12"/>
              <w:keepNext w:val="0"/>
              <w:keepLines w:val="0"/>
              <w:widowControl/>
              <w:suppressLineNumbers w:val="0"/>
              <w:pBdr>
                <w:left w:val="none" w:color="auto" w:sz="0" w:space="0"/>
                <w:right w:val="none" w:color="auto" w:sz="0" w:space="0"/>
              </w:pBdr>
              <w:spacing w:before="120" w:beforeAutospacing="0" w:after="120" w:afterAutospacing="0" w:line="225" w:lineRule="atLeast"/>
              <w:ind w:left="0" w:leftChars="0" w:right="0" w:firstLine="599" w:firstLineChars="214"/>
              <w:jc w:val="both"/>
              <w:rPr>
                <w:rFonts w:hint="default" w:ascii="Times New Roman" w:hAnsi="Times New Roman" w:cs="Times New Roman"/>
                <w:color w:val="auto"/>
                <w:sz w:val="28"/>
                <w:szCs w:val="28"/>
              </w:rPr>
            </w:pPr>
            <w:r>
              <w:rPr>
                <w:rFonts w:hint="default" w:ascii="Times New Roman" w:hAnsi="Times New Roman" w:cs="Times New Roman"/>
                <w:i w:val="0"/>
                <w:iCs w:val="0"/>
                <w:caps w:val="0"/>
                <w:color w:val="auto"/>
                <w:spacing w:val="0"/>
                <w:sz w:val="28"/>
                <w:szCs w:val="28"/>
                <w:bdr w:val="none" w:color="auto" w:sz="0" w:space="0"/>
                <w:lang/>
              </w:rPr>
              <w:t>+</w:t>
            </w:r>
          </w:p>
        </w:tc>
        <w:tc>
          <w:tcPr>
            <w:tcW w:w="2620" w:type="dxa"/>
            <w:shd w:val="clear" w:color="auto" w:fill="FFFFFF"/>
            <w:tcMar>
              <w:left w:w="100" w:type="dxa"/>
              <w:right w:w="100" w:type="dxa"/>
            </w:tcMar>
            <w:vAlign w:val="center"/>
          </w:tcPr>
          <w:p>
            <w:pPr>
              <w:pStyle w:val="12"/>
              <w:keepNext w:val="0"/>
              <w:keepLines w:val="0"/>
              <w:widowControl/>
              <w:suppressLineNumbers w:val="0"/>
              <w:pBdr>
                <w:left w:val="none" w:color="auto" w:sz="0" w:space="0"/>
                <w:right w:val="none" w:color="auto" w:sz="0" w:space="0"/>
              </w:pBdr>
              <w:spacing w:before="120" w:beforeAutospacing="0" w:after="120" w:afterAutospacing="0" w:line="225" w:lineRule="atLeast"/>
              <w:ind w:left="0" w:leftChars="0" w:right="0" w:firstLine="599" w:firstLineChars="214"/>
              <w:jc w:val="both"/>
              <w:rPr>
                <w:rFonts w:hint="default" w:ascii="Times New Roman" w:hAnsi="Times New Roman" w:cs="Times New Roman"/>
                <w:color w:val="auto"/>
                <w:sz w:val="28"/>
                <w:szCs w:val="28"/>
              </w:rPr>
            </w:pPr>
            <w:r>
              <w:rPr>
                <w:rFonts w:hint="default" w:ascii="Times New Roman" w:hAnsi="Times New Roman" w:cs="Times New Roman"/>
                <w:i w:val="0"/>
                <w:iCs w:val="0"/>
                <w:caps w:val="0"/>
                <w:color w:val="auto"/>
                <w:spacing w:val="0"/>
                <w:sz w:val="28"/>
                <w:szCs w:val="28"/>
                <w:bdr w:val="none" w:color="auto" w:sz="0" w:space="0"/>
                <w:lang/>
              </w:rPr>
              <w:t>Định mức lao động gián tiếp (quản lý, phục vụ)</w:t>
            </w:r>
          </w:p>
        </w:tc>
      </w:tr>
    </w:tbl>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 Định mức lao động trực tiếp là thời gian thực hiện xong một dịch vụ sự nghiệp công về thẩm định cấp Giấy chứng nhận hoạt động công nghệ cao đạt được các tiêu chí, tiêu chuẩn theo quy định.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 Định mức lao động gián tiếp (quản lý, phục vụ) thực hiện một dịch vụ sự nghiệp công về thẩm định cấp Giấy chứng nhận hoạt động công nghệ cao được tính bằng 15% của định mức lao động trực tiếp.</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Mức hao phí thời gian lao động trong định mức được tính bằng công (01 (một) công quy đổi bằng 08 (tám) giờ).</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b) Định mức máy móc, thiết bị là thời gian sử dụng cần thiết đối với từng loại máy móc, thiết bị để hoàn thành một dịch vụ sự nghiệp công về thẩm định cấp Giấy chứng nhận hoạt động công nghệ cao đạt được các tiêu chí, tiêu chuẩn theo quy định.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Mức hao phí máy móc, thiết bị trong định mức được tính bàng ca (01 (một) ca quy đổi bằng 08 (tám) giờ).</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c) Định mức vật tư là mức tiêu hao từng loại nguyên, nhiên liệu, số lượng vật tư cần thiết được sử dụng để hoàn thành một dịch vụ sự nghiệp công về thẩm định cấp Giấy chứng nhận hoạt động công nghệ cao đạt được các tiêu chí, tiêu chuẩn theo quy định.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Tổng định mức và áp dụng định mức kinh tế-kỹ thuật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a) Định mức kinh tế - kỹ thuật dịch vụ sự nghiệp công sử dụng ngân sách nhà nước về thẩm định cấp Giấy chứng nhận hoạt động công nghệ cao là mức tối đa các chi phí, tiêu hao các yếu tố về lao động, máy móc, thiết bị và vật tư để hoàn thành một dịch vụ sự nghiệp công đạt được các tiêu chí, tiêu chuẩn theo quy định.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b) Định mức kinh tế - kỹ thuật dịch vụ sự nghiệp công sử dụng ngân sách nhà nước về thẩm định cấp Giấy chứng nhận hoạt động công nghệ cao phục vụ xây dựng dự toán và đơn giá cho các dịch vụ sự nghiệp công nêu tại </w:t>
      </w:r>
      <w:bookmarkStart w:id="30" w:name="tc_3"/>
      <w:r>
        <w:rPr>
          <w:rFonts w:hint="default" w:ascii="Times New Roman" w:hAnsi="Times New Roman" w:cs="Times New Roman"/>
          <w:i w:val="0"/>
          <w:iCs w:val="0"/>
          <w:caps w:val="0"/>
          <w:color w:val="auto"/>
          <w:spacing w:val="0"/>
          <w:sz w:val="28"/>
          <w:szCs w:val="28"/>
          <w:u w:val="none"/>
          <w:bdr w:val="none" w:color="auto" w:sz="0" w:space="0"/>
          <w:shd w:val="clear" w:fill="FFFFFF"/>
          <w:lang/>
        </w:rPr>
        <w:t>Điều 1 Thông tư này</w:t>
      </w:r>
      <w:bookmarkEnd w:id="30"/>
      <w:r>
        <w:rPr>
          <w:rFonts w:hint="default" w:ascii="Times New Roman" w:hAnsi="Times New Roman" w:cs="Times New Roman"/>
          <w:i w:val="0"/>
          <w:iCs w:val="0"/>
          <w:caps w:val="0"/>
          <w:color w:val="auto"/>
          <w:spacing w:val="0"/>
          <w:sz w:val="28"/>
          <w:szCs w:val="28"/>
          <w:bdr w:val="none" w:color="auto" w:sz="0" w:space="0"/>
          <w:shd w:val="clear" w:fill="FFFFFF"/>
          <w:lang/>
        </w:rPr>
        <w:t>.</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31" w:name="dieu_6"/>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6. Tổ chức thực hiện</w:t>
      </w:r>
      <w:bookmarkEnd w:id="31"/>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Giám đốc Văn phòng Đăng ký hoạt động khoa học và công nghệ có trách nhiệm tổ chức hướng dẫn, phổ biến và triển khai thực hiện Thông tư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Trường hợp các văn bản được viện dẫn trong Thông tư này được sửa đổi, bổ sung hoặc thay thế thì thực hiện theo văn bản mới được ban hành.</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bookmarkStart w:id="32" w:name="dieu_7"/>
      <w:r>
        <w:rPr>
          <w:rFonts w:hint="default" w:ascii="Times New Roman" w:hAnsi="Times New Roman" w:cs="Times New Roman"/>
          <w:b/>
          <w:bCs/>
          <w:i w:val="0"/>
          <w:iCs w:val="0"/>
          <w:caps w:val="0"/>
          <w:color w:val="auto"/>
          <w:spacing w:val="0"/>
          <w:sz w:val="28"/>
          <w:szCs w:val="28"/>
          <w:u w:val="none"/>
          <w:bdr w:val="none" w:color="auto" w:sz="0" w:space="0"/>
          <w:shd w:val="clear" w:fill="FFFFFF"/>
          <w:lang/>
        </w:rPr>
        <w:t>Điều 7. Điều khoản thi hành</w:t>
      </w:r>
      <w:bookmarkEnd w:id="32"/>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1. Thông tư này có hiệu lực từ ngày 15 tháng 6 năm 2023.</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2. Các bộ, cơ quan ngang bộ, cơ quan thuộc Chính phủ, Ủy ban nhân dân các tỉnh, thành phố trực thuộc Trung ương và các tổ chức, cá nhân liên quan chịu trách nhiệm thi hành Thông tư này.</w:t>
      </w:r>
    </w:p>
    <w:p>
      <w:pPr>
        <w:pStyle w:val="12"/>
        <w:keepNext w:val="0"/>
        <w:keepLines w:val="0"/>
        <w:widowControl/>
        <w:suppressLineNumbers w:val="0"/>
        <w:pBdr>
          <w:left w:val="none" w:color="auto" w:sz="0" w:space="0"/>
          <w:right w:val="none" w:color="auto" w:sz="0" w:space="0"/>
        </w:pBdr>
        <w:shd w:val="clear" w:fill="FFFFFF"/>
        <w:spacing w:before="120" w:beforeAutospacing="0" w:after="120" w:afterAutospacing="0" w:line="225" w:lineRule="atLeast"/>
        <w:ind w:left="0" w:leftChars="0" w:right="0" w:firstLine="599" w:firstLineChars="214"/>
        <w:jc w:val="both"/>
        <w:rPr>
          <w:rFonts w:hint="default" w:ascii="Times New Roman" w:hAnsi="Times New Roman" w:cs="Times New Roman"/>
          <w:i w:val="0"/>
          <w:iCs w:val="0"/>
          <w:caps w:val="0"/>
          <w:color w:val="auto"/>
          <w:spacing w:val="0"/>
          <w:sz w:val="28"/>
          <w:szCs w:val="28"/>
        </w:rPr>
      </w:pPr>
      <w:r>
        <w:rPr>
          <w:rFonts w:hint="default" w:ascii="Times New Roman" w:hAnsi="Times New Roman" w:cs="Times New Roman"/>
          <w:i w:val="0"/>
          <w:iCs w:val="0"/>
          <w:caps w:val="0"/>
          <w:color w:val="auto"/>
          <w:spacing w:val="0"/>
          <w:sz w:val="28"/>
          <w:szCs w:val="28"/>
          <w:bdr w:val="none" w:color="auto" w:sz="0" w:space="0"/>
          <w:shd w:val="clear" w:fill="FFFFFF"/>
          <w:lang/>
        </w:rPr>
        <w:t>3. Trong quá trình thực hiện, nếu phát sinh vướng mắc, tổ chức, cá nhân phản ánh b</w:t>
      </w:r>
      <w:r>
        <w:rPr>
          <w:rFonts w:hint="default" w:ascii="Times New Roman" w:hAnsi="Times New Roman" w:cs="Times New Roman"/>
          <w:i w:val="0"/>
          <w:iCs w:val="0"/>
          <w:caps w:val="0"/>
          <w:color w:val="auto"/>
          <w:spacing w:val="0"/>
          <w:sz w:val="28"/>
          <w:szCs w:val="28"/>
          <w:bdr w:val="none" w:color="auto" w:sz="0" w:space="0"/>
          <w:shd w:val="clear" w:fill="FFFFFF"/>
        </w:rPr>
        <w:t>ằ</w:t>
      </w:r>
      <w:r>
        <w:rPr>
          <w:rFonts w:hint="default" w:ascii="Times New Roman" w:hAnsi="Times New Roman" w:cs="Times New Roman"/>
          <w:i w:val="0"/>
          <w:iCs w:val="0"/>
          <w:caps w:val="0"/>
          <w:color w:val="auto"/>
          <w:spacing w:val="0"/>
          <w:sz w:val="28"/>
          <w:szCs w:val="28"/>
          <w:bdr w:val="none" w:color="auto" w:sz="0" w:space="0"/>
          <w:shd w:val="clear" w:fill="FFFFFF"/>
          <w:lang/>
        </w:rPr>
        <w:t>ng văn bản về Bộ Khoa học và Công nghệ để được hướng dẫn hoặc nghiên cứu sửa đổi, bổ sung cho phù hợp./.</w:t>
      </w:r>
    </w:p>
    <w:p>
      <w:pPr>
        <w:pStyle w:val="5"/>
        <w:keepNext w:val="0"/>
        <w:keepLines w:val="0"/>
        <w:pageBreakBefore w:val="0"/>
        <w:widowControl/>
        <w:kinsoku/>
        <w:wordWrap/>
        <w:overflowPunct/>
        <w:topLinePunct w:val="0"/>
        <w:autoSpaceDE/>
        <w:autoSpaceDN/>
        <w:bidi w:val="0"/>
        <w:adjustRightInd/>
        <w:snapToGrid/>
        <w:spacing w:before="181" w:beforeLines="50" w:after="0" w:line="240" w:lineRule="auto"/>
        <w:ind w:firstLine="567"/>
        <w:textAlignment w:val="auto"/>
        <w:rPr>
          <w:rFonts w:hint="default" w:ascii="Times New Roman" w:hAnsi="Times New Roman" w:cs="Times New Roman"/>
          <w:color w:val="000000"/>
          <w:lang w:val="vi-VN" w:eastAsia="en-US"/>
        </w:rPr>
      </w:pPr>
    </w:p>
    <w:tbl>
      <w:tblPr>
        <w:tblStyle w:val="3"/>
        <w:tblW w:w="5000" w:type="pct"/>
        <w:tblInd w:w="0" w:type="dxa"/>
        <w:tblLayout w:type="autofit"/>
        <w:tblCellMar>
          <w:top w:w="0" w:type="dxa"/>
          <w:left w:w="0" w:type="dxa"/>
          <w:bottom w:w="0" w:type="dxa"/>
          <w:right w:w="0" w:type="dxa"/>
        </w:tblCellMar>
      </w:tblPr>
      <w:tblGrid>
        <w:gridCol w:w="5096"/>
        <w:gridCol w:w="4192"/>
      </w:tblGrid>
      <w:tr>
        <w:tblPrEx>
          <w:tblCellMar>
            <w:top w:w="0" w:type="dxa"/>
            <w:left w:w="0" w:type="dxa"/>
            <w:bottom w:w="0" w:type="dxa"/>
            <w:right w:w="0" w:type="dxa"/>
          </w:tblCellMar>
        </w:tblPrEx>
        <w:tc>
          <w:tcPr>
            <w:tcW w:w="2743" w:type="pct"/>
            <w:tcBorders>
              <w:top w:val="nil"/>
              <w:left w:val="nil"/>
              <w:bottom w:val="nil"/>
              <w:right w:val="nil"/>
            </w:tcBorders>
            <w:noWrap w:val="0"/>
            <w:tcMar>
              <w:top w:w="0" w:type="dxa"/>
              <w:left w:w="108" w:type="dxa"/>
              <w:bottom w:w="0" w:type="dxa"/>
              <w:right w:w="108" w:type="dxa"/>
            </w:tcMar>
            <w:vAlign w:val="top"/>
          </w:tcPr>
          <w:p>
            <w:pPr>
              <w:ind w:left="-90"/>
              <w:jc w:val="both"/>
              <w:rPr>
                <w:rFonts w:eastAsia="Times New Roman"/>
                <w:b/>
                <w:i/>
                <w:sz w:val="22"/>
                <w:szCs w:val="28"/>
                <w:lang w:val="nl-NL"/>
              </w:rPr>
            </w:pPr>
            <w:r>
              <w:rPr>
                <w:rFonts w:eastAsia="Times New Roman"/>
                <w:b/>
                <w:i/>
                <w:sz w:val="22"/>
                <w:szCs w:val="28"/>
                <w:lang w:val="nl-NL"/>
              </w:rPr>
              <w:t>Nơi nhận:</w:t>
            </w:r>
          </w:p>
          <w:p>
            <w:pPr>
              <w:ind w:left="-90"/>
              <w:jc w:val="both"/>
              <w:rPr>
                <w:rFonts w:eastAsia="Times New Roman"/>
                <w:sz w:val="22"/>
                <w:szCs w:val="22"/>
                <w:lang w:val="nl-NL"/>
              </w:rPr>
            </w:pPr>
            <w:r>
              <w:rPr>
                <w:rFonts w:eastAsia="Times New Roman"/>
                <w:sz w:val="22"/>
                <w:szCs w:val="22"/>
                <w:lang w:val="nl-NL"/>
              </w:rPr>
              <w:t>- Thủ tướng Chính phủ (để b/c);</w:t>
            </w:r>
          </w:p>
          <w:p>
            <w:pPr>
              <w:ind w:left="-90"/>
              <w:jc w:val="both"/>
              <w:rPr>
                <w:rFonts w:eastAsia="Times New Roman"/>
                <w:sz w:val="22"/>
                <w:szCs w:val="22"/>
                <w:lang w:val="nl-NL"/>
              </w:rPr>
            </w:pPr>
            <w:r>
              <w:rPr>
                <w:rFonts w:eastAsia="Times New Roman"/>
                <w:sz w:val="22"/>
                <w:szCs w:val="22"/>
                <w:lang w:val="nl-NL"/>
              </w:rPr>
              <w:t>- Các Phó Thủ tướng Chính phủ (để b/c);</w:t>
            </w:r>
          </w:p>
          <w:p>
            <w:pPr>
              <w:ind w:left="-90"/>
              <w:jc w:val="both"/>
              <w:rPr>
                <w:rFonts w:eastAsia="Times New Roman"/>
                <w:sz w:val="22"/>
                <w:szCs w:val="22"/>
                <w:lang w:val="nl-NL"/>
              </w:rPr>
            </w:pPr>
            <w:r>
              <w:rPr>
                <w:rFonts w:eastAsia="Times New Roman"/>
                <w:sz w:val="22"/>
                <w:szCs w:val="22"/>
                <w:lang w:val="nl-NL"/>
              </w:rPr>
              <w:t>- Các Bộ, CQ ngang Bộ, CQ thuộc Chính phủ;</w:t>
            </w:r>
          </w:p>
          <w:p>
            <w:pPr>
              <w:ind w:left="-90"/>
              <w:jc w:val="both"/>
              <w:rPr>
                <w:rFonts w:eastAsia="Times New Roman"/>
                <w:sz w:val="22"/>
                <w:szCs w:val="22"/>
                <w:lang w:val="nl-NL"/>
              </w:rPr>
            </w:pPr>
            <w:r>
              <w:rPr>
                <w:rFonts w:eastAsia="Times New Roman"/>
                <w:sz w:val="22"/>
                <w:szCs w:val="22"/>
                <w:lang w:val="nl-NL"/>
              </w:rPr>
              <w:t>- UBND các tỉnh, TP trực thuộc TW;</w:t>
            </w:r>
          </w:p>
          <w:p>
            <w:pPr>
              <w:ind w:left="-90"/>
              <w:jc w:val="both"/>
              <w:rPr>
                <w:rFonts w:eastAsia="Times New Roman"/>
                <w:sz w:val="22"/>
                <w:szCs w:val="22"/>
                <w:lang w:val="nl-NL"/>
              </w:rPr>
            </w:pPr>
            <w:r>
              <w:rPr>
                <w:rFonts w:eastAsia="Times New Roman"/>
                <w:sz w:val="22"/>
                <w:szCs w:val="22"/>
                <w:lang w:val="nl-NL"/>
              </w:rPr>
              <w:t>- Văn phòng Tổng Bí thư;</w:t>
            </w:r>
          </w:p>
          <w:p>
            <w:pPr>
              <w:ind w:left="-90"/>
              <w:jc w:val="both"/>
              <w:rPr>
                <w:rFonts w:eastAsia="Times New Roman"/>
                <w:sz w:val="22"/>
                <w:szCs w:val="22"/>
                <w:lang w:val="nl-NL"/>
              </w:rPr>
            </w:pPr>
            <w:r>
              <w:rPr>
                <w:rFonts w:eastAsia="Times New Roman"/>
                <w:sz w:val="22"/>
                <w:szCs w:val="22"/>
                <w:lang w:val="nl-NL"/>
              </w:rPr>
              <w:t>- Văn phòng Quốc hội;</w:t>
            </w:r>
          </w:p>
          <w:p>
            <w:pPr>
              <w:ind w:left="-90"/>
              <w:jc w:val="both"/>
              <w:rPr>
                <w:rFonts w:eastAsia="Times New Roman"/>
                <w:sz w:val="22"/>
                <w:szCs w:val="22"/>
                <w:lang w:val="nl-NL"/>
              </w:rPr>
            </w:pPr>
            <w:r>
              <w:rPr>
                <w:rFonts w:eastAsia="Times New Roman"/>
                <w:sz w:val="22"/>
                <w:szCs w:val="22"/>
                <w:lang w:val="nl-NL"/>
              </w:rPr>
              <w:t>- Văn phòng Chủ tịch nước;</w:t>
            </w:r>
          </w:p>
          <w:p>
            <w:pPr>
              <w:ind w:left="-90"/>
              <w:jc w:val="both"/>
              <w:rPr>
                <w:rFonts w:eastAsia="Times New Roman"/>
                <w:sz w:val="22"/>
                <w:szCs w:val="22"/>
                <w:lang w:val="nl-NL"/>
              </w:rPr>
            </w:pPr>
            <w:r>
              <w:rPr>
                <w:rFonts w:eastAsia="Times New Roman"/>
                <w:sz w:val="22"/>
                <w:szCs w:val="22"/>
                <w:lang w:val="nl-NL"/>
              </w:rPr>
              <w:t>- Viện Kiểm sát nhân dân tối cao;</w:t>
            </w:r>
          </w:p>
          <w:p>
            <w:pPr>
              <w:ind w:left="-90"/>
              <w:jc w:val="both"/>
              <w:rPr>
                <w:rFonts w:eastAsia="Times New Roman"/>
                <w:sz w:val="22"/>
                <w:szCs w:val="22"/>
                <w:lang w:val="nl-NL"/>
              </w:rPr>
            </w:pPr>
            <w:r>
              <w:rPr>
                <w:rFonts w:eastAsia="Times New Roman"/>
                <w:sz w:val="22"/>
                <w:szCs w:val="22"/>
                <w:lang w:val="nl-NL"/>
              </w:rPr>
              <w:t>- Toà án nhân dân tối cao;</w:t>
            </w:r>
          </w:p>
          <w:p>
            <w:pPr>
              <w:ind w:left="-90"/>
              <w:jc w:val="both"/>
              <w:rPr>
                <w:rFonts w:eastAsia="Times New Roman"/>
                <w:sz w:val="22"/>
                <w:szCs w:val="22"/>
                <w:lang w:val="nl-NL"/>
              </w:rPr>
            </w:pPr>
            <w:r>
              <w:rPr>
                <w:rFonts w:eastAsia="Times New Roman"/>
                <w:sz w:val="22"/>
                <w:szCs w:val="22"/>
                <w:lang w:val="nl-NL"/>
              </w:rPr>
              <w:t>- Cục Kiểm tra văn bản (Bộ Tư pháp);</w:t>
            </w:r>
          </w:p>
          <w:p>
            <w:pPr>
              <w:ind w:left="-90"/>
              <w:jc w:val="both"/>
              <w:rPr>
                <w:rFonts w:eastAsia="Times New Roman"/>
                <w:sz w:val="22"/>
                <w:szCs w:val="22"/>
                <w:lang w:val="nl-NL"/>
              </w:rPr>
            </w:pPr>
            <w:r>
              <w:rPr>
                <w:rFonts w:eastAsia="Times New Roman"/>
                <w:sz w:val="22"/>
                <w:szCs w:val="22"/>
                <w:lang w:val="nl-NL"/>
              </w:rPr>
              <w:t>- Công báo;</w:t>
            </w:r>
          </w:p>
          <w:p>
            <w:pPr>
              <w:ind w:left="-90"/>
              <w:jc w:val="both"/>
              <w:rPr>
                <w:rFonts w:eastAsia="Times New Roman"/>
                <w:sz w:val="22"/>
                <w:szCs w:val="22"/>
                <w:lang w:val="nl-NL"/>
              </w:rPr>
            </w:pPr>
            <w:r>
              <w:rPr>
                <w:rFonts w:eastAsia="Times New Roman"/>
                <w:sz w:val="22"/>
                <w:szCs w:val="22"/>
                <w:lang w:val="nl-NL"/>
              </w:rPr>
              <w:t>- Lưu: VT, PC</w:t>
            </w:r>
            <w:r>
              <w:rPr>
                <w:rFonts w:hint="default" w:eastAsia="Times New Roman"/>
                <w:sz w:val="22"/>
                <w:szCs w:val="22"/>
                <w:lang w:val="en-US"/>
              </w:rPr>
              <w:t>, VPĐK</w:t>
            </w:r>
            <w:r>
              <w:rPr>
                <w:rFonts w:eastAsia="Times New Roman"/>
                <w:sz w:val="22"/>
                <w:szCs w:val="22"/>
                <w:lang w:val="nl-NL"/>
              </w:rPr>
              <w:t>.</w:t>
            </w:r>
          </w:p>
        </w:tc>
        <w:tc>
          <w:tcPr>
            <w:tcW w:w="2256" w:type="pct"/>
            <w:tcBorders>
              <w:top w:val="nil"/>
              <w:left w:val="nil"/>
              <w:bottom w:val="nil"/>
              <w:right w:val="nil"/>
            </w:tcBorders>
            <w:noWrap w:val="0"/>
            <w:tcMar>
              <w:top w:w="0" w:type="dxa"/>
              <w:left w:w="108" w:type="dxa"/>
              <w:bottom w:w="0" w:type="dxa"/>
              <w:right w:w="108" w:type="dxa"/>
            </w:tcMar>
            <w:vAlign w:val="top"/>
          </w:tcPr>
          <w:p>
            <w:pPr>
              <w:ind w:left="0" w:leftChars="0" w:firstLine="200" w:firstLineChars="0"/>
              <w:jc w:val="center"/>
              <w:rPr>
                <w:rFonts w:eastAsia="Times New Roman"/>
                <w:b/>
                <w:bCs/>
                <w:sz w:val="28"/>
                <w:szCs w:val="32"/>
                <w:lang w:val="nl-NL"/>
              </w:rPr>
            </w:pPr>
            <w:r>
              <w:rPr>
                <w:rFonts w:hint="default" w:eastAsia="Times New Roman"/>
                <w:b/>
                <w:bCs/>
                <w:sz w:val="28"/>
                <w:szCs w:val="32"/>
                <w:lang w:val="en-US"/>
              </w:rPr>
              <w:t xml:space="preserve">KT. </w:t>
            </w:r>
            <w:r>
              <w:rPr>
                <w:rFonts w:eastAsia="Times New Roman"/>
                <w:b/>
                <w:bCs/>
                <w:sz w:val="28"/>
                <w:szCs w:val="32"/>
                <w:lang w:val="nl-NL"/>
              </w:rPr>
              <w:t>BỘ TRƯỞNG</w:t>
            </w:r>
          </w:p>
          <w:p>
            <w:pPr>
              <w:ind w:left="0" w:leftChars="0" w:firstLine="200" w:firstLineChars="0"/>
              <w:jc w:val="center"/>
              <w:rPr>
                <w:rFonts w:hint="default" w:eastAsia="Times New Roman"/>
                <w:b/>
                <w:bCs/>
                <w:sz w:val="28"/>
                <w:szCs w:val="32"/>
                <w:lang w:val="en-US"/>
              </w:rPr>
            </w:pPr>
            <w:r>
              <w:rPr>
                <w:rFonts w:hint="default" w:eastAsia="Times New Roman"/>
                <w:b/>
                <w:bCs/>
                <w:sz w:val="28"/>
                <w:szCs w:val="32"/>
                <w:lang w:val="en-US"/>
              </w:rPr>
              <w:t>THỨ TRƯỞNG</w:t>
            </w: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hint="default" w:eastAsia="Times New Roman"/>
                <w:b/>
                <w:bCs/>
                <w:sz w:val="28"/>
                <w:szCs w:val="32"/>
                <w:lang w:val="en-US"/>
              </w:rPr>
            </w:pPr>
          </w:p>
          <w:p>
            <w:pPr>
              <w:ind w:left="0" w:leftChars="0" w:firstLine="200" w:firstLineChars="0"/>
              <w:jc w:val="center"/>
              <w:rPr>
                <w:rFonts w:eastAsia="Times New Roman"/>
                <w:sz w:val="28"/>
                <w:szCs w:val="28"/>
                <w:lang w:val="nl-NL"/>
              </w:rPr>
            </w:pPr>
            <w:r>
              <w:rPr>
                <w:rFonts w:hint="default" w:eastAsia="Times New Roman"/>
                <w:b/>
                <w:bCs/>
                <w:sz w:val="28"/>
                <w:szCs w:val="32"/>
                <w:lang w:val="en-US"/>
              </w:rPr>
              <w:t>Lê Xuân Định</w:t>
            </w:r>
          </w:p>
        </w:tc>
      </w:tr>
    </w:tbl>
    <w:p>
      <w:pPr>
        <w:rPr>
          <w:sz w:val="28"/>
          <w:szCs w:val="28"/>
          <w:lang w:val="nl-NL"/>
        </w:rPr>
      </w:pPr>
    </w:p>
    <w:sectPr>
      <w:headerReference r:id="rId5" w:type="first"/>
      <w:footerReference r:id="rId8" w:type="first"/>
      <w:headerReference r:id="rId3" w:type="default"/>
      <w:footerReference r:id="rId6" w:type="default"/>
      <w:headerReference r:id="rId4" w:type="even"/>
      <w:footerReference r:id="rId7" w:type="even"/>
      <w:pgSz w:w="11907" w:h="16840"/>
      <w:pgMar w:top="1134" w:right="1134" w:bottom="1134" w:left="1701"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nTime">
    <w:altName w:val="Segoe Print"/>
    <w:panose1 w:val="020B72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1080"/>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p>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hyphenationZone w:val="36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0FCA"/>
    <w:rsid w:val="00011658"/>
    <w:rsid w:val="000429AA"/>
    <w:rsid w:val="0005540F"/>
    <w:rsid w:val="000575A4"/>
    <w:rsid w:val="000637E9"/>
    <w:rsid w:val="00096439"/>
    <w:rsid w:val="000A7DF3"/>
    <w:rsid w:val="000E35E5"/>
    <w:rsid w:val="000E6264"/>
    <w:rsid w:val="000F54C7"/>
    <w:rsid w:val="000F6D77"/>
    <w:rsid w:val="00100D91"/>
    <w:rsid w:val="00113405"/>
    <w:rsid w:val="0012029B"/>
    <w:rsid w:val="001216F5"/>
    <w:rsid w:val="0012211E"/>
    <w:rsid w:val="00130430"/>
    <w:rsid w:val="0013250E"/>
    <w:rsid w:val="00162045"/>
    <w:rsid w:val="00170FCA"/>
    <w:rsid w:val="001726BB"/>
    <w:rsid w:val="00174EAA"/>
    <w:rsid w:val="00175389"/>
    <w:rsid w:val="001A2C37"/>
    <w:rsid w:val="001A5F15"/>
    <w:rsid w:val="001A7DDF"/>
    <w:rsid w:val="001B26EB"/>
    <w:rsid w:val="001C6C7C"/>
    <w:rsid w:val="001D6089"/>
    <w:rsid w:val="001F3F99"/>
    <w:rsid w:val="00237911"/>
    <w:rsid w:val="00250BAE"/>
    <w:rsid w:val="002560C1"/>
    <w:rsid w:val="00284F05"/>
    <w:rsid w:val="00285CF9"/>
    <w:rsid w:val="00297BC1"/>
    <w:rsid w:val="002B4689"/>
    <w:rsid w:val="002D34A1"/>
    <w:rsid w:val="002E14A4"/>
    <w:rsid w:val="002E6785"/>
    <w:rsid w:val="002E7497"/>
    <w:rsid w:val="002F01C9"/>
    <w:rsid w:val="003040BF"/>
    <w:rsid w:val="00314E86"/>
    <w:rsid w:val="00317374"/>
    <w:rsid w:val="00317D51"/>
    <w:rsid w:val="0034030A"/>
    <w:rsid w:val="003412E4"/>
    <w:rsid w:val="00367893"/>
    <w:rsid w:val="003C3D3D"/>
    <w:rsid w:val="0043378E"/>
    <w:rsid w:val="004412BC"/>
    <w:rsid w:val="00444317"/>
    <w:rsid w:val="00466750"/>
    <w:rsid w:val="00474083"/>
    <w:rsid w:val="004823F4"/>
    <w:rsid w:val="004951F9"/>
    <w:rsid w:val="004A5459"/>
    <w:rsid w:val="004B6C7A"/>
    <w:rsid w:val="004C2580"/>
    <w:rsid w:val="004C2B02"/>
    <w:rsid w:val="004C3384"/>
    <w:rsid w:val="004F41EE"/>
    <w:rsid w:val="00513280"/>
    <w:rsid w:val="00521098"/>
    <w:rsid w:val="00554F5D"/>
    <w:rsid w:val="00581190"/>
    <w:rsid w:val="00582FDD"/>
    <w:rsid w:val="005877D3"/>
    <w:rsid w:val="005C47AA"/>
    <w:rsid w:val="005C651A"/>
    <w:rsid w:val="005D1707"/>
    <w:rsid w:val="005F5139"/>
    <w:rsid w:val="00614359"/>
    <w:rsid w:val="006175C6"/>
    <w:rsid w:val="006252B3"/>
    <w:rsid w:val="00640082"/>
    <w:rsid w:val="00646B93"/>
    <w:rsid w:val="00650E77"/>
    <w:rsid w:val="00661399"/>
    <w:rsid w:val="006707B5"/>
    <w:rsid w:val="00685A38"/>
    <w:rsid w:val="006C0455"/>
    <w:rsid w:val="006C1946"/>
    <w:rsid w:val="006F232C"/>
    <w:rsid w:val="006F7F31"/>
    <w:rsid w:val="00701103"/>
    <w:rsid w:val="00751972"/>
    <w:rsid w:val="0075480F"/>
    <w:rsid w:val="0075660F"/>
    <w:rsid w:val="00765C63"/>
    <w:rsid w:val="00770D9E"/>
    <w:rsid w:val="00793AEC"/>
    <w:rsid w:val="007C229C"/>
    <w:rsid w:val="007C76B7"/>
    <w:rsid w:val="007E1C0C"/>
    <w:rsid w:val="007F3413"/>
    <w:rsid w:val="00801FDD"/>
    <w:rsid w:val="008024AF"/>
    <w:rsid w:val="00810DD8"/>
    <w:rsid w:val="00836CC9"/>
    <w:rsid w:val="00837A33"/>
    <w:rsid w:val="00841E6A"/>
    <w:rsid w:val="00884A28"/>
    <w:rsid w:val="008A0186"/>
    <w:rsid w:val="008B3701"/>
    <w:rsid w:val="008B4CBA"/>
    <w:rsid w:val="008F6F67"/>
    <w:rsid w:val="009017B3"/>
    <w:rsid w:val="00931A0F"/>
    <w:rsid w:val="0094666B"/>
    <w:rsid w:val="009800B4"/>
    <w:rsid w:val="009A20B3"/>
    <w:rsid w:val="009A2281"/>
    <w:rsid w:val="00A00EC9"/>
    <w:rsid w:val="00A014A7"/>
    <w:rsid w:val="00A118B1"/>
    <w:rsid w:val="00A3346D"/>
    <w:rsid w:val="00A424CE"/>
    <w:rsid w:val="00A50FC2"/>
    <w:rsid w:val="00A65BB8"/>
    <w:rsid w:val="00A92015"/>
    <w:rsid w:val="00AA21A6"/>
    <w:rsid w:val="00AB0286"/>
    <w:rsid w:val="00AB079C"/>
    <w:rsid w:val="00AB236F"/>
    <w:rsid w:val="00AB57B3"/>
    <w:rsid w:val="00AC273A"/>
    <w:rsid w:val="00AC640E"/>
    <w:rsid w:val="00AF6CB4"/>
    <w:rsid w:val="00B024A1"/>
    <w:rsid w:val="00B224C3"/>
    <w:rsid w:val="00B30D80"/>
    <w:rsid w:val="00B47AFE"/>
    <w:rsid w:val="00B50D9E"/>
    <w:rsid w:val="00B55B55"/>
    <w:rsid w:val="00B57549"/>
    <w:rsid w:val="00B656C0"/>
    <w:rsid w:val="00B72090"/>
    <w:rsid w:val="00B7607D"/>
    <w:rsid w:val="00B776A4"/>
    <w:rsid w:val="00B8308E"/>
    <w:rsid w:val="00B97E27"/>
    <w:rsid w:val="00BA024F"/>
    <w:rsid w:val="00BE4031"/>
    <w:rsid w:val="00BF2289"/>
    <w:rsid w:val="00C27C79"/>
    <w:rsid w:val="00C339E4"/>
    <w:rsid w:val="00C60FB8"/>
    <w:rsid w:val="00C6529F"/>
    <w:rsid w:val="00C86301"/>
    <w:rsid w:val="00C86E52"/>
    <w:rsid w:val="00C931B6"/>
    <w:rsid w:val="00CB05D8"/>
    <w:rsid w:val="00CB3FCE"/>
    <w:rsid w:val="00D377FD"/>
    <w:rsid w:val="00D5511D"/>
    <w:rsid w:val="00D5638A"/>
    <w:rsid w:val="00D63D0C"/>
    <w:rsid w:val="00D642F9"/>
    <w:rsid w:val="00D718B7"/>
    <w:rsid w:val="00D84885"/>
    <w:rsid w:val="00DA74F4"/>
    <w:rsid w:val="00DB223E"/>
    <w:rsid w:val="00DE6B84"/>
    <w:rsid w:val="00DF45AA"/>
    <w:rsid w:val="00DF4B0C"/>
    <w:rsid w:val="00E02848"/>
    <w:rsid w:val="00E1615A"/>
    <w:rsid w:val="00E25B93"/>
    <w:rsid w:val="00E367B8"/>
    <w:rsid w:val="00E44284"/>
    <w:rsid w:val="00E52D3D"/>
    <w:rsid w:val="00E60C42"/>
    <w:rsid w:val="00E65F99"/>
    <w:rsid w:val="00E73D6D"/>
    <w:rsid w:val="00E863C7"/>
    <w:rsid w:val="00EA3D96"/>
    <w:rsid w:val="00EA7603"/>
    <w:rsid w:val="00EB3585"/>
    <w:rsid w:val="00EC0B6A"/>
    <w:rsid w:val="00EF25CD"/>
    <w:rsid w:val="00F02A11"/>
    <w:rsid w:val="00F03474"/>
    <w:rsid w:val="00F11CEB"/>
    <w:rsid w:val="00F57303"/>
    <w:rsid w:val="00F61FDE"/>
    <w:rsid w:val="00F652AA"/>
    <w:rsid w:val="00F6657A"/>
    <w:rsid w:val="00F86813"/>
    <w:rsid w:val="00F869C2"/>
    <w:rsid w:val="00F90C44"/>
    <w:rsid w:val="00F923FE"/>
    <w:rsid w:val="00F92BDF"/>
    <w:rsid w:val="00F93FBF"/>
    <w:rsid w:val="00FC378A"/>
    <w:rsid w:val="00FF470A"/>
    <w:rsid w:val="02671A0C"/>
    <w:rsid w:val="3F690ABB"/>
    <w:rsid w:val="4AFF3EEE"/>
    <w:rsid w:val="5CF72C9A"/>
    <w:rsid w:val="649A3A66"/>
    <w:rsid w:val="65357399"/>
    <w:rsid w:val="73C00E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uiPriority w:val="99"/>
    <w:rPr>
      <w:rFonts w:ascii="Tahoma" w:hAnsi="Tahoma"/>
      <w:sz w:val="16"/>
      <w:szCs w:val="16"/>
    </w:rPr>
  </w:style>
  <w:style w:type="paragraph" w:styleId="5">
    <w:name w:val="Body Text Indent"/>
    <w:basedOn w:val="1"/>
    <w:link w:val="21"/>
    <w:unhideWhenUsed/>
    <w:qFormat/>
    <w:uiPriority w:val="99"/>
    <w:pPr>
      <w:spacing w:before="120" w:after="240" w:line="288" w:lineRule="auto"/>
      <w:ind w:firstLine="425"/>
      <w:jc w:val="both"/>
    </w:pPr>
    <w:rPr>
      <w:rFonts w:eastAsia="Times New Roman"/>
      <w:color w:val="000000"/>
      <w:sz w:val="28"/>
      <w:szCs w:val="28"/>
      <w:lang w:val="nl-NL"/>
    </w:rPr>
  </w:style>
  <w:style w:type="character" w:styleId="6">
    <w:name w:val="annotation reference"/>
    <w:semiHidden/>
    <w:unhideWhenUsed/>
    <w:qFormat/>
    <w:uiPriority w:val="99"/>
    <w:rPr>
      <w:sz w:val="16"/>
      <w:szCs w:val="16"/>
    </w:rPr>
  </w:style>
  <w:style w:type="paragraph" w:styleId="7">
    <w:name w:val="annotation text"/>
    <w:basedOn w:val="1"/>
    <w:link w:val="23"/>
    <w:unhideWhenUsed/>
    <w:qFormat/>
    <w:uiPriority w:val="99"/>
  </w:style>
  <w:style w:type="paragraph" w:styleId="8">
    <w:name w:val="annotation subject"/>
    <w:basedOn w:val="7"/>
    <w:next w:val="7"/>
    <w:link w:val="24"/>
    <w:semiHidden/>
    <w:unhideWhenUsed/>
    <w:qFormat/>
    <w:uiPriority w:val="99"/>
    <w:rPr>
      <w:b/>
      <w:bCs/>
    </w:rPr>
  </w:style>
  <w:style w:type="paragraph" w:styleId="9">
    <w:name w:val="footer"/>
    <w:basedOn w:val="1"/>
    <w:link w:val="20"/>
    <w:unhideWhenUsed/>
    <w:qFormat/>
    <w:uiPriority w:val="99"/>
    <w:pPr>
      <w:tabs>
        <w:tab w:val="center" w:pos="4680"/>
        <w:tab w:val="right" w:pos="9360"/>
      </w:tabs>
    </w:pPr>
  </w:style>
  <w:style w:type="paragraph" w:styleId="10">
    <w:name w:val="header"/>
    <w:basedOn w:val="1"/>
    <w:link w:val="19"/>
    <w:unhideWhenUsed/>
    <w:qFormat/>
    <w:uiPriority w:val="99"/>
    <w:pPr>
      <w:tabs>
        <w:tab w:val="center" w:pos="4680"/>
        <w:tab w:val="right" w:pos="9360"/>
      </w:tabs>
    </w:pPr>
  </w:style>
  <w:style w:type="character" w:styleId="11">
    <w:name w:val="Hyperlink"/>
    <w:semiHidden/>
    <w:unhideWhenUsed/>
    <w:qFormat/>
    <w:uiPriority w:val="99"/>
    <w:rPr>
      <w:color w:val="0000FF"/>
      <w:u w:val="single"/>
    </w:rPr>
  </w:style>
  <w:style w:type="paragraph" w:styleId="12">
    <w:name w:val="Normal (Web)"/>
    <w:basedOn w:val="1"/>
    <w:semiHidden/>
    <w:unhideWhenUsed/>
    <w:uiPriority w:val="99"/>
    <w:pPr>
      <w:spacing w:before="100" w:beforeAutospacing="1" w:after="100" w:afterAutospacing="1"/>
    </w:pPr>
    <w:rPr>
      <w:rFonts w:eastAsia="Times New Roman"/>
      <w:sz w:val="24"/>
      <w:szCs w:val="24"/>
    </w:rPr>
  </w:style>
  <w:style w:type="table" w:styleId="13">
    <w:name w:val="Table Grid"/>
    <w:basedOn w:val="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4">
    <w:name w:val="Balloon Text Char"/>
    <w:link w:val="4"/>
    <w:semiHidden/>
    <w:uiPriority w:val="99"/>
    <w:rPr>
      <w:rFonts w:ascii="Tahoma" w:hAnsi="Tahoma" w:cs="Tahoma"/>
      <w:sz w:val="16"/>
      <w:szCs w:val="16"/>
    </w:rPr>
  </w:style>
  <w:style w:type="paragraph" w:customStyle="1" w:styleId="15">
    <w:name w:val="normal-p"/>
    <w:basedOn w:val="1"/>
    <w:qFormat/>
    <w:uiPriority w:val="0"/>
    <w:rPr>
      <w:rFonts w:eastAsia="Times New Roman"/>
    </w:rPr>
  </w:style>
  <w:style w:type="paragraph" w:customStyle="1" w:styleId="16">
    <w:name w:val="title-p"/>
    <w:basedOn w:val="1"/>
    <w:uiPriority w:val="0"/>
    <w:pPr>
      <w:jc w:val="center"/>
    </w:pPr>
    <w:rPr>
      <w:rFonts w:eastAsia="Times New Roman"/>
    </w:rPr>
  </w:style>
  <w:style w:type="character" w:customStyle="1" w:styleId="17">
    <w:name w:val="title-h1"/>
    <w:qFormat/>
    <w:uiPriority w:val="0"/>
    <w:rPr>
      <w:rFonts w:hint="default" w:ascii="Times New Roman" w:hAnsi="Times New Roman" w:cs="Times New Roman"/>
      <w:b/>
      <w:bCs/>
      <w:sz w:val="32"/>
      <w:szCs w:val="32"/>
    </w:rPr>
  </w:style>
  <w:style w:type="character" w:customStyle="1" w:styleId="18">
    <w:name w:val="normal-h1"/>
    <w:qFormat/>
    <w:uiPriority w:val="0"/>
    <w:rPr>
      <w:rFonts w:hint="default" w:ascii=".VnTime" w:hAnsi=".VnTime"/>
      <w:sz w:val="28"/>
      <w:szCs w:val="28"/>
    </w:rPr>
  </w:style>
  <w:style w:type="character" w:customStyle="1" w:styleId="19">
    <w:name w:val="Header Char"/>
    <w:basedOn w:val="2"/>
    <w:link w:val="10"/>
    <w:qFormat/>
    <w:uiPriority w:val="99"/>
  </w:style>
  <w:style w:type="character" w:customStyle="1" w:styleId="20">
    <w:name w:val="Footer Char"/>
    <w:basedOn w:val="2"/>
    <w:link w:val="9"/>
    <w:qFormat/>
    <w:uiPriority w:val="99"/>
  </w:style>
  <w:style w:type="character" w:customStyle="1" w:styleId="21">
    <w:name w:val="Body Text Indent Char"/>
    <w:link w:val="5"/>
    <w:uiPriority w:val="99"/>
    <w:rPr>
      <w:rFonts w:eastAsia="Times New Roman"/>
      <w:color w:val="000000"/>
      <w:sz w:val="28"/>
      <w:szCs w:val="28"/>
      <w:lang w:val="nl-NL"/>
    </w:rPr>
  </w:style>
  <w:style w:type="paragraph" w:customStyle="1" w:styleId="22">
    <w:name w:val="_Style 21"/>
    <w:hidden/>
    <w:qFormat/>
    <w:uiPriority w:val="71"/>
    <w:rPr>
      <w:rFonts w:ascii="Times New Roman" w:hAnsi="Times New Roman" w:eastAsia="SimSun" w:cs="Times New Roman"/>
      <w:lang w:val="en-US" w:eastAsia="en-US" w:bidi="ar-SA"/>
    </w:rPr>
  </w:style>
  <w:style w:type="character" w:customStyle="1" w:styleId="23">
    <w:name w:val="Comment Text Char"/>
    <w:basedOn w:val="2"/>
    <w:link w:val="7"/>
    <w:uiPriority w:val="99"/>
  </w:style>
  <w:style w:type="character" w:customStyle="1" w:styleId="24">
    <w:name w:val="Comment Subject Char"/>
    <w:link w:val="8"/>
    <w:semiHidden/>
    <w:qFormat/>
    <w:uiPriority w:val="99"/>
    <w:rPr>
      <w:b/>
      <w:bCs/>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footer" Target="footer1.xml"/><Relationship Id="rId11" Type="http://schemas.openxmlformats.org/officeDocument/2006/relationships/fontTable" Target="fontTable.xml"/><Relationship Id="rId1" Type="http://schemas.openxmlformats.org/officeDocument/2006/relationships/styles" Target="styles.xml"/><Relationship Id="rId5" Type="http://schemas.openxmlformats.org/officeDocument/2006/relationships/header" Target="header3.xml"/><Relationship Id="rId10" Type="http://schemas.openxmlformats.org/officeDocument/2006/relationships/customXml" Target="../customXml/item1.xml"/><Relationship Id="rId9" Type="http://schemas.openxmlformats.org/officeDocument/2006/relationships/theme" Target="theme/theme1.xml"/><Relationship Id="rId4"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D667A0-565D-43BC-98B7-4E091B19ED48}"/>
</file>

<file path=customXml/itemProps3.xml><?xml version="1.0" encoding="utf-8"?>
<ds:datastoreItem xmlns:ds="http://schemas.openxmlformats.org/officeDocument/2006/customXml" ds:itemID="{E1815124-662C-4BEA-85C8-9570C3C9EC11}"/>
</file>

<file path=customXml/itemProps4.xml><?xml version="1.0" encoding="utf-8"?>
<ds:datastoreItem xmlns:ds="http://schemas.openxmlformats.org/officeDocument/2006/customXml" ds:itemID="{0748B837-7B35-49F1-96CC-78A6089F7551}"/>
</file>

<file path=docProps/app.xml><?xml version="1.0" encoding="utf-8"?>
<Properties xmlns="http://schemas.openxmlformats.org/officeDocument/2006/extended-properties" xmlns:vt="http://schemas.openxmlformats.org/officeDocument/2006/docPropsVTypes">
  <Pages>2</Pages>
  <Words>486</Words>
  <Characters>2773</Characters>
  <Lines>23</Lines>
  <Paragraphs>6</Paragraphs>
  <TotalTime>9</TotalTime>
  <ScaleCrop>false</ScaleCrop>
  <LinksUpToDate>false</LinksUpToDate>
  <CharactersWithSpaces>3253</CharactersWithSpaces>
  <Application>WPS Office_12.2.0.13110_F1E327BC-269C-435d-A152-05C5408002CA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Linh</dc:creator>
  <cp:lastModifiedBy>Snowy</cp:lastModifiedBy>
  <cp:revision>1</cp:revision>
  <cp:lastPrinted>2023-04-24T08:02:00Z</cp:lastPrinted>
  <dcterms:created xsi:type="dcterms:W3CDTF">2023-04-24T06:12:00Z</dcterms:created>
  <dcterms:modified xsi:type="dcterms:W3CDTF">2023-08-23T12:46:29Z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F8DFFAE082894C7387036CF9B716E51D_13</vt:lpwstr>
  </property>
</Properties>
</file>