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jc w:val="center"/>
        <w:tblLayout w:type="autofit"/>
        <w:tblCellMar>
          <w:top w:w="0" w:type="dxa"/>
          <w:left w:w="108" w:type="dxa"/>
          <w:bottom w:w="0" w:type="dxa"/>
          <w:right w:w="108" w:type="dxa"/>
        </w:tblCellMar>
      </w:tblPr>
      <w:tblGrid>
        <w:gridCol w:w="3936"/>
        <w:gridCol w:w="5352"/>
      </w:tblGrid>
      <w:tr>
        <w:tblPrEx>
          <w:tblCellMar>
            <w:top w:w="0" w:type="dxa"/>
            <w:left w:w="108" w:type="dxa"/>
            <w:bottom w:w="0" w:type="dxa"/>
            <w:right w:w="108" w:type="dxa"/>
          </w:tblCellMar>
        </w:tblPrEx>
        <w:trPr>
          <w:wBefore w:w="0" w:type="dxa"/>
          <w:jc w:val="center"/>
        </w:trPr>
        <w:tc>
          <w:tcPr>
            <w:tcW w:w="2119" w:type="pct"/>
            <w:noWrap w:val="0"/>
            <w:vAlign w:val="top"/>
          </w:tcPr>
          <w:p>
            <w:pPr>
              <w:ind w:left="-142" w:right="-109"/>
              <w:jc w:val="center"/>
              <w:rPr>
                <w:b/>
                <w:sz w:val="24"/>
                <w:szCs w:val="28"/>
              </w:rPr>
            </w:pPr>
            <w:r>
              <w:rPr>
                <w:b/>
                <w:sz w:val="24"/>
                <w:szCs w:val="28"/>
              </w:rPr>
              <w:t>BỘ KHOA HỌC VÀ CÔNG NGHỆ</w:t>
            </w:r>
          </w:p>
          <w:p>
            <w:pPr>
              <w:ind w:left="-142" w:right="-109"/>
              <w:jc w:val="center"/>
              <w:rPr>
                <w:sz w:val="28"/>
                <w:szCs w:val="28"/>
              </w:rPr>
            </w:pPr>
            <w:r>
              <w:rPr>
                <w:b/>
                <w:sz w:val="24"/>
                <w:szCs w:val="28"/>
                <w:lang/>
              </w:rPr>
              <mc:AlternateContent>
                <mc:Choice Requires="wps">
                  <w:drawing>
                    <wp:anchor distT="0" distB="0" distL="114300" distR="114300" simplePos="0" relativeHeight="251660288" behindDoc="0" locked="0" layoutInCell="1" allowOverlap="1">
                      <wp:simplePos x="0" y="0"/>
                      <wp:positionH relativeFrom="column">
                        <wp:posOffset>688340</wp:posOffset>
                      </wp:positionH>
                      <wp:positionV relativeFrom="paragraph">
                        <wp:posOffset>90805</wp:posOffset>
                      </wp:positionV>
                      <wp:extent cx="1080135" cy="0"/>
                      <wp:effectExtent l="0" t="0" r="0" b="0"/>
                      <wp:wrapNone/>
                      <wp:docPr id="3" name="Lines 5"/>
                      <wp:cNvGraphicFramePr/>
                      <a:graphic xmlns:a="http://schemas.openxmlformats.org/drawingml/2006/main">
                        <a:graphicData uri="http://schemas.microsoft.com/office/word/2010/wordprocessingShape">
                          <wps:wsp>
                            <wps:cNvSpPr/>
                            <wps:spPr>
                              <a:xfrm>
                                <a:off x="0" y="0"/>
                                <a:ext cx="10801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5" o:spid="_x0000_s1026" o:spt="20" style="position:absolute;left:0pt;margin-left:54.2pt;margin-top:7.15pt;height:0pt;width:85.05pt;z-index:251660288;mso-width-relative:page;mso-height-relative:page;" filled="f" stroked="t" coordsize="21600,21600" o:gfxdata="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M6d5H1wAAAAkBAAAPAAAAAAAA&#10;AAEAIAAAACIAAABkcnMvZG93bnJldi54bWxQSwECFAAUAAAACACHTuJAkUy4xdoBAADaAwAADgAA&#10;AAAAAAABACAAAAAmAQAAZHJzL2Uyb0RvYy54bWxQSwUGAAAAAAYABgBZAQAAcgUAAAAA&#10;">
                      <v:fill on="f" focussize="0,0"/>
                      <v:stroke color="#000000" joinstyle="round"/>
                      <v:imagedata o:title=""/>
                      <o:lock v:ext="edit" aspectratio="f"/>
                    </v:line>
                  </w:pict>
                </mc:Fallback>
              </mc:AlternateContent>
            </w:r>
          </w:p>
          <w:p>
            <w:pPr>
              <w:ind w:left="-142" w:right="-109"/>
              <w:jc w:val="center"/>
              <w:rPr>
                <w:sz w:val="24"/>
                <w:szCs w:val="28"/>
              </w:rPr>
            </w:pPr>
            <w:r>
              <w:rPr>
                <w:sz w:val="28"/>
                <w:szCs w:val="28"/>
              </w:rPr>
              <w:t xml:space="preserve">Số: </w:t>
            </w:r>
            <w:r>
              <w:rPr>
                <w:rFonts w:hint="default"/>
                <w:sz w:val="28"/>
                <w:szCs w:val="28"/>
                <w:lang w:val="en-US"/>
              </w:rPr>
              <w:t>18</w:t>
            </w:r>
            <w:r>
              <w:rPr>
                <w:sz w:val="28"/>
                <w:szCs w:val="28"/>
              </w:rPr>
              <w:t>/202</w:t>
            </w:r>
            <w:r>
              <w:rPr>
                <w:rFonts w:hint="default"/>
                <w:sz w:val="28"/>
                <w:szCs w:val="28"/>
                <w:lang w:val="en-US"/>
              </w:rPr>
              <w:t>2</w:t>
            </w:r>
            <w:r>
              <w:rPr>
                <w:sz w:val="28"/>
                <w:szCs w:val="28"/>
              </w:rPr>
              <w:t>/TT-BKHCN</w:t>
            </w:r>
          </w:p>
        </w:tc>
        <w:tc>
          <w:tcPr>
            <w:tcW w:w="2881" w:type="pct"/>
            <w:noWrap w:val="0"/>
            <w:vAlign w:val="top"/>
          </w:tcPr>
          <w:p>
            <w:pPr>
              <w:ind w:left="33"/>
              <w:jc w:val="center"/>
              <w:rPr>
                <w:b/>
                <w:sz w:val="24"/>
                <w:szCs w:val="28"/>
              </w:rPr>
            </w:pPr>
            <w:r>
              <w:rPr>
                <w:b/>
                <w:sz w:val="24"/>
                <w:szCs w:val="28"/>
              </w:rPr>
              <w:t>CỘNG HÒA XÃ HỘI CHỦ NGHĨA VIỆT NAM</w:t>
            </w:r>
          </w:p>
          <w:p>
            <w:pPr>
              <w:ind w:left="33"/>
              <w:jc w:val="center"/>
              <w:rPr>
                <w:b/>
                <w:sz w:val="26"/>
                <w:szCs w:val="28"/>
              </w:rPr>
            </w:pPr>
            <w:r>
              <w:rPr>
                <w:b/>
                <w:sz w:val="26"/>
                <w:szCs w:val="28"/>
              </w:rPr>
              <w:t>Độc lập - Tự do - Hạnh phúc</w:t>
            </w:r>
          </w:p>
          <w:p>
            <w:pPr>
              <w:ind w:left="33"/>
              <w:jc w:val="center"/>
              <w:rPr>
                <w:i/>
                <w:sz w:val="28"/>
                <w:szCs w:val="28"/>
              </w:rPr>
            </w:pPr>
            <w:r>
              <w:rPr>
                <w:b/>
                <w:sz w:val="24"/>
                <w:szCs w:val="28"/>
                <w:lang/>
              </w:rPr>
              <mc:AlternateContent>
                <mc:Choice Requires="wps">
                  <w:drawing>
                    <wp:anchor distT="0" distB="0" distL="114300" distR="114300" simplePos="0" relativeHeight="251659264" behindDoc="0" locked="0" layoutInCell="1" allowOverlap="1">
                      <wp:simplePos x="0" y="0"/>
                      <wp:positionH relativeFrom="column">
                        <wp:posOffset>642620</wp:posOffset>
                      </wp:positionH>
                      <wp:positionV relativeFrom="paragraph">
                        <wp:posOffset>64135</wp:posOffset>
                      </wp:positionV>
                      <wp:extent cx="2026285" cy="3810"/>
                      <wp:effectExtent l="0" t="0" r="0" b="0"/>
                      <wp:wrapNone/>
                      <wp:docPr id="2" name="Lines 4"/>
                      <wp:cNvGraphicFramePr/>
                      <a:graphic xmlns:a="http://schemas.openxmlformats.org/drawingml/2006/main">
                        <a:graphicData uri="http://schemas.microsoft.com/office/word/2010/wordprocessingShape">
                          <wps:wsp>
                            <wps:cNvSpPr/>
                            <wps:spPr>
                              <a:xfrm flipV="1">
                                <a:off x="0" y="0"/>
                                <a:ext cx="2026285" cy="381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flip:y;margin-left:50.6pt;margin-top:5.05pt;height:0.3pt;width:159.55pt;z-index:251659264;mso-width-relative:page;mso-height-relative:page;" filled="f" stroked="t" coordsize="21600,21600" o:gfxdata="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zuiq11QAAAAkB&#10;AAAPAAAAAAAAAAEAIAAAACIAAABkcnMvZG93bnJldi54bWxQSwECFAAUAAAACACHTuJAokF+lOUB&#10;AADnAwAADgAAAAAAAAABACAAAAAkAQAAZHJzL2Uyb0RvYy54bWxQSwUGAAAAAAYABgBZAQAAewUA&#10;AAAA&#10;">
                      <v:fill on="f" focussize="0,0"/>
                      <v:stroke color="#000000" joinstyle="round"/>
                      <v:imagedata o:title=""/>
                      <o:lock v:ext="edit" aspectratio="f"/>
                    </v:line>
                  </w:pict>
                </mc:Fallback>
              </mc:AlternateContent>
            </w:r>
          </w:p>
          <w:p>
            <w:pPr>
              <w:ind w:left="33"/>
              <w:jc w:val="center"/>
              <w:rPr>
                <w:rFonts w:hint="default"/>
                <w:b/>
                <w:sz w:val="24"/>
                <w:szCs w:val="28"/>
                <w:lang w:val="en-US"/>
              </w:rPr>
            </w:pPr>
            <w:r>
              <w:rPr>
                <w:i/>
                <w:sz w:val="28"/>
                <w:szCs w:val="28"/>
              </w:rPr>
              <w:t xml:space="preserve">Hà Nội, ngày </w:t>
            </w:r>
            <w:r>
              <w:rPr>
                <w:rFonts w:hint="default"/>
                <w:i/>
                <w:sz w:val="28"/>
                <w:szCs w:val="28"/>
                <w:lang w:val="en-US"/>
              </w:rPr>
              <w:t>3</w:t>
            </w:r>
            <w:r>
              <w:rPr>
                <w:rFonts w:hint="default"/>
                <w:i/>
                <w:sz w:val="28"/>
                <w:szCs w:val="28"/>
                <w:lang w:val="en-US"/>
              </w:rPr>
              <w:t>0</w:t>
            </w:r>
            <w:r>
              <w:rPr>
                <w:i/>
                <w:sz w:val="28"/>
                <w:szCs w:val="28"/>
              </w:rPr>
              <w:t xml:space="preserve"> tháng </w:t>
            </w:r>
            <w:r>
              <w:rPr>
                <w:rFonts w:hint="default"/>
                <w:i/>
                <w:sz w:val="28"/>
                <w:szCs w:val="28"/>
                <w:lang w:val="en-US"/>
              </w:rPr>
              <w:t>1</w:t>
            </w:r>
            <w:r>
              <w:rPr>
                <w:rFonts w:hint="default"/>
                <w:i/>
                <w:sz w:val="28"/>
                <w:szCs w:val="28"/>
                <w:lang w:val="en-US"/>
              </w:rPr>
              <w:t xml:space="preserve">2 </w:t>
            </w:r>
            <w:r>
              <w:rPr>
                <w:i/>
                <w:sz w:val="28"/>
                <w:szCs w:val="28"/>
              </w:rPr>
              <w:t>năm 20</w:t>
            </w:r>
            <w:r>
              <w:rPr>
                <w:rFonts w:hint="default"/>
                <w:i/>
                <w:sz w:val="28"/>
                <w:szCs w:val="28"/>
                <w:lang w:val="en-US"/>
              </w:rPr>
              <w:t>2</w:t>
            </w:r>
            <w:r>
              <w:rPr>
                <w:rFonts w:hint="default"/>
                <w:i/>
                <w:sz w:val="28"/>
                <w:szCs w:val="28"/>
                <w:lang w:val="en-US"/>
              </w:rPr>
              <w:t>2</w:t>
            </w:r>
          </w:p>
        </w:tc>
      </w:tr>
    </w:tbl>
    <w:p>
      <w:pPr>
        <w:spacing w:before="480"/>
        <w:jc w:val="center"/>
        <w:outlineLvl w:val="4"/>
        <w:rPr>
          <w:rFonts w:eastAsia="Times New Roman"/>
          <w:b/>
          <w:bCs/>
          <w:iCs/>
          <w:sz w:val="28"/>
          <w:szCs w:val="30"/>
        </w:rPr>
      </w:pPr>
      <w:r>
        <w:rPr>
          <w:rFonts w:eastAsia="Times New Roman"/>
          <w:b/>
          <w:bCs/>
          <w:iCs/>
          <w:sz w:val="28"/>
          <w:szCs w:val="30"/>
        </w:rPr>
        <w:t>THÔNG TƯ</w:t>
      </w:r>
    </w:p>
    <w:p>
      <w:pPr>
        <w:spacing w:line="264" w:lineRule="auto"/>
        <w:jc w:val="center"/>
        <w:rPr>
          <w:rFonts w:eastAsia="Times New Roman"/>
          <w:b/>
          <w:sz w:val="28"/>
          <w:szCs w:val="28"/>
          <w:lang w:val="vi-VN"/>
        </w:rPr>
      </w:pPr>
      <w:r>
        <w:rPr>
          <w:rFonts w:eastAsia="Times New Roman"/>
          <w:b/>
          <w:sz w:val="28"/>
          <w:szCs w:val="28"/>
          <w:lang/>
        </w:rPr>
        <w:t>Qu</w:t>
      </w:r>
      <w:r>
        <w:rPr>
          <w:rFonts w:ascii="Times New Roman" w:hAnsi="Times New Roman" w:eastAsia="Times New Roman" w:cs="Times New Roman"/>
          <w:b/>
          <w:sz w:val="28"/>
          <w:szCs w:val="28"/>
          <w:lang/>
        </w:rPr>
        <w:t xml:space="preserve">y </w:t>
      </w:r>
      <w:r>
        <w:rPr>
          <w:rFonts w:ascii="Times New Roman" w:hAnsi="Times New Roman" w:eastAsia="Times New Roman" w:cs="Times New Roman"/>
          <w:b/>
          <w:sz w:val="28"/>
          <w:szCs w:val="28"/>
          <w:lang/>
        </w:rPr>
        <w:t>định chi tiết một số nội dung bắt buộc thể hiện trên nhãn hàng hóa của một số nhóm hàng hóa bằng phương thức điện tử</w:t>
      </w:r>
      <w:r>
        <w:rPr>
          <w:rFonts w:ascii="Times New Roman" w:hAnsi="Times New Roman" w:eastAsia="Times New Roman" w:cs="Times New Roman"/>
          <w:b/>
          <w:sz w:val="28"/>
          <w:szCs w:val="28"/>
          <w:lang w:val="vi-VN"/>
        </w:rPr>
        <w:t xml:space="preserve"> </w:t>
      </w:r>
    </w:p>
    <w:p>
      <w:pPr>
        <w:spacing w:before="100" w:after="100"/>
        <w:jc w:val="center"/>
        <w:rPr>
          <w:rFonts w:hint="default" w:eastAsia="Times New Roman"/>
          <w:b/>
          <w:bCs/>
          <w:sz w:val="28"/>
          <w:szCs w:val="28"/>
          <w:lang w:val="en-US"/>
        </w:rPr>
      </w:pPr>
      <w:r>
        <w:rPr>
          <w:rFonts w:hint="default" w:eastAsia="Times New Roman"/>
          <w:b/>
          <w:bCs/>
          <w:sz w:val="28"/>
          <w:szCs w:val="28"/>
          <w:lang w:val="en-US"/>
        </w:rPr>
        <w:t>_________________________</w:t>
      </w:r>
      <w:bookmarkStart w:id="8" w:name="_GoBack"/>
      <w:bookmarkEnd w:id="8"/>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397" w:firstLineChars="144"/>
        <w:jc w:val="left"/>
        <w:rPr>
          <w:rFonts w:ascii="Times New Roman" w:hAnsi="Times New Roman" w:eastAsia="Times New Roman" w:cs="Times New Roman"/>
          <w:i/>
          <w:spacing w:val="-2"/>
          <w:sz w:val="28"/>
          <w:szCs w:val="28"/>
          <w:lang w:val="vi-VN" w:eastAsia="en-US" w:bidi="ar-SA"/>
        </w:rPr>
      </w:pPr>
      <w:r>
        <w:rPr>
          <w:rFonts w:hint="default" w:ascii="Times New Roman" w:hAnsi="Times New Roman" w:eastAsia="Times New Roman" w:cs="Times New Roman"/>
          <w:i/>
          <w:spacing w:val="-2"/>
          <w:sz w:val="28"/>
          <w:szCs w:val="28"/>
          <w:lang w:eastAsia="en-US" w:bidi="ar-SA"/>
        </w:rPr>
        <w:t>Căn cứ Luật Chất lượng sản phẩm, hàng h</w:t>
      </w:r>
      <w:r>
        <w:rPr>
          <w:rFonts w:hint="default" w:ascii="Times New Roman" w:hAnsi="Times New Roman" w:eastAsia="Times New Roman" w:cs="Times New Roman"/>
          <w:i/>
          <w:spacing w:val="-2"/>
          <w:sz w:val="28"/>
          <w:szCs w:val="28"/>
          <w:lang w:val="vi-VN" w:eastAsia="en-US" w:bidi="ar-SA"/>
        </w:rPr>
        <w:fldChar w:fldCharType="begin"/>
      </w:r>
      <w:r>
        <w:rPr>
          <w:rFonts w:hint="default" w:ascii="Times New Roman" w:hAnsi="Times New Roman" w:eastAsia="Times New Roman" w:cs="Times New Roman"/>
          <w:i/>
          <w:spacing w:val="-2"/>
          <w:sz w:val="28"/>
          <w:szCs w:val="28"/>
          <w:lang w:val="vi-VN" w:eastAsia="en-US" w:bidi="ar-SA"/>
        </w:rPr>
        <w:instrText xml:space="preserve"> HYPERLINK "https://thuvienphapluat.vn/van-ban/Thuong-mai/Luat-chat-luong-san-pham-hang-hoa-2007-05-2007-QH12-59776.aspx" \t "https://thuvienphapluat.vn/van-ban/Thuong-mai/_blank" </w:instrText>
      </w:r>
      <w:r>
        <w:rPr>
          <w:rFonts w:hint="default" w:ascii="Times New Roman" w:hAnsi="Times New Roman" w:eastAsia="Times New Roman" w:cs="Times New Roman"/>
          <w:i/>
          <w:spacing w:val="-2"/>
          <w:sz w:val="28"/>
          <w:szCs w:val="28"/>
          <w:lang w:val="vi-VN" w:eastAsia="en-US" w:bidi="ar-SA"/>
        </w:rPr>
        <w:fldChar w:fldCharType="separate"/>
      </w:r>
      <w:r>
        <w:rPr>
          <w:rFonts w:hint="default" w:ascii="Times New Roman" w:hAnsi="Times New Roman" w:eastAsia="Times New Roman" w:cs="Times New Roman"/>
          <w:i/>
          <w:spacing w:val="-2"/>
          <w:sz w:val="28"/>
          <w:szCs w:val="28"/>
          <w:lang w:val="en-US" w:eastAsia="en-US" w:bidi="ar-SA"/>
        </w:rPr>
        <w:t>ó</w:t>
      </w:r>
      <w:r>
        <w:rPr>
          <w:rFonts w:hint="default" w:ascii="Times New Roman" w:hAnsi="Times New Roman" w:eastAsia="Times New Roman" w:cs="Times New Roman"/>
          <w:i/>
          <w:spacing w:val="-2"/>
          <w:sz w:val="28"/>
          <w:szCs w:val="28"/>
          <w:lang w:val="vi-VN" w:eastAsia="en-US" w:bidi="ar-SA"/>
        </w:rPr>
        <w:fldChar w:fldCharType="end"/>
      </w:r>
      <w:r>
        <w:rPr>
          <w:rFonts w:hint="default" w:ascii="Times New Roman" w:hAnsi="Times New Roman" w:eastAsia="Times New Roman" w:cs="Times New Roman"/>
          <w:i/>
          <w:spacing w:val="-2"/>
          <w:sz w:val="28"/>
          <w:szCs w:val="28"/>
          <w:lang w:eastAsia="en-US" w:bidi="ar-SA"/>
        </w:rPr>
        <w:fldChar w:fldCharType="begin"/>
      </w:r>
      <w:r>
        <w:rPr>
          <w:rFonts w:hint="default" w:ascii="Times New Roman" w:hAnsi="Times New Roman" w:eastAsia="Times New Roman" w:cs="Times New Roman"/>
          <w:i/>
          <w:spacing w:val="-2"/>
          <w:sz w:val="28"/>
          <w:szCs w:val="28"/>
          <w:lang w:eastAsia="en-US" w:bidi="ar-SA"/>
        </w:rPr>
        <w:instrText xml:space="preserve"> HYPERLINK "https://thuvienphapluat.vn/van-ban/Thuong-mai/Luat-chat-luong-san-pham-hang-hoa-2007-05-2007-QH12-59776.aspx" \t "https://thuvienphapluat.vn/van-ban/Thuong-mai/_blank" </w:instrText>
      </w:r>
      <w:r>
        <w:rPr>
          <w:rFonts w:hint="default" w:ascii="Times New Roman" w:hAnsi="Times New Roman" w:eastAsia="Times New Roman" w:cs="Times New Roman"/>
          <w:i/>
          <w:spacing w:val="-2"/>
          <w:sz w:val="28"/>
          <w:szCs w:val="28"/>
          <w:lang w:eastAsia="en-US" w:bidi="ar-SA"/>
        </w:rPr>
        <w:fldChar w:fldCharType="separate"/>
      </w:r>
      <w:r>
        <w:rPr>
          <w:rFonts w:hint="default" w:ascii="Times New Roman" w:hAnsi="Times New Roman" w:eastAsia="Times New Roman" w:cs="Times New Roman"/>
          <w:i/>
          <w:spacing w:val="-2"/>
          <w:sz w:val="28"/>
          <w:szCs w:val="28"/>
          <w:lang w:eastAsia="en-US" w:bidi="ar-SA"/>
        </w:rPr>
        <w:t>a</w:t>
      </w:r>
      <w:r>
        <w:rPr>
          <w:rFonts w:hint="default" w:ascii="Times New Roman" w:hAnsi="Times New Roman" w:eastAsia="Times New Roman" w:cs="Times New Roman"/>
          <w:i/>
          <w:spacing w:val="-2"/>
          <w:sz w:val="28"/>
          <w:szCs w:val="28"/>
          <w:lang w:eastAsia="en-US" w:bidi="ar-SA"/>
        </w:rPr>
        <w:fldChar w:fldCharType="end"/>
      </w:r>
      <w:r>
        <w:rPr>
          <w:rFonts w:hint="default" w:ascii="Times New Roman" w:hAnsi="Times New Roman" w:eastAsia="Times New Roman" w:cs="Times New Roman"/>
          <w:i/>
          <w:spacing w:val="-2"/>
          <w:sz w:val="28"/>
          <w:szCs w:val="28"/>
          <w:lang w:eastAsia="en-US" w:bidi="ar-SA"/>
        </w:rPr>
        <w:t> ngày 21 tháng </w:t>
      </w:r>
      <w:r>
        <w:rPr>
          <w:rFonts w:hint="default" w:ascii="Times New Roman" w:hAnsi="Times New Roman" w:eastAsia="Times New Roman" w:cs="Times New Roman"/>
          <w:i/>
          <w:spacing w:val="-2"/>
          <w:sz w:val="28"/>
          <w:szCs w:val="28"/>
          <w:lang w:val="en-US" w:eastAsia="en-US" w:bidi="ar-SA"/>
        </w:rPr>
        <w:t>11</w:t>
      </w:r>
      <w:r>
        <w:rPr>
          <w:rFonts w:hint="default" w:ascii="Times New Roman" w:hAnsi="Times New Roman" w:eastAsia="Times New Roman" w:cs="Times New Roman"/>
          <w:i/>
          <w:spacing w:val="-2"/>
          <w:sz w:val="28"/>
          <w:szCs w:val="28"/>
          <w:lang w:eastAsia="en-US" w:bidi="ar-SA"/>
        </w:rPr>
        <w:t> năm 2007;</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397" w:firstLineChars="144"/>
        <w:jc w:val="left"/>
        <w:rPr>
          <w:rFonts w:hint="default" w:ascii="Times New Roman" w:hAnsi="Times New Roman" w:eastAsia="Times New Roman" w:cs="Times New Roman"/>
          <w:i/>
          <w:spacing w:val="-2"/>
          <w:sz w:val="28"/>
          <w:szCs w:val="28"/>
          <w:lang w:val="vi-VN" w:eastAsia="en-US" w:bidi="ar-SA"/>
        </w:rPr>
      </w:pPr>
      <w:r>
        <w:rPr>
          <w:rFonts w:hint="default" w:ascii="Times New Roman" w:hAnsi="Times New Roman" w:eastAsia="Times New Roman" w:cs="Times New Roman"/>
          <w:i/>
          <w:spacing w:val="-2"/>
          <w:sz w:val="28"/>
          <w:szCs w:val="28"/>
          <w:lang w:eastAsia="en-US" w:bidi="ar-SA"/>
        </w:rPr>
        <w:t>Căn cứ Nghị định số 95/2017/NĐ-CP ngày 16 tháng 8 năm 2017 của Chính phủ quy định chức năng, nhiệm vụ, quyền hạn và cơ cấu tổ chức của Bộ Khoa học và Công nghệ;</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397" w:firstLineChars="144"/>
        <w:jc w:val="left"/>
        <w:rPr>
          <w:rFonts w:hint="default" w:ascii="Times New Roman" w:hAnsi="Times New Roman" w:eastAsia="Times New Roman" w:cs="Times New Roman"/>
          <w:i/>
          <w:spacing w:val="-2"/>
          <w:sz w:val="28"/>
          <w:szCs w:val="28"/>
          <w:lang w:val="vi-VN" w:eastAsia="en-US" w:bidi="ar-SA"/>
        </w:rPr>
      </w:pPr>
      <w:r>
        <w:rPr>
          <w:rFonts w:hint="default" w:ascii="Times New Roman" w:hAnsi="Times New Roman" w:eastAsia="Times New Roman" w:cs="Times New Roman"/>
          <w:i/>
          <w:spacing w:val="-2"/>
          <w:sz w:val="28"/>
          <w:szCs w:val="28"/>
          <w:lang w:eastAsia="en-US" w:bidi="ar-SA"/>
        </w:rPr>
        <w:t>Căn cứ Nghị định số 43/2017/NĐ-CP ngày 14 tháng 4 năm 2017 của Chính phủ về nhãn hàng hóa và Nghị định số 111/2021/NĐ-CP ngày 09 tháng 12 năm 2021 của Chính phủ sửa đổi, bổ sung m</w:t>
      </w:r>
      <w:r>
        <w:rPr>
          <w:rFonts w:hint="default" w:ascii="Times New Roman" w:hAnsi="Times New Roman" w:eastAsia="Times New Roman" w:cs="Times New Roman"/>
          <w:i/>
          <w:spacing w:val="-2"/>
          <w:sz w:val="28"/>
          <w:szCs w:val="28"/>
          <w:lang w:val="en-US" w:eastAsia="en-US" w:bidi="ar-SA"/>
        </w:rPr>
        <w:t>ộ</w:t>
      </w:r>
      <w:r>
        <w:rPr>
          <w:rFonts w:hint="default" w:ascii="Times New Roman" w:hAnsi="Times New Roman" w:eastAsia="Times New Roman" w:cs="Times New Roman"/>
          <w:i/>
          <w:spacing w:val="-2"/>
          <w:sz w:val="28"/>
          <w:szCs w:val="28"/>
          <w:lang w:eastAsia="en-US" w:bidi="ar-SA"/>
        </w:rPr>
        <w:t>t số điều Nghị định số 43/2017/NĐ-CP ngày 14 tháng 4 năm 2017 của Chính phủ về nhãn hàng h</w:t>
      </w:r>
      <w:r>
        <w:rPr>
          <w:rFonts w:hint="default" w:ascii="Times New Roman" w:hAnsi="Times New Roman" w:eastAsia="Times New Roman" w:cs="Times New Roman"/>
          <w:i/>
          <w:spacing w:val="-2"/>
          <w:sz w:val="28"/>
          <w:szCs w:val="28"/>
          <w:lang w:val="en-US" w:eastAsia="en-US" w:bidi="ar-SA"/>
        </w:rPr>
        <w:t>ó</w:t>
      </w:r>
      <w:r>
        <w:rPr>
          <w:rFonts w:hint="default" w:ascii="Times New Roman" w:hAnsi="Times New Roman" w:eastAsia="Times New Roman" w:cs="Times New Roman"/>
          <w:i/>
          <w:spacing w:val="-2"/>
          <w:sz w:val="28"/>
          <w:szCs w:val="28"/>
          <w:lang w:eastAsia="en-US" w:bidi="ar-SA"/>
        </w:rPr>
        <w:t>a;</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397" w:firstLineChars="144"/>
        <w:jc w:val="left"/>
        <w:rPr>
          <w:rFonts w:hint="default" w:ascii="Times New Roman" w:hAnsi="Times New Roman" w:eastAsia="Times New Roman" w:cs="Times New Roman"/>
          <w:i/>
          <w:spacing w:val="-2"/>
          <w:sz w:val="28"/>
          <w:szCs w:val="28"/>
          <w:lang w:val="vi-VN" w:eastAsia="en-US" w:bidi="ar-SA"/>
        </w:rPr>
      </w:pPr>
      <w:r>
        <w:rPr>
          <w:rFonts w:hint="default" w:ascii="Times New Roman" w:hAnsi="Times New Roman" w:eastAsia="Times New Roman" w:cs="Times New Roman"/>
          <w:i/>
          <w:spacing w:val="-2"/>
          <w:sz w:val="28"/>
          <w:szCs w:val="28"/>
          <w:lang w:eastAsia="en-US" w:bidi="ar-SA"/>
        </w:rPr>
        <w:t>Theo đề nghị của Tổng cục trưởng T</w:t>
      </w:r>
      <w:r>
        <w:rPr>
          <w:rFonts w:hint="default" w:ascii="Times New Roman" w:hAnsi="Times New Roman" w:eastAsia="Times New Roman" w:cs="Times New Roman"/>
          <w:i/>
          <w:spacing w:val="-2"/>
          <w:sz w:val="28"/>
          <w:szCs w:val="28"/>
          <w:lang w:val="en-US" w:eastAsia="en-US" w:bidi="ar-SA"/>
        </w:rPr>
        <w:t>ổ</w:t>
      </w:r>
      <w:r>
        <w:rPr>
          <w:rFonts w:hint="default" w:ascii="Times New Roman" w:hAnsi="Times New Roman" w:eastAsia="Times New Roman" w:cs="Times New Roman"/>
          <w:i/>
          <w:spacing w:val="-2"/>
          <w:sz w:val="28"/>
          <w:szCs w:val="28"/>
          <w:lang w:eastAsia="en-US" w:bidi="ar-SA"/>
        </w:rPr>
        <w:t>ng cục Tiêu chuẩn Đo lường Chất lượng và Vụ trưởng Vụ Pháp chế;</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397" w:firstLineChars="144"/>
        <w:jc w:val="left"/>
        <w:rPr>
          <w:rFonts w:eastAsia="Times New Roman"/>
          <w:i/>
          <w:spacing w:val="-2"/>
          <w:sz w:val="28"/>
          <w:szCs w:val="28"/>
          <w:lang w:val="vi-VN"/>
        </w:rPr>
      </w:pPr>
      <w:r>
        <w:rPr>
          <w:rFonts w:hint="default" w:ascii="Times New Roman" w:hAnsi="Times New Roman" w:eastAsia="Times New Roman" w:cs="Times New Roman"/>
          <w:i/>
          <w:spacing w:val="-2"/>
          <w:sz w:val="28"/>
          <w:szCs w:val="28"/>
          <w:lang w:eastAsia="en-US" w:bidi="ar-SA"/>
        </w:rPr>
        <w:t>Bộ trưởng Bộ Khoa học và Công nghệ ban hành Thông tư quy định chi tiết một số nội dung bắt buộc thể hiện trên nhãn hàng hóa của một số nhóm hàng hóa bằng phương thức điện tử.</w:t>
      </w:r>
      <w:r>
        <w:rPr>
          <w:rFonts w:eastAsia="Times New Roman"/>
          <w:i/>
          <w:spacing w:val="-2"/>
          <w:sz w:val="28"/>
          <w:szCs w:val="28"/>
          <w:lang w:val="vi-VN"/>
        </w:rPr>
        <w:t xml:space="preserve">  </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ascii="Times New Roman" w:hAnsi="Times New Roman" w:cs="Times New Roman"/>
          <w:b/>
          <w:bCs/>
          <w:color w:val="000000"/>
          <w:lang w:val="vi-VN" w:eastAsia="en-US"/>
        </w:rPr>
      </w:pPr>
      <w:bookmarkStart w:id="0" w:name="dieu_1"/>
      <w:r>
        <w:rPr>
          <w:rFonts w:hint="default" w:ascii="Times New Roman" w:hAnsi="Times New Roman" w:cs="Times New Roman"/>
          <w:b/>
          <w:bCs/>
          <w:color w:val="000000"/>
          <w:lang w:eastAsia="en-US"/>
        </w:rPr>
        <w:t>Điều 1. Phạm vi điều chỉnh</w:t>
      </w:r>
      <w:bookmarkEnd w:id="0"/>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Thông tư này quy định chi tiết một số nội dung bắt buộc thể hiện trên nhãn hàng hóa được thể hiện bằng phương thức điện tử quy định tại </w:t>
      </w:r>
      <w:bookmarkStart w:id="1" w:name="dc_1"/>
      <w:r>
        <w:rPr>
          <w:rFonts w:hint="default" w:ascii="Times New Roman" w:hAnsi="Times New Roman" w:cs="Times New Roman"/>
          <w:color w:val="000000"/>
          <w:lang w:eastAsia="en-US"/>
        </w:rPr>
        <w:t>điểm d khoản 1 Điều 10 Nghị định số 43/2017/NĐ-CP</w:t>
      </w:r>
      <w:bookmarkEnd w:id="1"/>
      <w:r>
        <w:rPr>
          <w:rFonts w:hint="default" w:ascii="Times New Roman" w:hAnsi="Times New Roman" w:cs="Times New Roman"/>
          <w:color w:val="000000"/>
          <w:lang w:eastAsia="en-US"/>
        </w:rPr>
        <w:t> ngày 14 tháng 4 năm 2017 của Chính phủ về nhãn hàng hóa được sửa đổi, bổ sung tại </w:t>
      </w:r>
      <w:bookmarkStart w:id="2" w:name="dc_2"/>
      <w:r>
        <w:rPr>
          <w:rFonts w:hint="default" w:ascii="Times New Roman" w:hAnsi="Times New Roman" w:cs="Times New Roman"/>
          <w:color w:val="000000"/>
          <w:lang w:eastAsia="en-US"/>
        </w:rPr>
        <w:t>khoản 5 Điều 1 Nghị định số 111/2021/NĐ-CP</w:t>
      </w:r>
      <w:bookmarkEnd w:id="2"/>
      <w:r>
        <w:rPr>
          <w:rFonts w:hint="default" w:ascii="Times New Roman" w:hAnsi="Times New Roman" w:cs="Times New Roman"/>
          <w:color w:val="000000"/>
          <w:lang w:eastAsia="en-US"/>
        </w:rPr>
        <w:t> ngày 09 tháng 12 năm 2021 của Chính phủ sửa đổi, bổ sung một số điều Nghị định số 43/2017/NĐ-CP ngày 14 tháng 4 năm 2017 của Chính phủ về nhãn hàng hóa, cụ th</w:t>
      </w:r>
      <w:r>
        <w:rPr>
          <w:rFonts w:hint="default" w:ascii="Times New Roman" w:hAnsi="Times New Roman" w:cs="Times New Roman"/>
          <w:color w:val="000000"/>
          <w:lang w:val="en-US" w:eastAsia="en-US"/>
        </w:rPr>
        <w:t>ể</w:t>
      </w:r>
      <w:r>
        <w:rPr>
          <w:rFonts w:hint="default" w:ascii="Times New Roman" w:hAnsi="Times New Roman" w:cs="Times New Roman"/>
          <w:color w:val="000000"/>
          <w:lang w:eastAsia="en-US"/>
        </w:rPr>
        <w:t> như sau:</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1. Nội dung b</w:t>
      </w:r>
      <w:r>
        <w:rPr>
          <w:rFonts w:hint="default" w:ascii="Times New Roman" w:hAnsi="Times New Roman" w:cs="Times New Roman"/>
          <w:color w:val="000000"/>
          <w:lang w:val="en-US" w:eastAsia="en-US"/>
        </w:rPr>
        <w:t>ắ</w:t>
      </w:r>
      <w:r>
        <w:rPr>
          <w:rFonts w:hint="default" w:ascii="Times New Roman" w:hAnsi="Times New Roman" w:cs="Times New Roman"/>
          <w:color w:val="000000"/>
          <w:lang w:eastAsia="en-US"/>
        </w:rPr>
        <w:t>t buộc thể hiện trên nhãn hàng hóa được thể hiện bằng phương thức điện tử của các nhóm hàng hóa từ Mục 25 đến mục 38; Mục 40, 44, 50, 51, 52, 53 và Mục 58 đến mục 64 quy định tại Phụ lục I ban hành kèm theo Nghị định số 43/2017/NĐ-CP được sửa đổi, bổ sung tại Nghị định số 111/2021/NĐ-CP .</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2. Các nhóm hàng h</w:t>
      </w:r>
      <w:r>
        <w:rPr>
          <w:rFonts w:hint="default" w:ascii="Times New Roman" w:hAnsi="Times New Roman" w:cs="Times New Roman"/>
          <w:color w:val="000000"/>
          <w:lang w:val="en-US" w:eastAsia="en-US"/>
        </w:rPr>
        <w:t>ó</w:t>
      </w:r>
      <w:r>
        <w:rPr>
          <w:rFonts w:hint="default" w:ascii="Times New Roman" w:hAnsi="Times New Roman" w:cs="Times New Roman"/>
          <w:color w:val="000000"/>
          <w:lang w:eastAsia="en-US"/>
        </w:rPr>
        <w:t>a quy định tại Phụ lục I kèm theo Nghị định số 43/2017/NĐ-CP được sửa đổi, bổ sung tại Nghị định số 111/2021/NĐ-CP không thuộc quy định tại khoản 1 Điều này và các nội dung khác không thuộc Phụ lục ban hành kèm theo Thông tư này không áp dụng ghi nhãn bằng phương thức điện tử theo quy định tại Thông tư này.</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3. Hàng hóa là trang thiết bị y t</w:t>
      </w:r>
      <w:r>
        <w:rPr>
          <w:rFonts w:hint="default" w:ascii="Times New Roman" w:hAnsi="Times New Roman" w:cs="Times New Roman"/>
          <w:color w:val="000000"/>
          <w:lang w:val="en-US" w:eastAsia="en-US"/>
        </w:rPr>
        <w:t>ế </w:t>
      </w:r>
      <w:r>
        <w:rPr>
          <w:rFonts w:hint="default" w:ascii="Times New Roman" w:hAnsi="Times New Roman" w:cs="Times New Roman"/>
          <w:color w:val="000000"/>
          <w:lang w:eastAsia="en-US"/>
        </w:rPr>
        <w:t>thực hiện ghi nhãn hàng hóa bằng phương thức điện tử thực hiện theo quy định tại văn bản quy phạm pháp luật do Bộ quản lý ngành, lĩnh vực ban hành.</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b/>
          <w:bCs/>
          <w:color w:val="000000"/>
          <w:lang w:val="vi-VN" w:eastAsia="en-US"/>
        </w:rPr>
      </w:pPr>
      <w:bookmarkStart w:id="3" w:name="dieu_2"/>
      <w:r>
        <w:rPr>
          <w:rFonts w:hint="default" w:ascii="Times New Roman" w:hAnsi="Times New Roman" w:cs="Times New Roman"/>
          <w:b/>
          <w:bCs/>
          <w:color w:val="000000"/>
          <w:lang w:eastAsia="en-US"/>
        </w:rPr>
        <w:t>Điều 2. Đối tượng áp dụng</w:t>
      </w:r>
      <w:bookmarkEnd w:id="3"/>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Thông tư này áp dụng cho những đối tượng sau:</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1. Tổ chức, cá nhân sản xuất, kinh doanh hàng hóa tại Việt Nam và tổ chức, cá nhân nhập khẩu hàng hóa;</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2. Cơ quan nhà nước và tổ chức, cá nhân liên quan.</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b/>
          <w:bCs/>
          <w:color w:val="000000"/>
          <w:lang w:val="vi-VN" w:eastAsia="en-US"/>
        </w:rPr>
      </w:pPr>
      <w:bookmarkStart w:id="4" w:name="dieu_3"/>
      <w:r>
        <w:rPr>
          <w:rFonts w:hint="default" w:ascii="Times New Roman" w:hAnsi="Times New Roman" w:cs="Times New Roman"/>
          <w:b/>
          <w:bCs/>
          <w:color w:val="000000"/>
          <w:lang w:eastAsia="en-US"/>
        </w:rPr>
        <w:t>Điều 3. Nguyên tắc thể hiện một số nội dung bắt buộc bằng phương thức điện tử</w:t>
      </w:r>
      <w:bookmarkEnd w:id="4"/>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1. Tổ chức, cá nhân chịu trách nhiệm ghi nh</w:t>
      </w:r>
      <w:r>
        <w:rPr>
          <w:rFonts w:hint="default" w:ascii="Times New Roman" w:hAnsi="Times New Roman" w:cs="Times New Roman"/>
          <w:color w:val="000000"/>
          <w:lang w:val="en-US" w:eastAsia="en-US"/>
        </w:rPr>
        <w:t>ã</w:t>
      </w:r>
      <w:r>
        <w:rPr>
          <w:rFonts w:hint="default" w:ascii="Times New Roman" w:hAnsi="Times New Roman" w:cs="Times New Roman"/>
          <w:color w:val="000000"/>
          <w:lang w:eastAsia="en-US"/>
        </w:rPr>
        <w:t>n hàng hóa được lựa chọn ghi nh</w:t>
      </w:r>
      <w:r>
        <w:rPr>
          <w:rFonts w:hint="default" w:ascii="Times New Roman" w:hAnsi="Times New Roman" w:cs="Times New Roman"/>
          <w:color w:val="000000"/>
          <w:lang w:val="en-US" w:eastAsia="en-US"/>
        </w:rPr>
        <w:t>ã</w:t>
      </w:r>
      <w:r>
        <w:rPr>
          <w:rFonts w:hint="default" w:ascii="Times New Roman" w:hAnsi="Times New Roman" w:cs="Times New Roman"/>
          <w:color w:val="000000"/>
          <w:lang w:eastAsia="en-US"/>
        </w:rPr>
        <w:t>n hàng h</w:t>
      </w:r>
      <w:r>
        <w:rPr>
          <w:rFonts w:hint="default" w:ascii="Times New Roman" w:hAnsi="Times New Roman" w:cs="Times New Roman"/>
          <w:color w:val="000000"/>
          <w:lang w:val="en-US" w:eastAsia="en-US"/>
        </w:rPr>
        <w:t>ó</w:t>
      </w:r>
      <w:r>
        <w:rPr>
          <w:rFonts w:hint="default" w:ascii="Times New Roman" w:hAnsi="Times New Roman" w:cs="Times New Roman"/>
          <w:color w:val="000000"/>
          <w:lang w:eastAsia="en-US"/>
        </w:rPr>
        <w:t>a bằng phương thức điện tử hoặc lựa chọn ghi trên nhãn hàng hóa gắn trực tiếp trên hàng hóa hoặc bao bì thương phẩm của hàng hóa hoặc ghi trong tài liệu kèm theo của hàng hóa theo quy định tại Nghị định số 43/2017/NĐ-CP được sửa đổi, bổ sung tại Nghị định số 111/2021/NĐ-CP. Nhóm hàng hóa và nội dung thể hiện bằng phương thức điện tử thực hiện theo quy định tại Phụ lục “Một số nội dung theo tính chất của hàng hóa được thể hiện b</w:t>
      </w:r>
      <w:r>
        <w:rPr>
          <w:rFonts w:hint="default" w:ascii="Times New Roman" w:hAnsi="Times New Roman" w:cs="Times New Roman"/>
          <w:color w:val="000000"/>
          <w:lang w:val="en-US" w:eastAsia="en-US"/>
        </w:rPr>
        <w:t>ằ</w:t>
      </w:r>
      <w:r>
        <w:rPr>
          <w:rFonts w:hint="default" w:ascii="Times New Roman" w:hAnsi="Times New Roman" w:cs="Times New Roman"/>
          <w:color w:val="000000"/>
          <w:lang w:eastAsia="en-US"/>
        </w:rPr>
        <w:t>ng phương thức điện t</w:t>
      </w:r>
      <w:r>
        <w:rPr>
          <w:rFonts w:hint="default" w:ascii="Times New Roman" w:hAnsi="Times New Roman" w:cs="Times New Roman"/>
          <w:color w:val="000000"/>
          <w:lang w:val="en-US" w:eastAsia="en-US"/>
        </w:rPr>
        <w:t>ử</w:t>
      </w:r>
      <w:r>
        <w:rPr>
          <w:rFonts w:hint="default" w:ascii="Times New Roman" w:hAnsi="Times New Roman" w:cs="Times New Roman"/>
          <w:color w:val="000000"/>
          <w:lang w:eastAsia="en-US"/>
        </w:rPr>
        <w:t>” ban hành kèm theo Thông tư này.</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2. Tổ chức, cá nhân chịu trách nhiệm ghi nhãn hàng hóa khi th</w:t>
      </w:r>
      <w:r>
        <w:rPr>
          <w:rFonts w:hint="default" w:ascii="Times New Roman" w:hAnsi="Times New Roman" w:cs="Times New Roman"/>
          <w:color w:val="000000"/>
          <w:lang w:val="en-US" w:eastAsia="en-US"/>
        </w:rPr>
        <w:t>ể </w:t>
      </w:r>
      <w:r>
        <w:rPr>
          <w:rFonts w:hint="default" w:ascii="Times New Roman" w:hAnsi="Times New Roman" w:cs="Times New Roman"/>
          <w:color w:val="000000"/>
          <w:lang w:eastAsia="en-US"/>
        </w:rPr>
        <w:t>hiện nội dung ghi nhãn theo phương thức điện tử quy định tại Thông tư này bảo đảm các yêu cầu sau:</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a) Phương thức điện tử được thể hiện r</w:t>
      </w:r>
      <w:r>
        <w:rPr>
          <w:rFonts w:hint="default" w:ascii="Times New Roman" w:hAnsi="Times New Roman" w:cs="Times New Roman"/>
          <w:color w:val="000000"/>
          <w:lang w:val="en-US" w:eastAsia="en-US"/>
        </w:rPr>
        <w:t>õ </w:t>
      </w:r>
      <w:r>
        <w:rPr>
          <w:rFonts w:hint="default" w:ascii="Times New Roman" w:hAnsi="Times New Roman" w:cs="Times New Roman"/>
          <w:color w:val="000000"/>
          <w:lang w:eastAsia="en-US"/>
        </w:rPr>
        <w:t>đường dẫn trên nhãn hàng hóa, ví dụ: mã số mã vạch, mã QR code, trên màn hình điện tử của sản phẩm có màn hình hoặc các phương thức điện tử thông dụng khác;</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b) Bảo đảm phương tiện, thiết bị và/hoặc hướng dẫn khách hàng truy cập nội dung quy định bằng phương thức điện tử của nhãn hàng hóa tại chỗ;</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c) Nội dung thể hiện bằng phương thức điện tử phải tương ứng với nội dung th</w:t>
      </w:r>
      <w:r>
        <w:rPr>
          <w:rFonts w:hint="default" w:ascii="Times New Roman" w:hAnsi="Times New Roman" w:cs="Times New Roman"/>
          <w:color w:val="000000"/>
          <w:lang w:val="en-US" w:eastAsia="en-US"/>
        </w:rPr>
        <w:t>ể </w:t>
      </w:r>
      <w:r>
        <w:rPr>
          <w:rFonts w:hint="default" w:ascii="Times New Roman" w:hAnsi="Times New Roman" w:cs="Times New Roman"/>
          <w:color w:val="000000"/>
          <w:lang w:eastAsia="en-US"/>
        </w:rPr>
        <w:t>hiện trên nhãn trực tiếp, không làm người đọc, xem, nghe hiểu sai lệch bản chất của hàng hóa.</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b/>
          <w:bCs/>
          <w:color w:val="000000"/>
          <w:lang w:val="vi-VN" w:eastAsia="en-US"/>
        </w:rPr>
      </w:pPr>
      <w:bookmarkStart w:id="5" w:name="dieu_4"/>
      <w:r>
        <w:rPr>
          <w:rFonts w:hint="default" w:ascii="Times New Roman" w:hAnsi="Times New Roman" w:cs="Times New Roman"/>
          <w:b/>
          <w:bCs/>
          <w:color w:val="000000"/>
          <w:lang w:eastAsia="en-US"/>
        </w:rPr>
        <w:t>Điều 4. Tổ chức thực hiện</w:t>
      </w:r>
      <w:bookmarkEnd w:id="5"/>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1. Bộ Khoa học và Công nghệ chủ trì, phối hợp với Bộ quản lý ngành, lĩnh vực, địa phương thực hiện quản lý, thanh tra, kiểm tra, xử lý vi phạm về nh</w:t>
      </w:r>
      <w:r>
        <w:rPr>
          <w:rFonts w:hint="default" w:ascii="Times New Roman" w:hAnsi="Times New Roman" w:cs="Times New Roman"/>
          <w:color w:val="000000"/>
          <w:lang w:val="en-US" w:eastAsia="en-US"/>
        </w:rPr>
        <w:t>ã</w:t>
      </w:r>
      <w:r>
        <w:rPr>
          <w:rFonts w:hint="default" w:ascii="Times New Roman" w:hAnsi="Times New Roman" w:cs="Times New Roman"/>
          <w:color w:val="000000"/>
          <w:lang w:eastAsia="en-US"/>
        </w:rPr>
        <w:t>n hàng hóa.</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Cơ quan quản lý nhà nước về tiêu chuẩn đo lường chất lượng trực thuộc Bộ Khoa học và Công nghệ là cơ quan giúp Bộ trưởng Bộ Khoa học và Công nghệ thực hiện quản lý nhà nước về nhãn hàng hóa; nghiên cứu ứng dụng công nghệ thông tin vào quản lý ghi nhãn hàng hóa bằng phương thức điện tử.</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2. Các bộ, cơ quan ngang Bộ, cơ quan thuộc Chính phủ trong phạm vi chức năng, nhiệm vụ, quyền hạn của mình có trách nhiệm phối hợp với Bộ Khoa học và Công nghệ thực hiện quản lý ghi nh</w:t>
      </w:r>
      <w:r>
        <w:rPr>
          <w:rFonts w:hint="default" w:ascii="Times New Roman" w:hAnsi="Times New Roman" w:cs="Times New Roman"/>
          <w:color w:val="000000"/>
          <w:lang w:val="en-US" w:eastAsia="en-US"/>
        </w:rPr>
        <w:t>ã</w:t>
      </w:r>
      <w:r>
        <w:rPr>
          <w:rFonts w:hint="default" w:ascii="Times New Roman" w:hAnsi="Times New Roman" w:cs="Times New Roman"/>
          <w:color w:val="000000"/>
          <w:lang w:eastAsia="en-US"/>
        </w:rPr>
        <w:t>n hàng hóa bằng phương thức điện tử.</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Căn cứ yêu cầu thực tiễn quản lý đối với hàng hóa thuộc lĩnh vực được phân công, các bộ, cơ quan ngang Bộ hướng dẫn ghi nhãn hàng hóa bằng phương thức điện tử sau khi thống nhất với Bộ Khoa học và Công nghệ.</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3. Ủy ban nhân dân tỉnh, thành phố trực thuộc Trung ương trong phạm vi nhiệm vụ, quyền hạn của mình phối hợp với Bộ Khoa học và Công nghệ và trực tiếp thực hiện quản lý, thanh tra, kiểm tra về ghi nhãn hàng hóa bằng phương thức điện tử tại địa phương theo quy định pháp luật.</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4. Trách nhiệm của tổ chức, cá nhân sản xuất, nhập khẩu, kinh doanh hàng hóa ghi nhãn hàng hóa bằng phương thức điện tử:</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a) Thực hiện đúng quy định pháp luật về nh</w:t>
      </w:r>
      <w:r>
        <w:rPr>
          <w:rFonts w:hint="default" w:ascii="Times New Roman" w:hAnsi="Times New Roman" w:cs="Times New Roman"/>
          <w:color w:val="000000"/>
          <w:lang w:val="en-US" w:eastAsia="en-US"/>
        </w:rPr>
        <w:t>ã</w:t>
      </w:r>
      <w:r>
        <w:rPr>
          <w:rFonts w:hint="default" w:ascii="Times New Roman" w:hAnsi="Times New Roman" w:cs="Times New Roman"/>
          <w:color w:val="000000"/>
          <w:lang w:eastAsia="en-US"/>
        </w:rPr>
        <w:t>n hàng hóa và quy định tại Thông tư này; tuân thủ các quy định về thanh tra, kiểm tra, xử lý vi phạm hành chính và chịu trách nhiệm trước pháp luật về ghi nh</w:t>
      </w:r>
      <w:r>
        <w:rPr>
          <w:rFonts w:hint="default" w:ascii="Times New Roman" w:hAnsi="Times New Roman" w:cs="Times New Roman"/>
          <w:color w:val="000000"/>
          <w:lang w:val="en-US" w:eastAsia="en-US"/>
        </w:rPr>
        <w:t>ã</w:t>
      </w:r>
      <w:r>
        <w:rPr>
          <w:rFonts w:hint="default" w:ascii="Times New Roman" w:hAnsi="Times New Roman" w:cs="Times New Roman"/>
          <w:color w:val="000000"/>
          <w:lang w:eastAsia="en-US"/>
        </w:rPr>
        <w:t>n hàng hóa bằng phương thức điện tử do mình sản xuất, nhập khẩu, kinh doanh;</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b) Tổ chức, cá nhân sản xuất, nhập khẩu, kinh doanh hàng hóa ghi nhãn bằng phương thức điện tử bảo đảm có đủ công cụ, phương tiện để nội dung ghi nhãn hàng hóa bằng phương thức điện tử lu</w:t>
      </w:r>
      <w:r>
        <w:rPr>
          <w:rFonts w:hint="default" w:ascii="Times New Roman" w:hAnsi="Times New Roman" w:cs="Times New Roman"/>
          <w:color w:val="000000"/>
          <w:lang w:val="en-US" w:eastAsia="en-US"/>
        </w:rPr>
        <w:t>ô</w:t>
      </w:r>
      <w:r>
        <w:rPr>
          <w:rFonts w:hint="default" w:ascii="Times New Roman" w:hAnsi="Times New Roman" w:cs="Times New Roman"/>
          <w:color w:val="000000"/>
          <w:lang w:eastAsia="en-US"/>
        </w:rPr>
        <w:t>n được truy cập, đăng nhập ngay, cung cấp đầy đủ nội dung ghi nhãn hàng hóa bằng phương thức điện tử cho người tiêu dùng khi lựa chọn mua hàng hóa;</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c) Tổ chức, cá nhân sản xuất, nhập khẩu, kinh doanh hàng hóa có nội dung ghi nh</w:t>
      </w:r>
      <w:r>
        <w:rPr>
          <w:rFonts w:hint="default" w:ascii="Times New Roman" w:hAnsi="Times New Roman" w:cs="Times New Roman"/>
          <w:color w:val="000000"/>
          <w:lang w:val="en-US" w:eastAsia="en-US"/>
        </w:rPr>
        <w:t>ã</w:t>
      </w:r>
      <w:r>
        <w:rPr>
          <w:rFonts w:hint="default" w:ascii="Times New Roman" w:hAnsi="Times New Roman" w:cs="Times New Roman"/>
          <w:color w:val="000000"/>
          <w:lang w:eastAsia="en-US"/>
        </w:rPr>
        <w:t>n bằng phương thức điện t</w:t>
      </w:r>
      <w:r>
        <w:rPr>
          <w:rFonts w:hint="default" w:ascii="Times New Roman" w:hAnsi="Times New Roman" w:cs="Times New Roman"/>
          <w:color w:val="000000"/>
          <w:lang w:val="en-US" w:eastAsia="en-US"/>
        </w:rPr>
        <w:t>ử </w:t>
      </w:r>
      <w:r>
        <w:rPr>
          <w:rFonts w:hint="default" w:ascii="Times New Roman" w:hAnsi="Times New Roman" w:cs="Times New Roman"/>
          <w:color w:val="000000"/>
          <w:lang w:eastAsia="en-US"/>
        </w:rPr>
        <w:t>phải cung cấp nội dung nhãn thể hiện bằng phương thức điện tử cho cơ quan quản lý nhà nước có thẩm quyền thanh tra, ki</w:t>
      </w:r>
      <w:r>
        <w:rPr>
          <w:rFonts w:hint="default" w:ascii="Times New Roman" w:hAnsi="Times New Roman" w:cs="Times New Roman"/>
          <w:color w:val="000000"/>
          <w:lang w:val="en-US" w:eastAsia="en-US"/>
        </w:rPr>
        <w:t>ể</w:t>
      </w:r>
      <w:r>
        <w:rPr>
          <w:rFonts w:hint="default" w:ascii="Times New Roman" w:hAnsi="Times New Roman" w:cs="Times New Roman"/>
          <w:color w:val="000000"/>
          <w:lang w:eastAsia="en-US"/>
        </w:rPr>
        <w:t>m tra khi có yêu cầu.</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Trong trường hợp vì lý do khách quan, người chịu trách nhiệm về hàng hóa không cung cấp được nội dung ghi nhãn bằng phương thức điện tử ngay khi có yêu cầu thì trong vòng 24 giờ k</w:t>
      </w:r>
      <w:r>
        <w:rPr>
          <w:rFonts w:hint="default" w:ascii="Times New Roman" w:hAnsi="Times New Roman" w:cs="Times New Roman"/>
          <w:color w:val="000000"/>
          <w:lang w:val="en-US" w:eastAsia="en-US"/>
        </w:rPr>
        <w:t>ể </w:t>
      </w:r>
      <w:r>
        <w:rPr>
          <w:rFonts w:hint="default" w:ascii="Times New Roman" w:hAnsi="Times New Roman" w:cs="Times New Roman"/>
          <w:color w:val="000000"/>
          <w:lang w:eastAsia="en-US"/>
        </w:rPr>
        <w:t>từ thời điểm cơ quan quản lý nhà nước có thẩm quyền yêu cầu phải cung cấp đầy đủ nội dung ghi nhãn thể hiện bằng phương thức điện tử. Nếu thông tin ghi nhãn điện tử không truy cập được, thì nhãn hàng hóa là đối tượng thanh tra, kiểm tra được xác định là nhãn ghi không đủ các nội dung bắt buộc theo quy định.</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b/>
          <w:bCs/>
          <w:color w:val="000000"/>
          <w:lang w:val="vi-VN" w:eastAsia="en-US"/>
        </w:rPr>
      </w:pPr>
      <w:bookmarkStart w:id="6" w:name="dieu_5"/>
      <w:r>
        <w:rPr>
          <w:rFonts w:hint="default" w:ascii="Times New Roman" w:hAnsi="Times New Roman" w:cs="Times New Roman"/>
          <w:b/>
          <w:bCs/>
          <w:color w:val="000000"/>
          <w:lang w:eastAsia="en-US"/>
        </w:rPr>
        <w:t>Điều 5. Hiệu lực thi hành</w:t>
      </w:r>
      <w:bookmarkEnd w:id="6"/>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Thông tư này có hiệu lực thi hành kể từ ngày 15 tháng 02 năm 2023.</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b/>
          <w:bCs/>
          <w:color w:val="000000"/>
          <w:lang w:val="vi-VN" w:eastAsia="en-US"/>
        </w:rPr>
      </w:pPr>
      <w:bookmarkStart w:id="7" w:name="dieu_6"/>
      <w:r>
        <w:rPr>
          <w:rFonts w:hint="default" w:ascii="Times New Roman" w:hAnsi="Times New Roman" w:cs="Times New Roman"/>
          <w:b/>
          <w:bCs/>
          <w:color w:val="000000"/>
          <w:lang w:eastAsia="en-US"/>
        </w:rPr>
        <w:t>Điều 6. Trách nhiệm thi hành</w:t>
      </w:r>
      <w:bookmarkEnd w:id="7"/>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r>
        <w:rPr>
          <w:rFonts w:hint="default" w:ascii="Times New Roman" w:hAnsi="Times New Roman" w:cs="Times New Roman"/>
          <w:color w:val="000000"/>
          <w:lang w:eastAsia="en-US"/>
        </w:rPr>
        <w:t>1. Trong quá trình thực hiện có vấn đề phát sinh hoặc vướng mắc, tổ chức, cá nhân phản ánh kịp thời bằng văn bản về Bộ Khoa học và Công nghệ để được hướng dẫn hoặc nghiên cứu sửa đổi, bổ sung cho phù hợp.</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eastAsia="en-US"/>
        </w:rPr>
      </w:pPr>
      <w:r>
        <w:rPr>
          <w:rFonts w:hint="default" w:ascii="Times New Roman" w:hAnsi="Times New Roman" w:cs="Times New Roman"/>
          <w:color w:val="000000"/>
          <w:lang w:eastAsia="en-US"/>
        </w:rPr>
        <w:t>2. Bộ trưởng, Thủ trưởng cơ quan ngang Bộ, Chủ tịch Ủy ban nhân dân tỉnh, thành phố trực thuộc Trung ương chịu trách nhiệm tổ chức triển khai thực hiện Thông tư này./.</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p>
    <w:tbl>
      <w:tblPr>
        <w:tblStyle w:val="3"/>
        <w:tblW w:w="5000" w:type="pct"/>
        <w:tblInd w:w="0" w:type="dxa"/>
        <w:tblLayout w:type="autofit"/>
        <w:tblCellMar>
          <w:top w:w="0" w:type="dxa"/>
          <w:left w:w="0" w:type="dxa"/>
          <w:bottom w:w="0" w:type="dxa"/>
          <w:right w:w="0" w:type="dxa"/>
        </w:tblCellMar>
      </w:tblPr>
      <w:tblGrid>
        <w:gridCol w:w="5096"/>
        <w:gridCol w:w="4192"/>
      </w:tblGrid>
      <w:tr>
        <w:tblPrEx>
          <w:tblCellMar>
            <w:top w:w="0" w:type="dxa"/>
            <w:left w:w="0" w:type="dxa"/>
            <w:bottom w:w="0" w:type="dxa"/>
            <w:right w:w="0" w:type="dxa"/>
          </w:tblCellMar>
        </w:tblPrEx>
        <w:trPr>
          <w:wBefore w:w="0" w:type="auto"/>
          <w:wAfter w:w="0" w:type="auto"/>
        </w:trPr>
        <w:tc>
          <w:tcPr>
            <w:tcW w:w="2743" w:type="pct"/>
            <w:tcBorders>
              <w:top w:val="nil"/>
              <w:left w:val="nil"/>
              <w:bottom w:val="nil"/>
              <w:right w:val="nil"/>
            </w:tcBorders>
            <w:noWrap w:val="0"/>
            <w:tcMar>
              <w:top w:w="0" w:type="dxa"/>
              <w:left w:w="108" w:type="dxa"/>
              <w:bottom w:w="0" w:type="dxa"/>
              <w:right w:w="108" w:type="dxa"/>
            </w:tcMar>
            <w:vAlign w:val="top"/>
          </w:tcPr>
          <w:p>
            <w:pPr>
              <w:ind w:left="-90"/>
              <w:jc w:val="both"/>
              <w:rPr>
                <w:rFonts w:eastAsia="Times New Roman"/>
                <w:b/>
                <w:i/>
                <w:sz w:val="22"/>
                <w:szCs w:val="28"/>
                <w:lang w:val="nl-NL"/>
              </w:rPr>
            </w:pPr>
            <w:r>
              <w:rPr>
                <w:rFonts w:eastAsia="Times New Roman"/>
                <w:b/>
                <w:i/>
                <w:sz w:val="22"/>
                <w:szCs w:val="28"/>
                <w:lang w:val="nl-NL"/>
              </w:rPr>
              <w:t>Nơi nhận:</w:t>
            </w:r>
          </w:p>
          <w:p>
            <w:pPr>
              <w:ind w:left="-90"/>
              <w:jc w:val="both"/>
              <w:rPr>
                <w:rFonts w:eastAsia="Times New Roman"/>
                <w:sz w:val="22"/>
                <w:szCs w:val="22"/>
                <w:lang w:val="nl-NL"/>
              </w:rPr>
            </w:pPr>
            <w:r>
              <w:rPr>
                <w:rFonts w:eastAsia="Times New Roman"/>
                <w:sz w:val="22"/>
                <w:szCs w:val="22"/>
                <w:lang w:val="nl-NL"/>
              </w:rPr>
              <w:t>- Thủ tướng Chính phủ (để b/c);</w:t>
            </w:r>
          </w:p>
          <w:p>
            <w:pPr>
              <w:ind w:left="-90"/>
              <w:jc w:val="both"/>
              <w:rPr>
                <w:rFonts w:eastAsia="Times New Roman"/>
                <w:sz w:val="22"/>
                <w:szCs w:val="22"/>
                <w:lang w:val="nl-NL"/>
              </w:rPr>
            </w:pPr>
            <w:r>
              <w:rPr>
                <w:rFonts w:eastAsia="Times New Roman"/>
                <w:sz w:val="22"/>
                <w:szCs w:val="22"/>
                <w:lang w:val="nl-NL"/>
              </w:rPr>
              <w:t>- Các Phó Thủ tướng Chính phủ (để b/c);</w:t>
            </w:r>
          </w:p>
          <w:p>
            <w:pPr>
              <w:ind w:left="-90"/>
              <w:jc w:val="both"/>
              <w:rPr>
                <w:rFonts w:eastAsia="Times New Roman"/>
                <w:sz w:val="22"/>
                <w:szCs w:val="22"/>
                <w:lang w:val="nl-NL"/>
              </w:rPr>
            </w:pPr>
            <w:r>
              <w:rPr>
                <w:rFonts w:eastAsia="Times New Roman"/>
                <w:sz w:val="22"/>
                <w:szCs w:val="22"/>
                <w:lang w:val="nl-NL"/>
              </w:rPr>
              <w:t>- Các Bộ, CQ ngang Bộ, CQ thuộc Chính phủ;</w:t>
            </w:r>
          </w:p>
          <w:p>
            <w:pPr>
              <w:ind w:left="-90"/>
              <w:jc w:val="both"/>
              <w:rPr>
                <w:rFonts w:eastAsia="Times New Roman"/>
                <w:sz w:val="22"/>
                <w:szCs w:val="22"/>
                <w:lang w:val="nl-NL"/>
              </w:rPr>
            </w:pPr>
            <w:r>
              <w:rPr>
                <w:rFonts w:eastAsia="Times New Roman"/>
                <w:sz w:val="22"/>
                <w:szCs w:val="22"/>
                <w:lang w:val="nl-NL"/>
              </w:rPr>
              <w:t>- UBND các tỉnh, TP trực thuộc TW;</w:t>
            </w:r>
          </w:p>
          <w:p>
            <w:pPr>
              <w:ind w:left="-90"/>
              <w:jc w:val="both"/>
              <w:rPr>
                <w:rFonts w:eastAsia="Times New Roman"/>
                <w:sz w:val="22"/>
                <w:szCs w:val="22"/>
                <w:lang w:val="nl-NL"/>
              </w:rPr>
            </w:pPr>
            <w:r>
              <w:rPr>
                <w:rFonts w:eastAsia="Times New Roman"/>
                <w:sz w:val="22"/>
                <w:szCs w:val="22"/>
                <w:lang w:val="nl-NL"/>
              </w:rPr>
              <w:t>- Văn phòng Tổng Bí thư;</w:t>
            </w:r>
          </w:p>
          <w:p>
            <w:pPr>
              <w:ind w:left="-90"/>
              <w:jc w:val="both"/>
              <w:rPr>
                <w:rFonts w:eastAsia="Times New Roman"/>
                <w:sz w:val="22"/>
                <w:szCs w:val="22"/>
                <w:lang w:val="nl-NL"/>
              </w:rPr>
            </w:pPr>
            <w:r>
              <w:rPr>
                <w:rFonts w:eastAsia="Times New Roman"/>
                <w:sz w:val="22"/>
                <w:szCs w:val="22"/>
                <w:lang w:val="nl-NL"/>
              </w:rPr>
              <w:t>- Văn phòng Quốc hội;</w:t>
            </w:r>
          </w:p>
          <w:p>
            <w:pPr>
              <w:ind w:left="-90"/>
              <w:jc w:val="both"/>
              <w:rPr>
                <w:rFonts w:eastAsia="Times New Roman"/>
                <w:sz w:val="22"/>
                <w:szCs w:val="22"/>
                <w:lang w:val="nl-NL"/>
              </w:rPr>
            </w:pPr>
            <w:r>
              <w:rPr>
                <w:rFonts w:eastAsia="Times New Roman"/>
                <w:sz w:val="22"/>
                <w:szCs w:val="22"/>
                <w:lang w:val="nl-NL"/>
              </w:rPr>
              <w:t>- Văn phòng Chủ tịch nước;</w:t>
            </w:r>
          </w:p>
          <w:p>
            <w:pPr>
              <w:ind w:left="-90"/>
              <w:jc w:val="both"/>
              <w:rPr>
                <w:rFonts w:eastAsia="Times New Roman"/>
                <w:sz w:val="22"/>
                <w:szCs w:val="22"/>
                <w:lang w:val="nl-NL"/>
              </w:rPr>
            </w:pPr>
            <w:r>
              <w:rPr>
                <w:rFonts w:eastAsia="Times New Roman"/>
                <w:sz w:val="22"/>
                <w:szCs w:val="22"/>
                <w:lang w:val="nl-NL"/>
              </w:rPr>
              <w:t>- Viện Kiểm sát nhân dân tối cao;</w:t>
            </w:r>
          </w:p>
          <w:p>
            <w:pPr>
              <w:ind w:left="-90"/>
              <w:jc w:val="both"/>
              <w:rPr>
                <w:rFonts w:eastAsia="Times New Roman"/>
                <w:sz w:val="22"/>
                <w:szCs w:val="22"/>
                <w:lang w:val="nl-NL"/>
              </w:rPr>
            </w:pPr>
            <w:r>
              <w:rPr>
                <w:rFonts w:eastAsia="Times New Roman"/>
                <w:sz w:val="22"/>
                <w:szCs w:val="22"/>
                <w:lang w:val="nl-NL"/>
              </w:rPr>
              <w:t>- Toà án nhân dân tối cao;</w:t>
            </w:r>
          </w:p>
          <w:p>
            <w:pPr>
              <w:ind w:left="-90"/>
              <w:jc w:val="both"/>
              <w:rPr>
                <w:rFonts w:eastAsia="Times New Roman"/>
                <w:sz w:val="22"/>
                <w:szCs w:val="22"/>
                <w:lang w:val="nl-NL"/>
              </w:rPr>
            </w:pPr>
            <w:r>
              <w:rPr>
                <w:rFonts w:eastAsia="Times New Roman"/>
                <w:sz w:val="22"/>
                <w:szCs w:val="22"/>
                <w:lang w:val="nl-NL"/>
              </w:rPr>
              <w:t>- Cục Kiểm tra văn bản (Bộ Tư pháp);</w:t>
            </w:r>
          </w:p>
          <w:p>
            <w:pPr>
              <w:ind w:left="-90"/>
              <w:jc w:val="both"/>
              <w:rPr>
                <w:rFonts w:eastAsia="Times New Roman"/>
                <w:sz w:val="22"/>
                <w:szCs w:val="22"/>
                <w:lang w:val="nl-NL"/>
              </w:rPr>
            </w:pPr>
            <w:r>
              <w:rPr>
                <w:rFonts w:eastAsia="Times New Roman"/>
                <w:sz w:val="22"/>
                <w:szCs w:val="22"/>
                <w:lang w:val="nl-NL"/>
              </w:rPr>
              <w:t>- Công báo;</w:t>
            </w:r>
          </w:p>
          <w:p>
            <w:pPr>
              <w:ind w:left="-90"/>
              <w:jc w:val="both"/>
              <w:rPr>
                <w:rFonts w:eastAsia="Times New Roman"/>
                <w:sz w:val="22"/>
                <w:szCs w:val="22"/>
                <w:lang w:val="nl-NL"/>
              </w:rPr>
            </w:pPr>
            <w:r>
              <w:rPr>
                <w:rFonts w:eastAsia="Times New Roman"/>
                <w:sz w:val="22"/>
                <w:szCs w:val="22"/>
                <w:lang w:val="nl-NL"/>
              </w:rPr>
              <w:t xml:space="preserve">- Lưu: VT, </w:t>
            </w:r>
            <w:r>
              <w:rPr>
                <w:rFonts w:eastAsia="Times New Roman"/>
                <w:sz w:val="22"/>
                <w:szCs w:val="22"/>
                <w:lang w:val="nl-NL"/>
              </w:rPr>
              <w:t>PC</w:t>
            </w:r>
            <w:r>
              <w:rPr>
                <w:rFonts w:hint="default" w:eastAsia="Times New Roman"/>
                <w:sz w:val="22"/>
                <w:szCs w:val="22"/>
                <w:lang w:val="en-US"/>
              </w:rPr>
              <w:t xml:space="preserve">, </w:t>
            </w:r>
            <w:r>
              <w:rPr>
                <w:rFonts w:eastAsia="Times New Roman"/>
                <w:sz w:val="22"/>
                <w:szCs w:val="22"/>
                <w:lang w:val="nl-NL"/>
              </w:rPr>
              <w:t>TĐC.</w:t>
            </w:r>
          </w:p>
        </w:tc>
        <w:tc>
          <w:tcPr>
            <w:tcW w:w="2256" w:type="pct"/>
            <w:tcBorders>
              <w:top w:val="nil"/>
              <w:left w:val="nil"/>
              <w:bottom w:val="nil"/>
              <w:right w:val="nil"/>
            </w:tcBorders>
            <w:noWrap w:val="0"/>
            <w:tcMar>
              <w:top w:w="0" w:type="dxa"/>
              <w:left w:w="108" w:type="dxa"/>
              <w:bottom w:w="0" w:type="dxa"/>
              <w:right w:w="108" w:type="dxa"/>
            </w:tcMar>
            <w:vAlign w:val="top"/>
          </w:tcPr>
          <w:p>
            <w:pPr>
              <w:ind w:left="0" w:leftChars="0" w:firstLine="200" w:firstLineChars="0"/>
              <w:jc w:val="center"/>
              <w:rPr>
                <w:rFonts w:eastAsia="Times New Roman"/>
                <w:b/>
                <w:bCs/>
                <w:sz w:val="28"/>
                <w:szCs w:val="32"/>
                <w:lang w:val="nl-NL"/>
              </w:rPr>
            </w:pPr>
            <w:r>
              <w:rPr>
                <w:rFonts w:hint="default" w:eastAsia="Times New Roman"/>
                <w:b/>
                <w:bCs/>
                <w:sz w:val="28"/>
                <w:szCs w:val="32"/>
                <w:lang w:val="en-US"/>
              </w:rPr>
              <w:t xml:space="preserve">KT. </w:t>
            </w:r>
            <w:r>
              <w:rPr>
                <w:rFonts w:eastAsia="Times New Roman"/>
                <w:b/>
                <w:bCs/>
                <w:sz w:val="28"/>
                <w:szCs w:val="32"/>
                <w:lang w:val="nl-NL"/>
              </w:rPr>
              <w:t>BỘ TRƯỞNG</w:t>
            </w:r>
          </w:p>
          <w:p>
            <w:pPr>
              <w:ind w:left="0" w:leftChars="0" w:firstLine="200" w:firstLineChars="0"/>
              <w:jc w:val="center"/>
              <w:rPr>
                <w:rFonts w:hint="default" w:eastAsia="Times New Roman"/>
                <w:b/>
                <w:bCs/>
                <w:sz w:val="28"/>
                <w:szCs w:val="32"/>
                <w:lang w:val="en-US"/>
              </w:rPr>
            </w:pPr>
            <w:r>
              <w:rPr>
                <w:rFonts w:hint="default" w:eastAsia="Times New Roman"/>
                <w:b/>
                <w:bCs/>
                <w:sz w:val="28"/>
                <w:szCs w:val="32"/>
                <w:lang w:val="en-US"/>
              </w:rPr>
              <w:t>THỨ TRƯỞNG</w:t>
            </w: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eastAsia="Times New Roman"/>
                <w:sz w:val="28"/>
                <w:szCs w:val="28"/>
                <w:lang w:val="nl-NL"/>
              </w:rPr>
            </w:pPr>
            <w:r>
              <w:rPr>
                <w:rFonts w:hint="default" w:eastAsia="Times New Roman"/>
                <w:b/>
                <w:bCs/>
                <w:sz w:val="28"/>
                <w:szCs w:val="32"/>
                <w:lang w:val="en-US"/>
              </w:rPr>
              <w:t>Lê Xuân Định</w:t>
            </w:r>
          </w:p>
        </w:tc>
      </w:tr>
    </w:tbl>
    <w:p>
      <w:pPr>
        <w:rPr>
          <w:sz w:val="28"/>
          <w:szCs w:val="28"/>
          <w:lang w:val="nl-NL"/>
        </w:rPr>
      </w:pPr>
    </w:p>
    <w:sectPr>
      <w:headerReference r:id="rId5" w:type="first"/>
      <w:footerReference r:id="rId8" w:type="first"/>
      <w:headerReference r:id="rId3" w:type="default"/>
      <w:footerReference r:id="rId6" w:type="default"/>
      <w:headerReference r:id="rId4" w:type="even"/>
      <w:footerReference r:id="rId7" w:type="even"/>
      <w:pgSz w:w="11907" w:h="16840"/>
      <w:pgMar w:top="1134" w:right="1134" w:bottom="1134" w:left="1701"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nTime">
    <w:altName w:val="Segoe Print"/>
    <w:panose1 w:val="020B7200000000000000"/>
    <w:charset w:val="00"/>
    <w:family w:val="swiss"/>
    <w:pitch w:val="default"/>
    <w:sig w:usb0="00000003"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1080"/>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lang/>
      </w:rPr>
      <w:t>2</w:t>
    </w:r>
    <w:r>
      <w:rPr>
        <w:sz w:val="26"/>
        <w:szCs w:val="26"/>
        <w:lang/>
      </w:rPr>
      <w:fldChar w:fldCharType="end"/>
    </w:r>
  </w:p>
  <w:p>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36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FCA"/>
    <w:rsid w:val="00011658"/>
    <w:rsid w:val="000429AA"/>
    <w:rsid w:val="0005540F"/>
    <w:rsid w:val="000575A4"/>
    <w:rsid w:val="000637E9"/>
    <w:rsid w:val="00096439"/>
    <w:rsid w:val="000A7DF3"/>
    <w:rsid w:val="000E35E5"/>
    <w:rsid w:val="000E6264"/>
    <w:rsid w:val="000F54C7"/>
    <w:rsid w:val="000F6D77"/>
    <w:rsid w:val="00100D91"/>
    <w:rsid w:val="00113405"/>
    <w:rsid w:val="0012029B"/>
    <w:rsid w:val="001216F5"/>
    <w:rsid w:val="0012211E"/>
    <w:rsid w:val="00130430"/>
    <w:rsid w:val="0013250E"/>
    <w:rsid w:val="00162045"/>
    <w:rsid w:val="00170FCA"/>
    <w:rsid w:val="001726BB"/>
    <w:rsid w:val="00174EAA"/>
    <w:rsid w:val="00175389"/>
    <w:rsid w:val="001A2C37"/>
    <w:rsid w:val="001A5F15"/>
    <w:rsid w:val="001A7DDF"/>
    <w:rsid w:val="001B26EB"/>
    <w:rsid w:val="001C6C7C"/>
    <w:rsid w:val="001D6089"/>
    <w:rsid w:val="001F3F99"/>
    <w:rsid w:val="00237911"/>
    <w:rsid w:val="00250BAE"/>
    <w:rsid w:val="002560C1"/>
    <w:rsid w:val="00284F05"/>
    <w:rsid w:val="00285CF9"/>
    <w:rsid w:val="00297BC1"/>
    <w:rsid w:val="002B4689"/>
    <w:rsid w:val="002D34A1"/>
    <w:rsid w:val="002E14A4"/>
    <w:rsid w:val="002E6785"/>
    <w:rsid w:val="002E7497"/>
    <w:rsid w:val="002F01C9"/>
    <w:rsid w:val="003040BF"/>
    <w:rsid w:val="00314E86"/>
    <w:rsid w:val="00317374"/>
    <w:rsid w:val="00317D51"/>
    <w:rsid w:val="0034030A"/>
    <w:rsid w:val="003412E4"/>
    <w:rsid w:val="00367893"/>
    <w:rsid w:val="003C3D3D"/>
    <w:rsid w:val="0043378E"/>
    <w:rsid w:val="004412BC"/>
    <w:rsid w:val="00444317"/>
    <w:rsid w:val="00466750"/>
    <w:rsid w:val="00474083"/>
    <w:rsid w:val="004823F4"/>
    <w:rsid w:val="004951F9"/>
    <w:rsid w:val="004A5459"/>
    <w:rsid w:val="004B6C7A"/>
    <w:rsid w:val="004C2580"/>
    <w:rsid w:val="004C2B02"/>
    <w:rsid w:val="004C3384"/>
    <w:rsid w:val="004F41EE"/>
    <w:rsid w:val="00513280"/>
    <w:rsid w:val="00521098"/>
    <w:rsid w:val="00554F5D"/>
    <w:rsid w:val="00581190"/>
    <w:rsid w:val="00582FDD"/>
    <w:rsid w:val="005877D3"/>
    <w:rsid w:val="005C47AA"/>
    <w:rsid w:val="005C651A"/>
    <w:rsid w:val="005D1707"/>
    <w:rsid w:val="005F5139"/>
    <w:rsid w:val="00614359"/>
    <w:rsid w:val="006175C6"/>
    <w:rsid w:val="006252B3"/>
    <w:rsid w:val="00640082"/>
    <w:rsid w:val="00646B93"/>
    <w:rsid w:val="00650E77"/>
    <w:rsid w:val="00661399"/>
    <w:rsid w:val="006707B5"/>
    <w:rsid w:val="00685A38"/>
    <w:rsid w:val="006C0455"/>
    <w:rsid w:val="006C1946"/>
    <w:rsid w:val="006F232C"/>
    <w:rsid w:val="006F7F31"/>
    <w:rsid w:val="00701103"/>
    <w:rsid w:val="00751972"/>
    <w:rsid w:val="0075480F"/>
    <w:rsid w:val="0075660F"/>
    <w:rsid w:val="00765C63"/>
    <w:rsid w:val="00770D9E"/>
    <w:rsid w:val="00793AEC"/>
    <w:rsid w:val="007C229C"/>
    <w:rsid w:val="007C76B7"/>
    <w:rsid w:val="007E1C0C"/>
    <w:rsid w:val="007F3413"/>
    <w:rsid w:val="00801FDD"/>
    <w:rsid w:val="008024AF"/>
    <w:rsid w:val="00810DD8"/>
    <w:rsid w:val="00836CC9"/>
    <w:rsid w:val="00837A33"/>
    <w:rsid w:val="00841E6A"/>
    <w:rsid w:val="00884A28"/>
    <w:rsid w:val="008A0186"/>
    <w:rsid w:val="008B3701"/>
    <w:rsid w:val="008B4CBA"/>
    <w:rsid w:val="008F6F67"/>
    <w:rsid w:val="009017B3"/>
    <w:rsid w:val="00931A0F"/>
    <w:rsid w:val="0094666B"/>
    <w:rsid w:val="009800B4"/>
    <w:rsid w:val="009A20B3"/>
    <w:rsid w:val="009A2281"/>
    <w:rsid w:val="00A00EC9"/>
    <w:rsid w:val="00A014A7"/>
    <w:rsid w:val="00A118B1"/>
    <w:rsid w:val="00A3346D"/>
    <w:rsid w:val="00A424CE"/>
    <w:rsid w:val="00A50FC2"/>
    <w:rsid w:val="00A65BB8"/>
    <w:rsid w:val="00A92015"/>
    <w:rsid w:val="00AA21A6"/>
    <w:rsid w:val="00AB0286"/>
    <w:rsid w:val="00AB079C"/>
    <w:rsid w:val="00AB236F"/>
    <w:rsid w:val="00AB57B3"/>
    <w:rsid w:val="00AC273A"/>
    <w:rsid w:val="00AC640E"/>
    <w:rsid w:val="00AF6CB4"/>
    <w:rsid w:val="00B024A1"/>
    <w:rsid w:val="00B224C3"/>
    <w:rsid w:val="00B30D80"/>
    <w:rsid w:val="00B47AFE"/>
    <w:rsid w:val="00B50D9E"/>
    <w:rsid w:val="00B55B55"/>
    <w:rsid w:val="00B57549"/>
    <w:rsid w:val="00B656C0"/>
    <w:rsid w:val="00B72090"/>
    <w:rsid w:val="00B7607D"/>
    <w:rsid w:val="00B776A4"/>
    <w:rsid w:val="00B8308E"/>
    <w:rsid w:val="00B97E27"/>
    <w:rsid w:val="00BA024F"/>
    <w:rsid w:val="00BE4031"/>
    <w:rsid w:val="00BF2289"/>
    <w:rsid w:val="00C27C79"/>
    <w:rsid w:val="00C339E4"/>
    <w:rsid w:val="00C60FB8"/>
    <w:rsid w:val="00C6529F"/>
    <w:rsid w:val="00C86301"/>
    <w:rsid w:val="00C86E52"/>
    <w:rsid w:val="00C931B6"/>
    <w:rsid w:val="00CB05D8"/>
    <w:rsid w:val="00CB3FCE"/>
    <w:rsid w:val="00D377FD"/>
    <w:rsid w:val="00D5511D"/>
    <w:rsid w:val="00D5638A"/>
    <w:rsid w:val="00D63D0C"/>
    <w:rsid w:val="00D642F9"/>
    <w:rsid w:val="00D718B7"/>
    <w:rsid w:val="00D84885"/>
    <w:rsid w:val="00DA74F4"/>
    <w:rsid w:val="00DB223E"/>
    <w:rsid w:val="00DE6B84"/>
    <w:rsid w:val="00DF45AA"/>
    <w:rsid w:val="00DF4B0C"/>
    <w:rsid w:val="00E02848"/>
    <w:rsid w:val="00E1615A"/>
    <w:rsid w:val="00E25B93"/>
    <w:rsid w:val="00E367B8"/>
    <w:rsid w:val="00E44284"/>
    <w:rsid w:val="00E52D3D"/>
    <w:rsid w:val="00E60C42"/>
    <w:rsid w:val="00E65F99"/>
    <w:rsid w:val="00E73D6D"/>
    <w:rsid w:val="00E863C7"/>
    <w:rsid w:val="00EA3D96"/>
    <w:rsid w:val="00EA7603"/>
    <w:rsid w:val="00EB3585"/>
    <w:rsid w:val="00EC0B6A"/>
    <w:rsid w:val="00EF25CD"/>
    <w:rsid w:val="00F02A11"/>
    <w:rsid w:val="00F03474"/>
    <w:rsid w:val="00F11CEB"/>
    <w:rsid w:val="00F57303"/>
    <w:rsid w:val="00F61FDE"/>
    <w:rsid w:val="00F652AA"/>
    <w:rsid w:val="00F6657A"/>
    <w:rsid w:val="00F86813"/>
    <w:rsid w:val="00F869C2"/>
    <w:rsid w:val="00F90C44"/>
    <w:rsid w:val="00F923FE"/>
    <w:rsid w:val="00F92BDF"/>
    <w:rsid w:val="00F93FBF"/>
    <w:rsid w:val="00FC378A"/>
    <w:rsid w:val="00FF470A"/>
    <w:rsid w:val="02671A0C"/>
    <w:rsid w:val="4AFF3EEE"/>
    <w:rsid w:val="73C00E9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nhideWhenUsed="0" w:uiPriority="99" w:name="Medium Grid 1"/>
    <w:lsdException w:qFormat="1" w:unhideWhenUsed="0" w:uiPriority="1" w:semiHidden="0" w:name="Medium Grid 2"/>
    <w:lsdException w:unhideWhenUsed="0" w:uiPriority="60" w:semiHidden="0" w:name="Medium Grid 3"/>
    <w:lsdException w:unhideWhenUsed="0" w:uiPriority="61" w:semiHidden="0" w:name="Dark List"/>
    <w:lsdException w:unhideWhenUsed="0" w:uiPriority="62" w:semiHidden="0" w:name="Colorful Shading"/>
    <w:lsdException w:unhideWhenUsed="0" w:uiPriority="63" w:semiHidden="0" w:name="Colorful List"/>
    <w:lsdException w:unhideWhenUsed="0" w:uiPriority="64" w:semiHidden="0" w:name="Colorful Grid"/>
    <w:lsdException w:unhideWhenUsed="0" w:uiPriority="65" w:semiHidden="0" w:name="Light Shading Accent 1"/>
    <w:lsdException w:unhideWhenUsed="0" w:uiPriority="66" w:semiHidden="0" w:name="Light List Accent 1"/>
    <w:lsdException w:unhideWhenUsed="0" w:uiPriority="67" w:semiHidden="0" w:name="Light Grid Accent 1"/>
    <w:lsdException w:unhideWhenUsed="0" w:uiPriority="68" w:semiHidden="0" w:name="Medium Shading 1 Accent 1"/>
    <w:lsdException w:unhideWhenUsed="0" w:uiPriority="69" w:semiHidden="0" w:name="Medium Shading 2 Accent 1"/>
    <w:lsdException w:unhideWhenUsed="0" w:uiPriority="70" w:semiHidden="0" w:name="Medium List 1 Accent 1"/>
    <w:lsdException w:unhideWhenUsed="0" w:uiPriority="71" w:semiHidden="0" w:name=""/>
    <w:lsdException w:unhideWhenUsed="0" w:uiPriority="61" w:semiHidden="0" w:name="Medium List 2 Accent 1"/>
    <w:lsdException w:unhideWhenUsed="0" w:uiPriority="62" w:semiHidden="0" w:name="Medium Grid 1 Accent 1"/>
    <w:lsdException w:unhideWhenUsed="0" w:uiPriority="63" w:semiHidden="0" w:name="Medium Grid 2 Accent 1"/>
    <w:lsdException w:unhideWhenUsed="0" w:uiPriority="64" w:semiHidden="0" w:name="Medium Grid 3 Accent 1"/>
    <w:lsdException w:unhideWhenUsed="0" w:uiPriority="65" w:semiHidden="0" w:name="Dark List Accent 1"/>
    <w:lsdException w:unhideWhenUsed="0" w:uiPriority="99" w:name="Colorful Shading Accent 1"/>
    <w:lsdException w:qFormat="1" w:unhideWhenUsed="0" w:uiPriority="34" w:semiHidden="0" w:name="Colorful List Accent 1"/>
    <w:lsdException w:qFormat="1" w:unhideWhenUsed="0" w:uiPriority="29" w:semiHidden="0" w:name="Colorful Grid Accent 1"/>
    <w:lsdException w:qFormat="1" w:unhideWhenUsed="0" w:uiPriority="30" w:semiHidden="0" w:name="Light Shading Accent 2"/>
    <w:lsdException w:unhideWhenUsed="0" w:uiPriority="66" w:semiHidden="0" w:name="Light List Accent 2"/>
    <w:lsdException w:unhideWhenUsed="0" w:uiPriority="67" w:semiHidden="0" w:name="Light Grid Accent 2"/>
    <w:lsdException w:unhideWhenUsed="0" w:uiPriority="68" w:semiHidden="0" w:name="Medium Shading 1 Accent 2"/>
    <w:lsdException w:unhideWhenUsed="0" w:uiPriority="69" w:semiHidden="0" w:name="Medium Shading 2 Accent 2"/>
    <w:lsdException w:unhideWhenUsed="0" w:uiPriority="70" w:semiHidden="0" w:name="Medium List 1 Accent 2"/>
    <w:lsdException w:unhideWhenUsed="0" w:uiPriority="71" w:semiHidden="0" w:name="Medium List 2 Accent 2"/>
    <w:lsdException w:unhideWhenUsed="0" w:uiPriority="72" w:semiHidden="0" w:name="Medium Grid 1 Accent 2"/>
    <w:lsdException w:unhideWhenUsed="0" w:uiPriority="73" w:semiHidden="0" w:name="Medium Grid 2 Accent 2"/>
    <w:lsdException w:unhideWhenUsed="0" w:uiPriority="60" w:semiHidden="0" w:name="Medium Grid 3 Accent 2"/>
    <w:lsdException w:unhideWhenUsed="0" w:uiPriority="61" w:semiHidden="0" w:name="Dark List Accent 2"/>
    <w:lsdException w:unhideWhenUsed="0" w:uiPriority="62" w:semiHidden="0" w:name="Colorful Shading Accent 2"/>
    <w:lsdException w:unhideWhenUsed="0" w:uiPriority="63" w:semiHidden="0" w:name="Colorful List Accent 2"/>
    <w:lsdException w:unhideWhenUsed="0" w:uiPriority="64" w:semiHidden="0" w:name="Colorful Grid Accent 2"/>
    <w:lsdException w:unhideWhenUsed="0" w:uiPriority="65" w:semiHidden="0" w:name="Light Shading Accent 3"/>
    <w:lsdException w:unhideWhenUsed="0" w:uiPriority="66" w:semiHidden="0" w:name="Light List Accent 3"/>
    <w:lsdException w:unhideWhenUsed="0" w:uiPriority="67" w:semiHidden="0" w:name="Light Grid Accent 3"/>
    <w:lsdException w:unhideWhenUsed="0" w:uiPriority="68" w:semiHidden="0" w:name="Medium Shading 1 Accent 3"/>
    <w:lsdException w:unhideWhenUsed="0" w:uiPriority="69" w:semiHidden="0" w:name="Medium Shading 2 Accent 3"/>
    <w:lsdException w:unhideWhenUsed="0" w:uiPriority="70" w:semiHidden="0" w:name="Medium List 1 Accent 3"/>
    <w:lsdException w:unhideWhenUsed="0" w:uiPriority="71" w:semiHidden="0" w:name="Medium List 2 Accent 3"/>
    <w:lsdException w:unhideWhenUsed="0" w:uiPriority="72" w:semiHidden="0" w:name="Medium Grid 1 Accent 3"/>
    <w:lsdException w:unhideWhenUsed="0" w:uiPriority="73" w:semiHidden="0" w:name="Medium Grid 2 Accent 3"/>
    <w:lsdException w:unhideWhenUsed="0" w:uiPriority="60" w:semiHidden="0" w:name="Medium Grid 3 Accent 3"/>
    <w:lsdException w:unhideWhenUsed="0" w:uiPriority="61" w:semiHidden="0" w:name="Dark List Accent 3"/>
    <w:lsdException w:unhideWhenUsed="0" w:uiPriority="62" w:semiHidden="0" w:name="Colorful Shading Accent 3"/>
    <w:lsdException w:unhideWhenUsed="0" w:uiPriority="63" w:semiHidden="0" w:name="Colorful List Accent 3"/>
    <w:lsdException w:unhideWhenUsed="0" w:uiPriority="64" w:semiHidden="0" w:name="Colorful Grid Accent 3"/>
    <w:lsdException w:unhideWhenUsed="0" w:uiPriority="65" w:semiHidden="0" w:name="Light Shading Accent 4"/>
    <w:lsdException w:unhideWhenUsed="0" w:uiPriority="66" w:semiHidden="0" w:name="Light List Accent 4"/>
    <w:lsdException w:unhideWhenUsed="0" w:uiPriority="67" w:semiHidden="0" w:name="Light Grid Accent 4"/>
    <w:lsdException w:unhideWhenUsed="0" w:uiPriority="68" w:semiHidden="0" w:name="Medium Shading 1 Accent 4"/>
    <w:lsdException w:unhideWhenUsed="0" w:uiPriority="69" w:semiHidden="0" w:name="Medium Shading 2 Accent 4"/>
    <w:lsdException w:unhideWhenUsed="0" w:uiPriority="70" w:semiHidden="0" w:name="Medium List 1 Accent 4"/>
    <w:lsdException w:unhideWhenUsed="0" w:uiPriority="71" w:semiHidden="0" w:name="Medium List 2 Accent 4"/>
    <w:lsdException w:unhideWhenUsed="0" w:uiPriority="72" w:semiHidden="0" w:name="Medium Grid 1 Accent 4"/>
    <w:lsdException w:unhideWhenUsed="0" w:uiPriority="73" w:semiHidden="0" w:name="Medium Grid 2 Accent 4"/>
    <w:lsdException w:unhideWhenUsed="0" w:uiPriority="60" w:semiHidden="0" w:name="Medium Grid 3 Accent 4"/>
    <w:lsdException w:unhideWhenUsed="0" w:uiPriority="61" w:semiHidden="0" w:name="Dark List Accent 4"/>
    <w:lsdException w:unhideWhenUsed="0" w:uiPriority="62" w:semiHidden="0" w:name="Colorful Shading Accent 4"/>
    <w:lsdException w:unhideWhenUsed="0" w:uiPriority="63" w:semiHidden="0" w:name="Colorful List Accent 4"/>
    <w:lsdException w:unhideWhenUsed="0" w:uiPriority="64" w:semiHidden="0" w:name="Colorful Grid Accent 4"/>
    <w:lsdException w:unhideWhenUsed="0" w:uiPriority="65" w:semiHidden="0" w:name="Light Shading Accent 5"/>
    <w:lsdException w:unhideWhenUsed="0" w:uiPriority="66" w:semiHidden="0" w:name="Light List Accent 5"/>
    <w:lsdException w:unhideWhenUsed="0" w:uiPriority="67" w:semiHidden="0" w:name="Light Grid Accent 5"/>
    <w:lsdException w:unhideWhenUsed="0" w:uiPriority="68" w:semiHidden="0" w:name="Medium Shading 1 Accent 5"/>
    <w:lsdException w:unhideWhenUsed="0" w:uiPriority="69" w:semiHidden="0" w:name="Medium Shading 2 Accent 5"/>
    <w:lsdException w:unhideWhenUsed="0" w:uiPriority="70" w:semiHidden="0" w:name="Medium List 1 Accent 5"/>
    <w:lsdException w:unhideWhenUsed="0" w:uiPriority="71" w:semiHidden="0" w:name="Medium List 2 Accent 5"/>
    <w:lsdException w:unhideWhenUsed="0" w:uiPriority="72" w:semiHidden="0" w:name="Medium Grid 1 Accent 5"/>
    <w:lsdException w:unhideWhenUsed="0" w:uiPriority="73" w:semiHidden="0" w:name="Medium Grid 2 Accent 5"/>
    <w:lsdException w:unhideWhenUsed="0" w:uiPriority="60" w:semiHidden="0" w:name="Medium Grid 3 Accent 5"/>
    <w:lsdException w:unhideWhenUsed="0" w:uiPriority="61" w:semiHidden="0" w:name="Dark List Accent 5"/>
    <w:lsdException w:unhideWhenUsed="0" w:uiPriority="62" w:semiHidden="0" w:name="Colorful Shading Accent 5"/>
    <w:lsdException w:unhideWhenUsed="0" w:uiPriority="63" w:semiHidden="0" w:name="Colorful List Accent 5"/>
    <w:lsdException w:unhideWhenUsed="0" w:uiPriority="64" w:semiHidden="0" w:name="Colorful Grid Accent 5"/>
    <w:lsdException w:unhideWhenUsed="0" w:uiPriority="65" w:semiHidden="0" w:name="Light Shading Accent 6"/>
    <w:lsdException w:unhideWhenUsed="0" w:uiPriority="66" w:semiHidden="0" w:name="Light List Accent 6"/>
    <w:lsdException w:unhideWhenUsed="0" w:uiPriority="67" w:semiHidden="0" w:name="Light Grid Accent 6"/>
    <w:lsdException w:unhideWhenUsed="0" w:uiPriority="68" w:semiHidden="0" w:name="Medium Shading 1 Accent 6"/>
    <w:lsdException w:unhideWhenUsed="0" w:uiPriority="69" w:semiHidden="0" w:name="Medium Shading 2 Accent 6"/>
    <w:lsdException w:unhideWhenUsed="0" w:uiPriority="70" w:semiHidden="0" w:name="Medium List 1 Accent 6"/>
    <w:lsdException w:unhideWhenUsed="0" w:uiPriority="71" w:semiHidden="0" w:name="Medium List 2 Accent 6"/>
    <w:lsdException w:unhideWhenUsed="0" w:uiPriority="72" w:semiHidden="0" w:name="Medium Grid 1 Accent 6"/>
    <w:lsdException w:unhideWhenUsed="0" w:uiPriority="73" w:semiHidden="0" w:name="Medium Grid 2 Accent 6"/>
    <w:lsdException w:unhideWhenUsed="0" w:uiPriority="60" w:semiHidden="0" w:name="Medium Grid 3 Accent 6"/>
    <w:lsdException w:unhideWhenUsed="0" w:uiPriority="61" w:semiHidden="0" w:name="Dark List Accent 6"/>
    <w:lsdException w:unhideWhenUsed="0" w:uiPriority="62" w:semiHidden="0" w:name="Colorful Shading Accent 6"/>
    <w:lsdException w:unhideWhenUsed="0" w:uiPriority="63" w:semiHidden="0" w:name="Colorful List Accent 6"/>
    <w:lsdException w:unhideWhenUsed="0" w:uiPriority="64" w:semiHidden="0" w:name="Colorful Grid Accent 6"/>
  </w:latentStyles>
  <w:style w:type="paragraph" w:default="1" w:styleId="1">
    <w:name w:val="Normal"/>
    <w:qFormat/>
    <w:uiPriority w:val="0"/>
    <w:rPr>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Style w:val="3"/>
      <w:tblCellMar>
        <w:top w:w="0" w:type="dxa"/>
        <w:left w:w="108" w:type="dxa"/>
        <w:bottom w:w="0" w:type="dxa"/>
        <w:right w:w="108" w:type="dxa"/>
      </w:tblCellMar>
    </w:tblPr>
    <w:trPr>
      <w:wBefore w:w="0" w:type="dxa"/>
    </w:trPr>
  </w:style>
  <w:style w:type="paragraph" w:styleId="4">
    <w:name w:val="Balloon Text"/>
    <w:basedOn w:val="1"/>
    <w:link w:val="14"/>
    <w:semiHidden/>
    <w:unhideWhenUsed/>
    <w:uiPriority w:val="99"/>
    <w:rPr>
      <w:rFonts w:ascii="Tahoma" w:hAnsi="Tahoma"/>
      <w:sz w:val="16"/>
      <w:szCs w:val="16"/>
    </w:rPr>
  </w:style>
  <w:style w:type="paragraph" w:styleId="5">
    <w:name w:val="Body Text Indent"/>
    <w:basedOn w:val="1"/>
    <w:link w:val="21"/>
    <w:unhideWhenUsed/>
    <w:uiPriority w:val="99"/>
    <w:pPr>
      <w:spacing w:before="120" w:after="240" w:line="288" w:lineRule="auto"/>
      <w:ind w:firstLine="425"/>
      <w:jc w:val="both"/>
    </w:pPr>
    <w:rPr>
      <w:rFonts w:eastAsia="Times New Roman"/>
      <w:color w:val="000000"/>
      <w:sz w:val="28"/>
      <w:szCs w:val="28"/>
      <w:lang w:val="nl-NL"/>
    </w:rPr>
  </w:style>
  <w:style w:type="character" w:styleId="6">
    <w:name w:val="annotation reference"/>
    <w:semiHidden/>
    <w:unhideWhenUsed/>
    <w:uiPriority w:val="99"/>
    <w:rPr>
      <w:sz w:val="16"/>
      <w:szCs w:val="16"/>
    </w:rPr>
  </w:style>
  <w:style w:type="paragraph" w:styleId="7">
    <w:name w:val="annotation text"/>
    <w:basedOn w:val="1"/>
    <w:link w:val="23"/>
    <w:unhideWhenUsed/>
    <w:uiPriority w:val="99"/>
  </w:style>
  <w:style w:type="paragraph" w:styleId="8">
    <w:name w:val="annotation subject"/>
    <w:basedOn w:val="7"/>
    <w:next w:val="7"/>
    <w:link w:val="24"/>
    <w:semiHidden/>
    <w:unhideWhenUsed/>
    <w:uiPriority w:val="99"/>
    <w:rPr>
      <w:b/>
      <w:bCs/>
    </w:rPr>
  </w:style>
  <w:style w:type="paragraph" w:styleId="9">
    <w:name w:val="footer"/>
    <w:basedOn w:val="1"/>
    <w:link w:val="20"/>
    <w:unhideWhenUsed/>
    <w:uiPriority w:val="99"/>
    <w:pPr>
      <w:tabs>
        <w:tab w:val="center" w:pos="4680"/>
        <w:tab w:val="right" w:pos="9360"/>
      </w:tabs>
    </w:pPr>
  </w:style>
  <w:style w:type="paragraph" w:styleId="10">
    <w:name w:val="header"/>
    <w:basedOn w:val="1"/>
    <w:link w:val="19"/>
    <w:unhideWhenUsed/>
    <w:uiPriority w:val="99"/>
    <w:pPr>
      <w:tabs>
        <w:tab w:val="center" w:pos="4680"/>
        <w:tab w:val="right" w:pos="9360"/>
      </w:tabs>
    </w:pPr>
  </w:style>
  <w:style w:type="character" w:styleId="11">
    <w:name w:val="Hyperlink"/>
    <w:semiHidden/>
    <w:unhideWhenUsed/>
    <w:uiPriority w:val="99"/>
    <w:rPr>
      <w:color w:val="0000FF"/>
      <w:u w:val="single"/>
    </w:rPr>
  </w:style>
  <w:style w:type="paragraph" w:styleId="12">
    <w:name w:val="Normal (Web)"/>
    <w:basedOn w:val="1"/>
    <w:semiHidden/>
    <w:unhideWhenUsed/>
    <w:uiPriority w:val="99"/>
    <w:pPr>
      <w:spacing w:before="100" w:beforeAutospacing="1" w:after="100" w:afterAutospacing="1"/>
    </w:pPr>
    <w:rPr>
      <w:rFonts w:eastAsia="Times New Roman"/>
      <w:sz w:val="24"/>
      <w:szCs w:val="24"/>
    </w:rPr>
  </w:style>
  <w:style w:type="table" w:styleId="13">
    <w:name w:val="Table Grid"/>
    <w:basedOn w:val="3"/>
    <w:uiPriority w:val="59"/>
    <w:tblPr>
      <w:tblStyle w:val="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4">
    <w:name w:val="Balloon Text Char"/>
    <w:link w:val="4"/>
    <w:semiHidden/>
    <w:uiPriority w:val="99"/>
    <w:rPr>
      <w:rFonts w:ascii="Tahoma" w:hAnsi="Tahoma" w:cs="Tahoma"/>
      <w:sz w:val="16"/>
      <w:szCs w:val="16"/>
    </w:rPr>
  </w:style>
  <w:style w:type="paragraph" w:customStyle="1" w:styleId="15">
    <w:name w:val="normal-p"/>
    <w:basedOn w:val="1"/>
    <w:uiPriority w:val="0"/>
    <w:rPr>
      <w:rFonts w:eastAsia="Times New Roman"/>
    </w:rPr>
  </w:style>
  <w:style w:type="paragraph" w:customStyle="1" w:styleId="16">
    <w:name w:val="title-p"/>
    <w:basedOn w:val="1"/>
    <w:uiPriority w:val="0"/>
    <w:pPr>
      <w:jc w:val="center"/>
    </w:pPr>
    <w:rPr>
      <w:rFonts w:eastAsia="Times New Roman"/>
    </w:rPr>
  </w:style>
  <w:style w:type="character" w:customStyle="1" w:styleId="17">
    <w:name w:val="title-h1"/>
    <w:uiPriority w:val="0"/>
    <w:rPr>
      <w:rFonts w:hint="default" w:ascii="Times New Roman" w:hAnsi="Times New Roman" w:cs="Times New Roman"/>
      <w:b/>
      <w:bCs/>
      <w:sz w:val="32"/>
      <w:szCs w:val="32"/>
    </w:rPr>
  </w:style>
  <w:style w:type="character" w:customStyle="1" w:styleId="18">
    <w:name w:val="normal-h1"/>
    <w:uiPriority w:val="0"/>
    <w:rPr>
      <w:rFonts w:hint="default" w:ascii=".VnTime" w:hAnsi=".VnTime"/>
      <w:sz w:val="28"/>
      <w:szCs w:val="28"/>
    </w:rPr>
  </w:style>
  <w:style w:type="character" w:customStyle="1" w:styleId="19">
    <w:name w:val="Header Char"/>
    <w:basedOn w:val="2"/>
    <w:link w:val="10"/>
    <w:uiPriority w:val="99"/>
  </w:style>
  <w:style w:type="character" w:customStyle="1" w:styleId="20">
    <w:name w:val="Footer Char"/>
    <w:basedOn w:val="2"/>
    <w:link w:val="9"/>
    <w:uiPriority w:val="99"/>
  </w:style>
  <w:style w:type="character" w:customStyle="1" w:styleId="21">
    <w:name w:val="Body Text Indent Char"/>
    <w:link w:val="5"/>
    <w:uiPriority w:val="99"/>
    <w:rPr>
      <w:rFonts w:eastAsia="Times New Roman"/>
      <w:color w:val="000000"/>
      <w:sz w:val="28"/>
      <w:szCs w:val="28"/>
      <w:lang w:val="nl-NL"/>
    </w:rPr>
  </w:style>
  <w:style w:type="paragraph" w:styleId="22">
    <w:name w:val=""/>
    <w:hidden/>
    <w:uiPriority w:val="71"/>
    <w:rPr>
      <w:lang w:val="en-US" w:eastAsia="en-US" w:bidi="ar-SA"/>
    </w:rPr>
  </w:style>
  <w:style w:type="character" w:customStyle="1" w:styleId="23">
    <w:name w:val="Comment Text Char"/>
    <w:basedOn w:val="2"/>
    <w:link w:val="7"/>
    <w:uiPriority w:val="99"/>
  </w:style>
  <w:style w:type="character" w:customStyle="1" w:styleId="24">
    <w:name w:val="Comment Subject Char"/>
    <w:link w:val="8"/>
    <w:semiHidden/>
    <w:uiPriority w:val="99"/>
    <w:rPr>
      <w:b/>
      <w:bCs/>
    </w:r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settings" Target="settings.xml"/><Relationship Id="rId6" Type="http://schemas.openxmlformats.org/officeDocument/2006/relationships/footer" Target="footer1.xml"/><Relationship Id="rId11" Type="http://schemas.openxmlformats.org/officeDocument/2006/relationships/fontTable" Target="fontTable.xml"/><Relationship Id="rId1" Type="http://schemas.openxmlformats.org/officeDocument/2006/relationships/styles" Target="styles.xml"/><Relationship Id="rId5" Type="http://schemas.openxmlformats.org/officeDocument/2006/relationships/header" Target="header3.xml"/><Relationship Id="rId10" Type="http://schemas.openxmlformats.org/officeDocument/2006/relationships/customXml" Target="../customXml/item1.xml"/><Relationship Id="rId9" Type="http://schemas.openxmlformats.org/officeDocument/2006/relationships/theme" Target="theme/theme1.xml"/><Relationship Id="rId4"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199193-5D13-4E36-9CC6-2C185F1F96E6}"/>
</file>

<file path=customXml/itemProps3.xml><?xml version="1.0" encoding="utf-8"?>
<ds:datastoreItem xmlns:ds="http://schemas.openxmlformats.org/officeDocument/2006/customXml" ds:itemID="{9916DB16-BF12-45EF-9C8B-E6616FA82114}"/>
</file>

<file path=customXml/itemProps4.xml><?xml version="1.0" encoding="utf-8"?>
<ds:datastoreItem xmlns:ds="http://schemas.openxmlformats.org/officeDocument/2006/customXml" ds:itemID="{143DF09F-6025-4FDC-9932-8DB9159A26B4}"/>
</file>

<file path=docProps/app.xml><?xml version="1.0" encoding="utf-8"?>
<Properties xmlns="http://schemas.openxmlformats.org/officeDocument/2006/extended-properties" xmlns:vt="http://schemas.openxmlformats.org/officeDocument/2006/docPropsVTypes">
  <Pages>2</Pages>
  <Words>486</Words>
  <Characters>2773</Characters>
  <Lines>23</Lines>
  <Paragraphs>6</Paragraphs>
  <TotalTime>3</TotalTime>
  <ScaleCrop>false</ScaleCrop>
  <LinksUpToDate>false</LinksUpToDate>
  <CharactersWithSpaces>3253</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Đặng Linh</dc:creator>
  <cp:lastModifiedBy>Đặng Linh</cp:lastModifiedBy>
  <cp:revision>1</cp:revision>
  <cp:lastPrinted>2023-04-24T08:02:00Z</cp:lastPrinted>
  <dcterms:created xsi:type="dcterms:W3CDTF">2023-04-24T06:12:00Z</dcterms:created>
  <dcterms:modified xsi:type="dcterms:W3CDTF">2023-05-10T09:01:58Z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43704B19E4354C818F1E33B1C1721747</vt:lpwstr>
  </property>
</Properties>
</file>