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ascii="Times New Roman" w:hAnsi="Times New Roman" w:cs="Times New Roman"/>
          <w:sz w:val="28"/>
          <w:szCs w:val="28"/>
        </w:rPr>
      </w:pPr>
      <w:bookmarkStart w:id="0" w:name="chuong_pl_1"/>
      <w:r>
        <w:rPr>
          <w:rFonts w:hint="default" w:ascii="Times New Roman" w:hAnsi="Times New Roman" w:cs="Times New Roman"/>
          <w:b/>
          <w:bCs/>
          <w:color w:val="000000"/>
          <w:sz w:val="28"/>
          <w:szCs w:val="28"/>
          <w:lang w:val="vi-VN"/>
        </w:rPr>
        <w:t>PHỤ LỤC I</w:t>
      </w:r>
      <w:bookmarkEnd w:id="0"/>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ascii="Times New Roman" w:hAnsi="Times New Roman" w:cs="Times New Roman"/>
          <w:i/>
          <w:iCs/>
          <w:color w:val="000000"/>
          <w:sz w:val="28"/>
          <w:szCs w:val="28"/>
          <w:lang w:val="vi-VN"/>
        </w:rPr>
      </w:pPr>
      <w:bookmarkStart w:id="1" w:name="chuong_pl_1_name"/>
      <w:r>
        <w:rPr>
          <w:rFonts w:hint="default" w:ascii="Times New Roman" w:hAnsi="Times New Roman" w:cs="Times New Roman"/>
          <w:b/>
          <w:bCs/>
          <w:color w:val="000000"/>
          <w:sz w:val="28"/>
          <w:szCs w:val="28"/>
          <w:lang w:val="vi-VN"/>
        </w:rPr>
        <w:t>Các nội dung bắt buộc khác phải thể hiện trên nhãn theo tính chất của mỗi loại hàng hóa</w:t>
      </w:r>
      <w:bookmarkEnd w:id="1"/>
      <w:r>
        <w:rPr>
          <w:rFonts w:hint="default" w:ascii="Times New Roman" w:hAnsi="Times New Roman" w:cs="Times New Roman"/>
          <w:color w:val="000000"/>
          <w:sz w:val="28"/>
          <w:szCs w:val="28"/>
          <w:lang w:val="vi-VN"/>
        </w:rPr>
        <w:br w:type="textWrapping"/>
      </w:r>
      <w:r>
        <w:rPr>
          <w:rFonts w:hint="default" w:ascii="Times New Roman" w:hAnsi="Times New Roman" w:cs="Times New Roman"/>
          <w:i/>
          <w:iCs/>
          <w:color w:val="000000"/>
          <w:sz w:val="28"/>
          <w:szCs w:val="28"/>
          <w:lang w:val="vi-VN"/>
        </w:rPr>
        <w:t xml:space="preserve">(Kèm theo Nghị định số 111/2021/NĐ-CP </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ascii="Times New Roman" w:hAnsi="Times New Roman" w:cs="Times New Roman"/>
          <w:i/>
          <w:iCs/>
          <w:color w:val="000000"/>
          <w:sz w:val="28"/>
          <w:szCs w:val="28"/>
          <w:lang w:val="vi-VN"/>
        </w:rPr>
      </w:pPr>
      <w:r>
        <w:rPr>
          <w:rFonts w:hint="default" w:ascii="Times New Roman" w:hAnsi="Times New Roman" w:cs="Times New Roman"/>
          <w:i/>
          <w:iCs/>
          <w:color w:val="000000"/>
          <w:sz w:val="28"/>
          <w:szCs w:val="28"/>
          <w:lang w:val="vi-VN"/>
        </w:rPr>
        <w:t>ngày 09 tháng 12 năm 2021 của Chính phủ)</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ascii="Times New Roman" w:hAnsi="Times New Roman" w:cs="Times New Roman"/>
          <w:i/>
          <w:iCs/>
          <w:color w:val="000000"/>
          <w:sz w:val="28"/>
          <w:szCs w:val="28"/>
          <w:lang w:val="en-US"/>
        </w:rPr>
      </w:pPr>
      <w:r>
        <w:rPr>
          <w:rFonts w:hint="default" w:ascii="Times New Roman" w:hAnsi="Times New Roman" w:cs="Times New Roman"/>
          <w:i/>
          <w:iCs/>
          <w:color w:val="000000"/>
          <w:sz w:val="28"/>
          <w:szCs w:val="28"/>
          <w:lang w:val="en-US"/>
        </w:rPr>
        <w:t>______________________</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ascii="Times New Roman" w:hAnsi="Times New Roman" w:cs="Times New Roman"/>
          <w:i/>
          <w:iCs/>
          <w:color w:val="000000"/>
          <w:sz w:val="28"/>
          <w:szCs w:val="28"/>
          <w:lang w:val="en-US"/>
        </w:rPr>
      </w:pPr>
    </w:p>
    <w:tbl>
      <w:tblPr>
        <w:tblStyle w:val="3"/>
        <w:tblW w:w="5043"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48"/>
        <w:gridCol w:w="2943"/>
        <w:gridCol w:w="56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99" w:type="pct"/>
            <w:tcBorders>
              <w:top w:val="single" w:color="auto" w:sz="8" w:space="0"/>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TT</w:t>
            </w:r>
          </w:p>
        </w:tc>
        <w:tc>
          <w:tcPr>
            <w:tcW w:w="1604" w:type="pct"/>
            <w:tcBorders>
              <w:top w:val="single" w:color="auto" w:sz="8" w:space="0"/>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TÊN NHÓM HÀNG HÓA</w:t>
            </w:r>
          </w:p>
        </w:tc>
        <w:tc>
          <w:tcPr>
            <w:tcW w:w="3095" w:type="pct"/>
            <w:tcBorders>
              <w:top w:val="single" w:color="auto" w:sz="8" w:space="0"/>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NỘI DUNG BẮT BUỘC</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lang w:val="vi-VN"/>
              </w:rPr>
              <w:t>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Lương thực</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lang w:val="vi-VN"/>
              </w:rPr>
              <w:t>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Thực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 thành phần dinh dưỡng, giá trị dinh dưỡng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Nội dung, cách ghi thành phần dinh dưỡng, giá trị dinh dưỡng và lộ trình thực hiện theo hướng dẫn của Bộ trưởng Bộ Y tế;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lang w:val="vi-VN"/>
              </w:rPr>
              <w:t>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Thực phẩm bảo vệ sức khỏe</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thành phần định lượng (không áp dụng ghi thành phần định lượng đối với phụ gia thực phẩm và phụ liệu) hoặc giá trị dinh dưỡng;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hướng dẫn bảo quản: Công dụng, đối tượng sử dụng, cách dùng;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Công bố khuyến cáo về nguy cơ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Ghi cụm từ: “Thực phẩm bảo vệ sức khỏe”;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Ghi cụm từ: “Thực phẩm này không phải là thuốc, không có tác dụng thay thế thuốc chữa bệnh”.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lang w:val="vi-VN"/>
              </w:rPr>
              <w:t>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Thực phẩm đã qua chiếu xạ</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Ghi cụm từ: “Thực phẩm đã qua chiếu xạ”.</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Thực phẩm biến đổi gen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Ghi cụm từ: “Thực phẩm biến đổi gen” hoặc “biến đổi gen” bên cạnh tên của thành phần nguyên liệu biến đổi gen kèm theo hàm lượng.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 uống (trừ rượu):</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Rượu</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Hàm lượng etanol;</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bảo quản (đối với rượu vang);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Mã nhận diện lô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Thuốc lá</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Mã số, mã vạch.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Phụ gia thực phẩm, chất hỗ trợ chế biến thực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Ghi cụm từ: “Phụ gia thực phẩm” đối với nhóm phụ gia thực phẩm;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Ghi cụm từ: “Chất hỗ trợ chế biến thực phẩm” đối với nhóm chất hỗ trợ chế biến thực phẩm;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Vi chất dinh dưỡng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Ghi cụm từ: “Dùng cho thực phẩm”.</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Nguyên liệu thực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nguyên liệu;</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và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Thuốc, nguyên liệu làm thuốc dùng cho người</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thuốc, nguyên liệu làm thuốc;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Dạng bào chế, trừ nguyên liệu làm thuốc;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Quy cách đóng gói;</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Tên, địa chỉ của cơ sở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Tên, địa chỉ của cơ sở nhập khẩu đối với thuốc, nguyên liệu làm thuốc nhập khẩu;</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Số giấy đăng ký lưu hành hoặc số giấy phép nhập khẩu, số lô sản xuất,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Hạn dùng của thuốc, nguyên liệu làm thuốc;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Điều kiện bảo quản và thông tin cần thiết khác theo quy định.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Trang thiết bị y tế</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Số lưu hành hoặc số giấy phép nhập khẩu trang thiết bị y tế;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Số lô hoặc số sê ri của trang thiết bị y tế;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Ngày sản xuất, hạn sử dụng: Trang thiết bị y tế tiệt trùng, sử dụng một lần, thuốc thử, chất hiệu chuẩn, vật liệu kiểm soát, hóa chất phải ghi hạn sử dụng. Các trường hợp khác ghi ngày sản xuất hoặc hạn sử dụng; đối với trang thiết bị y tế là máy móc, thiết bị ghi năm sản xuất hoặc tháng,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hướng dẫn sử dụng, hướng dẫn bảo quản, cơ sở bảo hành: Có thể được thể hiện trực tiếp trên nhãn trang thiết bị y tế hoặc ghi rõ hướng dẫn tra cứu các thông tin này trên nhãn trang thiết bị y tế.</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Mỹ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lô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Ngày sản xuất hoặc hạn sử dụng/hạn dùng;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Với những sản phẩm có độ ổn định dưới 30 tháng, bắt buộc phải ghi ngày hết hạn;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trừ khi dạng trình bày đã thể hiện rõ cách sử dụng của sản phẩm;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Thông tin, cảnh báo.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Hóa chất gia dụng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hàm lượng hoạt chất;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Số lô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Số đăng ký lưu hành tại Việt Nam;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Thức ăn chăn nuôi</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Thuốc thú y, vắcxin, chế phẩm sinh học dùng trong thú y</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Thức ăn thủy sản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Số điện thoại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19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Chế phẩm sinh học, vi sinh vật, hóa chất, chất xử lý cải tạo môi trường trong nuôi trồng thủy sản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Số điện thoại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Thuốc bảo vệ thực vật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hàm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Giống cây trồng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giống cây trồng;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Cấp giống theo quy định tại tiêu chuẩn quốc gia; tiêu chuẩn cơ sở;</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Đặng tính của giống;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bảo quản và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an toàn;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Định lượng của giống cây trồng;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Ngày sản xuất, ngày hết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Tên và địa chỉ của tổ chức sản xuất, nhập khẩu giống cây trồng;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Mã số lưu hành giống cây trồng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k) Xuất xứ giống cây trồng;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l) Mã hiệu lô giống;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m)  Thông tin về giống cây trồng biến đổi gen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Giống vật nuôi</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Giống thủy sản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giống thủy sản (bao gồm tên thương mại và tên khoa học);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Tên và địa chỉ của cơ sở sản xuất, ương dưỡng;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lượng giống thủy sản;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Chỉ tiêu chất lượng theo Tiêu chuẩn công bố áp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Ngày xuất bán;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Thời hạn sử dụng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Hướng dẫn vận chuyển, bảo quản và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Số điện thoại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 chơi trẻ em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Năm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Sản phẩm dệt, may, da, giầy</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Năm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Sản phẩm nhựa, cao su</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Giấy, bìa, cacton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 dùng giảng dạy, đồ dùng học tập, văn phòng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29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Ấn phẩm chính trị, kinh tế, văn hóa, khoa học, giáo dục, văn học, nghệ thuật, tôn giáo</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Nhà xuất bản (Nhà sản xuất), nhà in;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Tên tác giả, dịch giả;</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Giấy phép xuất bản;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 (khổ, kích thước, số trang);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Nhạc cụ</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Dụng cụ thể dục thể thao, máy tập thể dục thể thao</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 gỗ</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Sản phẩm sành, sứ, thủy tinh</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Hàng thủ công mỹ nghệ</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 gia dụng, thiết bị gia dụng (không dùng điện)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Bạc</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Đá quý</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Vàng trang sức, mỹ nghệ</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Hàm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Khối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Khối lượng vật gắn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Mã ký hiệu sản phẩm;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39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Trang thiết bị bảo hộ lao động, phòng cháy chữa cháy</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Thiết bị bưu chính, viễn thông, công nghệ thông tin, an toàn thông tin mạng, điện, điện tử, sản phẩm công nghệ thông tin được tân trang, làm mới</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Với sản phẩm công nghệ thông tin được tân trang làm mới phải ghi rõ bằng tiếng Việt là “sản phẩm tân trang làm mới” hoặc bằng tiếng Anh có ý nghĩa tương đương.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Máy móc, trang thiết bị cơ khí</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an toàn;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Máy móc, trang thiết bị đo lường, thử nghiệm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Sản phẩm luyện kim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số kỹ thuật.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Dụng cụ đánh bắt thủy sản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Số điện thoại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rPr>
              <w:t>Ô</w:t>
            </w:r>
            <w:r>
              <w:rPr>
                <w:color w:val="000000"/>
                <w:sz w:val="24"/>
                <w:szCs w:val="24"/>
                <w:lang w:val="vi-VN"/>
              </w:rPr>
              <w:t xml:space="preserve"> tô</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(Model code);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khung hoặc số VIN;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Khối lượng bản thân;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Số người cho phép chở (đối với xe chở người);</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Khối lượng toàn bộ thiết kế;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g) Số chứng nhận phê duyệt kiểu </w:t>
            </w:r>
            <w:r>
              <w:rPr>
                <w:color w:val="000000"/>
                <w:sz w:val="24"/>
                <w:szCs w:val="24"/>
              </w:rPr>
              <w:t xml:space="preserve">(Type Approved) </w:t>
            </w:r>
            <w:r>
              <w:rPr>
                <w:color w:val="000000"/>
                <w:sz w:val="24"/>
                <w:szCs w:val="24"/>
                <w:lang w:val="vi-VN"/>
              </w:rPr>
              <w:t>- đối với xe sản xuất lắp ráp trong nước;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Rơmooc, sơmi rơmooc</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(model code);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khung hoặc số VIN;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Khối lượng bản thân;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Khối lượng toàn bộ thiết kế;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e) Số chứng nhận phê duyệt kiểu </w:t>
            </w:r>
            <w:r>
              <w:rPr>
                <w:color w:val="000000"/>
                <w:sz w:val="24"/>
                <w:szCs w:val="24"/>
              </w:rPr>
              <w:t xml:space="preserve">(Type Approved) </w:t>
            </w:r>
            <w:r>
              <w:rPr>
                <w:color w:val="000000"/>
                <w:sz w:val="24"/>
                <w:szCs w:val="24"/>
                <w:lang w:val="vi-VN"/>
              </w:rPr>
              <w:t>- đối với xe sản xuất lắp ráp trong nước;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Mô tô, xe máy</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(Model code);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khung;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Khối lượng bản thân;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Dung tích xi lanh;</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e) Số chứng nhận phê duyệt kiểu </w:t>
            </w:r>
            <w:r>
              <w:rPr>
                <w:color w:val="000000"/>
                <w:sz w:val="24"/>
                <w:szCs w:val="24"/>
              </w:rPr>
              <w:t xml:space="preserve">(Type Approved) </w:t>
            </w:r>
            <w:r>
              <w:rPr>
                <w:color w:val="000000"/>
                <w:sz w:val="24"/>
                <w:szCs w:val="24"/>
                <w:lang w:val="vi-VN"/>
              </w:rPr>
              <w:t>- đối với xe sản xuất lắp ráp trong nước;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Xe máy chuyên dùng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(Model code);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Số khung;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 đặc trưng;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49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Xe chở người bốn bánh có gắn động cơ</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(Model code);</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Khối lượng bản thân;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Số người cho phép chở;</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Khối lượng toàn bộ thiết kế;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Số khung hoặc số VIN;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g) Số chứng nhận phê duyệt kiểu </w:t>
            </w:r>
            <w:r>
              <w:rPr>
                <w:color w:val="000000"/>
                <w:sz w:val="24"/>
                <w:szCs w:val="24"/>
              </w:rPr>
              <w:t xml:space="preserve">(Type Approved) </w:t>
            </w:r>
            <w:r>
              <w:rPr>
                <w:color w:val="000000"/>
                <w:sz w:val="24"/>
                <w:szCs w:val="24"/>
                <w:lang w:val="vi-VN"/>
              </w:rPr>
              <w:t>- đối với xe sản xuất lắp ráp trong nước;</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Xe đạp</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Tên nhà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số kỹ thuật cơ bản;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Phụ tùng của phương tiện giao thông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a) Nhãn hiệu, tên thương mại </w:t>
            </w:r>
            <w:r>
              <w:rPr>
                <w:color w:val="000000"/>
                <w:sz w:val="24"/>
                <w:szCs w:val="24"/>
              </w:rPr>
              <w:t xml:space="preserve">(Commercial name), </w:t>
            </w:r>
            <w:r>
              <w:rPr>
                <w:color w:val="000000"/>
                <w:sz w:val="24"/>
                <w:szCs w:val="24"/>
                <w:lang w:val="vi-VN"/>
              </w:rPr>
              <w:t xml:space="preserve">mã kiểu loại </w:t>
            </w:r>
            <w:r>
              <w:rPr>
                <w:color w:val="000000"/>
                <w:sz w:val="24"/>
                <w:szCs w:val="24"/>
              </w:rPr>
              <w:t xml:space="preserve">(Model code) </w:t>
            </w:r>
            <w:r>
              <w:rPr>
                <w:color w:val="000000"/>
                <w:sz w:val="24"/>
                <w:szCs w:val="24"/>
                <w:lang w:val="vi-VN"/>
              </w:rPr>
              <w:t>(nếu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Mã phụ tùng </w:t>
            </w:r>
            <w:r>
              <w:rPr>
                <w:color w:val="000000"/>
                <w:sz w:val="24"/>
                <w:szCs w:val="24"/>
              </w:rPr>
              <w:t>(part number);</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Năm sản xuất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Vật liệu xây dựng và trang trí nội thất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Các sản phẩm từ dầu mỏ</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Chất tẩy rửa</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Hóa chất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Mã nhận dạng hóa chất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Hình đồ cảnh báo, từ cảnh báo, cảnh báo nguy cơ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Biện pháp phòng ngừa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Phân bón</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Loại phân bón;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Mã số phân bón;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Phương thức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Hướng dẫn sử dụng,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k) Đối với phân bón lá phải ghi rõ cụm từ “Phân bón lá".</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Vật liệu nổ công nghiệp</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hoặc thành phần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hướng dẫn bảo quản.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Kính mắt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59</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Đồng hồ</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Hướng dẫn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60</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Bỉm, băng vệ sinh, khẩu trang, bông tẩy trang, bông vệ sinh tai, giấy vệ sinh</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Tháng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Hạn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61</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Bàn chải đánh răng</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Tháng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62</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Khăn ướt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Hạn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63</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Máy móc, dụng cụ làm đẹp</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Năm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64</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 xml:space="preserve">Dụng cụ, vật liệu bao gói chứa </w:t>
            </w:r>
            <w:r>
              <w:rPr>
                <w:color w:val="000000"/>
                <w:sz w:val="24"/>
                <w:szCs w:val="24"/>
              </w:rPr>
              <w:t xml:space="preserve">đựng </w:t>
            </w:r>
            <w:r>
              <w:rPr>
                <w:color w:val="000000"/>
                <w:sz w:val="24"/>
                <w:szCs w:val="24"/>
                <w:lang w:val="vi-VN"/>
              </w:rPr>
              <w:t>thực phẩm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Thành phần;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65</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Mũ bảo hiểm dùng cho người đi mô tô, xe gắn máy, xe đạp điện, xe máy điện, xe đạp máy (gọi tắt là mũ bảo hiểm)</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a) </w:t>
            </w:r>
            <w:r>
              <w:rPr>
                <w:color w:val="000000"/>
                <w:sz w:val="24"/>
                <w:szCs w:val="24"/>
              </w:rPr>
              <w:t xml:space="preserve">Cỡ </w:t>
            </w:r>
            <w:r>
              <w:rPr>
                <w:color w:val="000000"/>
                <w:sz w:val="24"/>
                <w:szCs w:val="24"/>
                <w:lang w:val="vi-VN"/>
              </w:rPr>
              <w:t>mũ;</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Tháng,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c) Kiểu mũ </w:t>
            </w:r>
            <w:r>
              <w:rPr>
                <w:color w:val="000000"/>
                <w:sz w:val="24"/>
                <w:szCs w:val="24"/>
              </w:rPr>
              <w:t>(Model);</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66</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Xe đạp điện, xe máy điện, xe đạp máy</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Nhãn hiệu;</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b) Loại </w:t>
            </w:r>
            <w:r>
              <w:rPr>
                <w:color w:val="000000"/>
                <w:sz w:val="24"/>
                <w:szCs w:val="24"/>
              </w:rPr>
              <w:t>Model;</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Tự trọng (Khối lượng bản thân);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Thông số kỹ thuật;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Năm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Thông tin cảnh báo (nếu có).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67</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Thực phẩm bổ sung, thực phẩm dinh dưỡng y học, thực phẩm dùng cho chế độ ăn đặc biệt</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thành phần định lượng các chất được bổ sung (hoặc giá trị dinh dưỡng);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Thông tin cảnh báo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Hướng dẫn sử dụng, hướng dẫn bảo quản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Công bố khuyến cáo về sức khỏe (nếu có);</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Thực phẩm bổ sung phải ghi cụm từ: “Thực phẩm bổ sung”;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Thực phẩm dinh dưỡng y học phải ghi cụm từ “Thực phẩm dinh dưỡng y học" và “sử dụng cho người bệnh với sự giám sát của nhân viên y tế”;</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 xml:space="preserve">k) Thực phẩm dùng cho chế độ ăn đặc biệt phải ghi cụm từ </w:t>
            </w:r>
            <w:r>
              <w:rPr>
                <w:color w:val="000000"/>
                <w:sz w:val="24"/>
                <w:szCs w:val="24"/>
              </w:rPr>
              <w:t>“</w:t>
            </w:r>
            <w:r>
              <w:rPr>
                <w:color w:val="000000"/>
                <w:sz w:val="24"/>
                <w:szCs w:val="24"/>
                <w:lang w:val="vi-VN"/>
              </w:rPr>
              <w:t>Sản phẩm dinh dưỡng (cho đối tượng cụ thể).”</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299" w:type="pct"/>
            <w:tcBorders>
              <w:top w:val="nil"/>
              <w:left w:val="single" w:color="auto" w:sz="8" w:space="0"/>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color w:val="000000"/>
                <w:sz w:val="24"/>
                <w:szCs w:val="24"/>
              </w:rPr>
              <w:t>68</w:t>
            </w:r>
          </w:p>
        </w:tc>
        <w:tc>
          <w:tcPr>
            <w:tcW w:w="1604"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afterAutospacing="0"/>
              <w:ind w:left="198" w:leftChars="99" w:right="66" w:rightChars="33" w:firstLine="0" w:firstLineChars="0"/>
              <w:jc w:val="both"/>
              <w:textAlignment w:val="auto"/>
              <w:rPr>
                <w:sz w:val="24"/>
                <w:szCs w:val="24"/>
              </w:rPr>
            </w:pPr>
            <w:r>
              <w:rPr>
                <w:color w:val="000000"/>
                <w:sz w:val="24"/>
                <w:szCs w:val="24"/>
                <w:lang w:val="vi-VN"/>
              </w:rPr>
              <w:t>Chế phẩm diệt côn trùng, diệt khuẩn dùng trong lĩnh vực gia dụng và y tế</w:t>
            </w:r>
          </w:p>
        </w:tc>
        <w:tc>
          <w:tcPr>
            <w:tcW w:w="3095" w:type="pct"/>
            <w:tcBorders>
              <w:top w:val="nil"/>
              <w:left w:val="nil"/>
              <w:bottom w:val="single" w:color="auto" w:sz="8" w:space="0"/>
              <w:right w:val="single" w:color="auto" w:sz="8" w:space="0"/>
            </w:tcBorders>
            <w:shd w:val="clear" w:color="auto"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a) Định lượng;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b) Ngày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c) Hạn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d) Thành phần, hàm lượng hoạt chất;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đ) Số lô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e) Số đăng ký lưu hành tại Việt Nam;</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g) Thông tin cảnh báo;</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h) Hướng dẫn sử dụng;</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i) Hướng dẫn bảo quản;</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k) Hướng dẫn thải bỏ;</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l) Hình đồ cảnh báo theo GHS;</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m) Tên, địa chỉ nơi sản xuất của đơn vị sản xuất;</w:t>
            </w:r>
          </w:p>
          <w:p>
            <w:pPr>
              <w:keepNext w:val="0"/>
              <w:keepLines w:val="0"/>
              <w:pageBreakBefore w:val="0"/>
              <w:widowControl/>
              <w:kinsoku/>
              <w:wordWrap/>
              <w:overflowPunct/>
              <w:topLinePunct w:val="0"/>
              <w:autoSpaceDE/>
              <w:autoSpaceDN/>
              <w:bidi w:val="0"/>
              <w:adjustRightInd/>
              <w:snapToGrid/>
              <w:spacing w:afterAutospacing="0"/>
              <w:ind w:left="200" w:leftChars="100" w:right="42" w:rightChars="21" w:firstLine="0" w:firstLineChars="0"/>
              <w:jc w:val="both"/>
              <w:textAlignment w:val="auto"/>
              <w:rPr>
                <w:sz w:val="24"/>
                <w:szCs w:val="24"/>
              </w:rPr>
            </w:pPr>
            <w:r>
              <w:rPr>
                <w:color w:val="000000"/>
                <w:sz w:val="24"/>
                <w:szCs w:val="24"/>
                <w:lang w:val="vi-VN"/>
              </w:rPr>
              <w:t>n) Tên, địa chỉ, điện thoại đơn vị đứng tên đăng ký lưu hành.</w:t>
            </w:r>
          </w:p>
        </w:tc>
      </w:tr>
    </w:tbl>
    <w:p>
      <w:pPr>
        <w:spacing w:before="120" w:after="280" w:afterAutospacing="1"/>
        <w:jc w:val="center"/>
      </w:pPr>
      <w:r>
        <w:rPr>
          <w:b/>
          <w:bCs/>
          <w:color w:val="000000"/>
        </w:rPr>
        <w:t> </w:t>
      </w:r>
    </w:p>
    <w:p>
      <w:pPr>
        <w:rPr>
          <w:b/>
          <w:bCs/>
          <w:color w:val="000000"/>
          <w:lang w:val="vi-VN"/>
        </w:rPr>
      </w:pPr>
      <w:bookmarkStart w:id="2" w:name="chuong_pl_2"/>
      <w:r>
        <w:rPr>
          <w:b/>
          <w:bCs/>
          <w:color w:val="000000"/>
          <w:lang w:val="vi-VN"/>
        </w:rPr>
        <w:br w:type="page"/>
      </w:r>
    </w:p>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8"/>
          <w:szCs w:val="28"/>
        </w:rPr>
      </w:pPr>
      <w:r>
        <w:rPr>
          <w:b/>
          <w:bCs/>
          <w:color w:val="000000"/>
          <w:sz w:val="28"/>
          <w:szCs w:val="28"/>
          <w:lang w:val="vi-VN"/>
        </w:rPr>
        <w:t>PHỤ LỤC IV</w:t>
      </w:r>
      <w:bookmarkEnd w:id="2"/>
      <w:r>
        <w:rPr>
          <w:b/>
          <w:bCs/>
          <w:color w:val="000000"/>
          <w:sz w:val="28"/>
          <w:szCs w:val="28"/>
          <w:lang w:val="vi-VN"/>
        </w:rPr>
        <w:t xml:space="preserve"> </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i/>
          <w:iCs/>
          <w:color w:val="000000"/>
          <w:sz w:val="28"/>
          <w:szCs w:val="28"/>
          <w:lang w:val="vi-VN"/>
        </w:rPr>
      </w:pPr>
      <w:bookmarkStart w:id="3" w:name="chuong_pl_2_name"/>
      <w:r>
        <w:rPr>
          <w:rFonts w:hint="default"/>
          <w:b/>
          <w:bCs/>
          <w:color w:val="000000"/>
          <w:sz w:val="28"/>
          <w:szCs w:val="28"/>
          <w:lang w:val="en-US"/>
        </w:rPr>
        <w:t>C</w:t>
      </w:r>
      <w:r>
        <w:rPr>
          <w:b/>
          <w:bCs/>
          <w:color w:val="000000"/>
          <w:sz w:val="28"/>
          <w:szCs w:val="28"/>
        </w:rPr>
        <w:t>ách ghi thành phần, thành phần định lượng của hàng hóa</w:t>
      </w:r>
      <w:bookmarkEnd w:id="3"/>
      <w:r>
        <w:rPr>
          <w:b/>
          <w:bCs/>
          <w:color w:val="000000"/>
          <w:sz w:val="28"/>
          <w:szCs w:val="28"/>
        </w:rPr>
        <w:t xml:space="preserve"> </w:t>
      </w:r>
      <w:r>
        <w:rPr>
          <w:b/>
          <w:bCs/>
          <w:color w:val="000000"/>
          <w:sz w:val="28"/>
          <w:szCs w:val="28"/>
        </w:rPr>
        <w:br w:type="textWrapping"/>
      </w:r>
      <w:r>
        <w:rPr>
          <w:i/>
          <w:iCs/>
          <w:color w:val="000000"/>
          <w:sz w:val="28"/>
          <w:szCs w:val="28"/>
          <w:lang w:val="vi-VN"/>
        </w:rPr>
        <w:t xml:space="preserve">(Kèm theo Nghị định </w:t>
      </w:r>
      <w:r>
        <w:rPr>
          <w:i/>
          <w:iCs/>
          <w:color w:val="000000"/>
          <w:sz w:val="28"/>
          <w:szCs w:val="28"/>
        </w:rPr>
        <w:t>số 111</w:t>
      </w:r>
      <w:r>
        <w:rPr>
          <w:i/>
          <w:iCs/>
          <w:color w:val="000000"/>
          <w:sz w:val="28"/>
          <w:szCs w:val="28"/>
          <w:lang w:val="vi-VN"/>
        </w:rPr>
        <w:t xml:space="preserve">/2021/NĐ-CP </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i/>
          <w:iCs/>
          <w:color w:val="000000"/>
          <w:sz w:val="28"/>
          <w:szCs w:val="28"/>
          <w:lang w:val="vi-VN"/>
        </w:rPr>
      </w:pPr>
      <w:r>
        <w:rPr>
          <w:i/>
          <w:iCs/>
          <w:color w:val="000000"/>
          <w:sz w:val="28"/>
          <w:szCs w:val="28"/>
        </w:rPr>
        <w:t xml:space="preserve">ngày 09 tháng </w:t>
      </w:r>
      <w:r>
        <w:rPr>
          <w:i/>
          <w:iCs/>
          <w:color w:val="000000"/>
          <w:sz w:val="28"/>
          <w:szCs w:val="28"/>
          <w:lang w:val="vi-VN"/>
        </w:rPr>
        <w:t>12 năm 2021 của Chính phủ)</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i/>
          <w:iCs/>
          <w:color w:val="000000"/>
          <w:sz w:val="28"/>
          <w:szCs w:val="28"/>
          <w:lang w:val="en-US"/>
        </w:rPr>
      </w:pPr>
      <w:r>
        <w:rPr>
          <w:rFonts w:hint="default"/>
          <w:i/>
          <w:iCs/>
          <w:color w:val="000000"/>
          <w:sz w:val="28"/>
          <w:szCs w:val="28"/>
          <w:lang w:val="en-US"/>
        </w:rPr>
        <w:t>_________________________</w:t>
      </w:r>
    </w:p>
    <w:p>
      <w:pPr>
        <w:spacing w:before="120" w:after="280" w:afterAutospacing="1"/>
        <w:ind w:left="0" w:leftChars="0" w:firstLine="399" w:firstLineChars="142"/>
        <w:rPr>
          <w:sz w:val="28"/>
          <w:szCs w:val="28"/>
        </w:rPr>
      </w:pPr>
      <w:r>
        <w:rPr>
          <w:b/>
          <w:bCs/>
          <w:color w:val="000000"/>
          <w:sz w:val="28"/>
          <w:szCs w:val="28"/>
          <w:lang w:val="vi-VN"/>
        </w:rPr>
        <w:t>1. Cách ghi thành phần, thành phần định lượng thực hiện theo quy định tại Điều 16 Nghị định này.</w:t>
      </w:r>
    </w:p>
    <w:tbl>
      <w:tblPr>
        <w:tblStyle w:val="3"/>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71"/>
        <w:gridCol w:w="4944"/>
        <w:gridCol w:w="34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6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STT</w:t>
            </w:r>
          </w:p>
        </w:tc>
        <w:tc>
          <w:tcPr>
            <w:tcW w:w="271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TRƯỜNG HỢP</w:t>
            </w:r>
          </w:p>
        </w:tc>
        <w:tc>
          <w:tcPr>
            <w:tcW w:w="1912"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CÁCH GHI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36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spacing w:before="120"/>
              <w:jc w:val="center"/>
              <w:rPr>
                <w:sz w:val="24"/>
                <w:szCs w:val="24"/>
              </w:rPr>
            </w:pPr>
            <w:r>
              <w:rPr>
                <w:color w:val="000000"/>
                <w:sz w:val="24"/>
                <w:szCs w:val="24"/>
                <w:lang w:val="vi-VN"/>
              </w:rPr>
              <w:t>1</w:t>
            </w:r>
          </w:p>
        </w:tc>
        <w:tc>
          <w:tcPr>
            <w:tcW w:w="271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ind w:left="198" w:leftChars="99" w:right="124" w:rightChars="62" w:firstLine="0" w:firstLineChars="0"/>
              <w:jc w:val="both"/>
              <w:rPr>
                <w:sz w:val="24"/>
                <w:szCs w:val="24"/>
              </w:rPr>
            </w:pPr>
            <w:r>
              <w:rPr>
                <w:color w:val="000000"/>
                <w:sz w:val="24"/>
                <w:szCs w:val="24"/>
                <w:lang w:val="vi-VN"/>
              </w:rPr>
              <w:t>Lượng nước đưa thêm vào làm nguyên liệu để sản xuất, chế biến và tồn tại trong sản phẩm, hàng hóa.</w:t>
            </w:r>
          </w:p>
        </w:tc>
        <w:tc>
          <w:tcPr>
            <w:tcW w:w="1912"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spacing w:before="120"/>
              <w:ind w:left="200" w:leftChars="100" w:right="56" w:rightChars="28" w:firstLine="0" w:firstLineChars="0"/>
              <w:jc w:val="both"/>
              <w:rPr>
                <w:sz w:val="24"/>
                <w:szCs w:val="24"/>
              </w:rPr>
            </w:pPr>
            <w:r>
              <w:rPr>
                <w:color w:val="000000"/>
                <w:sz w:val="24"/>
                <w:szCs w:val="24"/>
                <w:lang w:val="vi-VN"/>
              </w:rPr>
              <w:t>Ghi là một thành phần của hàng hóa đó.</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36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spacing w:before="120"/>
              <w:jc w:val="center"/>
              <w:rPr>
                <w:sz w:val="24"/>
                <w:szCs w:val="24"/>
              </w:rPr>
            </w:pPr>
            <w:r>
              <w:rPr>
                <w:color w:val="000000"/>
                <w:sz w:val="24"/>
                <w:szCs w:val="24"/>
                <w:lang w:val="vi-VN"/>
              </w:rPr>
              <w:t>2</w:t>
            </w:r>
          </w:p>
        </w:tc>
        <w:tc>
          <w:tcPr>
            <w:tcW w:w="271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ind w:left="198" w:leftChars="99" w:right="124" w:rightChars="62" w:firstLine="0" w:firstLineChars="0"/>
              <w:jc w:val="both"/>
              <w:rPr>
                <w:sz w:val="24"/>
                <w:szCs w:val="24"/>
              </w:rPr>
            </w:pPr>
            <w:r>
              <w:rPr>
                <w:color w:val="000000"/>
                <w:sz w:val="24"/>
                <w:szCs w:val="24"/>
                <w:lang w:val="vi-VN"/>
              </w:rPr>
              <w:t>Trường hợp tên của thành phần được ghi trên nhãn hàng hóa để gây sự chú ý đối với hàng hóa thì thành phần đó bắt buộc phải ghi định lượng.</w:t>
            </w:r>
          </w:p>
        </w:tc>
        <w:tc>
          <w:tcPr>
            <w:tcW w:w="1912"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spacing w:before="120"/>
              <w:ind w:left="200" w:leftChars="100" w:right="56" w:rightChars="28" w:firstLine="0" w:firstLineChars="0"/>
              <w:jc w:val="both"/>
              <w:rPr>
                <w:sz w:val="24"/>
                <w:szCs w:val="24"/>
              </w:rPr>
            </w:pPr>
            <w:r>
              <w:rPr>
                <w:color w:val="000000"/>
                <w:sz w:val="24"/>
                <w:szCs w:val="24"/>
                <w:lang w:val="vi-VN"/>
              </w:rPr>
              <w:t>Ví dụ: Trên nhãn ghi riêng cụm từ “Hàm lượng Can xi cao” thì phải ghi hàm lượng Can xi là bao nhiêu.</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369"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spacing w:before="120"/>
              <w:jc w:val="center"/>
              <w:rPr>
                <w:sz w:val="24"/>
                <w:szCs w:val="24"/>
              </w:rPr>
            </w:pPr>
            <w:r>
              <w:rPr>
                <w:color w:val="000000"/>
                <w:sz w:val="24"/>
                <w:szCs w:val="24"/>
                <w:lang w:val="vi-VN"/>
              </w:rPr>
              <w:t>3</w:t>
            </w:r>
          </w:p>
        </w:tc>
        <w:tc>
          <w:tcPr>
            <w:tcW w:w="2719"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spacing w:before="120"/>
              <w:ind w:left="198" w:leftChars="99" w:right="124" w:rightChars="62" w:firstLine="0" w:firstLineChars="0"/>
              <w:jc w:val="both"/>
              <w:rPr>
                <w:sz w:val="24"/>
                <w:szCs w:val="24"/>
              </w:rPr>
            </w:pPr>
            <w:r>
              <w:rPr>
                <w:color w:val="000000"/>
                <w:sz w:val="24"/>
                <w:szCs w:val="24"/>
                <w:lang w:val="vi-VN"/>
              </w:rPr>
              <w:t>Đồ gia dụng kim khí, đồ dùng được chế tạo từ một loại nguyên liệu chính quyết định giá trị sử dụng thì phải ghi tên thành phần nguyên liệu chính cùng với tên hàng hóa và không phải ghi thành phần và thành phần định lượng.</w:t>
            </w:r>
          </w:p>
        </w:tc>
        <w:tc>
          <w:tcPr>
            <w:tcW w:w="1912"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spacing w:before="120"/>
              <w:ind w:left="200" w:leftChars="100" w:right="56" w:rightChars="28" w:firstLine="0" w:firstLineChars="0"/>
              <w:jc w:val="both"/>
              <w:rPr>
                <w:sz w:val="24"/>
                <w:szCs w:val="24"/>
              </w:rPr>
            </w:pPr>
            <w:r>
              <w:rPr>
                <w:color w:val="000000"/>
                <w:sz w:val="24"/>
                <w:szCs w:val="24"/>
                <w:lang w:val="vi-VN"/>
              </w:rPr>
              <w:t>Ví dụ: Hàng hóa có tên ghi trên nhãn là chậu nhựa, giày da, chiếu trúc, ghế sắt, khăn giấy, đệm cao su, bình sứ thì không phải ghi thành phần và thành phần định lượng.</w:t>
            </w:r>
          </w:p>
        </w:tc>
      </w:tr>
    </w:tbl>
    <w:p>
      <w:pPr>
        <w:keepNext w:val="0"/>
        <w:keepLines w:val="0"/>
        <w:pageBreakBefore w:val="0"/>
        <w:widowControl/>
        <w:numPr>
          <w:numId w:val="0"/>
        </w:numPr>
        <w:kinsoku/>
        <w:wordWrap/>
        <w:overflowPunct/>
        <w:topLinePunct w:val="0"/>
        <w:autoSpaceDE/>
        <w:autoSpaceDN/>
        <w:bidi w:val="0"/>
        <w:adjustRightInd/>
        <w:snapToGrid/>
        <w:spacing w:afterAutospacing="0"/>
        <w:ind w:leftChars="200"/>
        <w:textAlignment w:val="auto"/>
        <w:rPr>
          <w:rFonts w:ascii="Times New Roman" w:hAnsi="Times New Roman" w:cs="Times New Roman"/>
          <w:b/>
          <w:bCs/>
          <w:color w:val="000000"/>
          <w:sz w:val="28"/>
          <w:szCs w:val="28"/>
          <w:lang w:val="vi-VN"/>
        </w:rPr>
      </w:pPr>
    </w:p>
    <w:p>
      <w:pPr>
        <w:keepNext w:val="0"/>
        <w:keepLines w:val="0"/>
        <w:pageBreakBefore w:val="0"/>
        <w:widowControl/>
        <w:numPr>
          <w:ilvl w:val="0"/>
          <w:numId w:val="1"/>
        </w:numPr>
        <w:kinsoku/>
        <w:wordWrap/>
        <w:overflowPunct/>
        <w:topLinePunct w:val="0"/>
        <w:autoSpaceDE/>
        <w:autoSpaceDN/>
        <w:bidi w:val="0"/>
        <w:adjustRightInd/>
        <w:snapToGrid/>
        <w:spacing w:afterAutospacing="0"/>
        <w:ind w:left="0" w:leftChars="0" w:firstLine="562" w:firstLineChars="200"/>
        <w:textAlignment w:val="auto"/>
        <w:rPr>
          <w:rFonts w:ascii="Times New Roman" w:hAnsi="Times New Roman" w:cs="Times New Roman"/>
          <w:b/>
          <w:bCs/>
          <w:color w:val="000000"/>
          <w:sz w:val="28"/>
          <w:szCs w:val="28"/>
          <w:lang w:val="vi-VN"/>
        </w:rPr>
      </w:pPr>
      <w:r>
        <w:rPr>
          <w:b/>
          <w:bCs/>
          <w:color w:val="000000"/>
          <w:sz w:val="28"/>
          <w:szCs w:val="28"/>
          <w:lang w:val="vi-VN"/>
        </w:rPr>
        <w:t xml:space="preserve">Cách ghi khác về thành phần, thành phần định lượng của hàng </w:t>
      </w:r>
      <w:r>
        <w:rPr>
          <w:rFonts w:ascii="Times New Roman" w:hAnsi="Times New Roman" w:cs="Times New Roman"/>
          <w:b/>
          <w:bCs/>
          <w:color w:val="000000"/>
          <w:sz w:val="28"/>
          <w:szCs w:val="28"/>
          <w:lang w:val="vi-VN"/>
        </w:rPr>
        <w:t>hóa</w:t>
      </w:r>
    </w:p>
    <w:tbl>
      <w:tblPr>
        <w:tblStyle w:val="3"/>
        <w:tblpPr w:leftFromText="180" w:rightFromText="180" w:vertAnchor="text" w:horzAnchor="page" w:tblpX="1700" w:tblpY="609"/>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34"/>
        <w:gridCol w:w="2988"/>
        <w:gridCol w:w="44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LOẠI HÀNG HÓA</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MẶT HÀNG</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4"/>
                <w:szCs w:val="24"/>
              </w:rPr>
            </w:pPr>
            <w:r>
              <w:rPr>
                <w:b/>
                <w:bCs/>
                <w:color w:val="000000"/>
                <w:sz w:val="24"/>
                <w:szCs w:val="24"/>
                <w:lang w:val="vi-VN"/>
              </w:rPr>
              <w:t>CÁCH GHI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thủy sản</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hỗn hợp</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Thành phần định lượng gồm: Độ ẩm; </w:t>
            </w:r>
            <w:r>
              <w:rPr>
                <w:color w:val="000000"/>
                <w:sz w:val="24"/>
                <w:szCs w:val="24"/>
              </w:rPr>
              <w:t xml:space="preserve">Protein </w:t>
            </w:r>
            <w:r>
              <w:rPr>
                <w:color w:val="000000"/>
                <w:sz w:val="24"/>
                <w:szCs w:val="24"/>
                <w:lang w:val="vi-VN"/>
              </w:rPr>
              <w:t xml:space="preserve">thô; Béo thô; Xơ thô; </w:t>
            </w:r>
            <w:r>
              <w:rPr>
                <w:color w:val="000000"/>
                <w:sz w:val="24"/>
                <w:szCs w:val="24"/>
              </w:rPr>
              <w:t xml:space="preserve">Phot </w:t>
            </w:r>
            <w:r>
              <w:rPr>
                <w:color w:val="000000"/>
                <w:sz w:val="24"/>
                <w:szCs w:val="24"/>
                <w:lang w:val="vi-VN"/>
              </w:rPr>
              <w:t xml:space="preserve">pho tổng </w:t>
            </w:r>
            <w:r>
              <w:rPr>
                <w:color w:val="000000"/>
                <w:sz w:val="24"/>
                <w:szCs w:val="24"/>
              </w:rPr>
              <w:t xml:space="preserve">số; Lysine </w:t>
            </w:r>
            <w:r>
              <w:rPr>
                <w:color w:val="000000"/>
                <w:sz w:val="24"/>
                <w:szCs w:val="24"/>
                <w:lang w:val="vi-VN"/>
              </w:rPr>
              <w:t xml:space="preserve">tổng số; Chất bảo bảo quản nếu có: </w:t>
            </w:r>
            <w:r>
              <w:rPr>
                <w:color w:val="000000"/>
                <w:sz w:val="24"/>
                <w:szCs w:val="24"/>
              </w:rPr>
              <w:t xml:space="preserve">Ethoxyquin, Dibutylhydroxytoluene, </w:t>
            </w:r>
            <w:r>
              <w:rPr>
                <w:color w:val="000000"/>
                <w:sz w:val="24"/>
                <w:szCs w:val="24"/>
                <w:lang w:val="vi-VN"/>
              </w:rPr>
              <w:t xml:space="preserve">BHT (Butylated </w:t>
            </w:r>
            <w:r>
              <w:rPr>
                <w:color w:val="000000"/>
                <w:sz w:val="24"/>
                <w:szCs w:val="24"/>
              </w:rPr>
              <w:t xml:space="preserve">hydroxyl toluene), </w:t>
            </w:r>
            <w:r>
              <w:rPr>
                <w:color w:val="000000"/>
                <w:sz w:val="24"/>
                <w:szCs w:val="24"/>
                <w:lang w:val="vi-VN"/>
              </w:rPr>
              <w:t xml:space="preserve">BHA (Butylated </w:t>
            </w:r>
            <w:r>
              <w:rPr>
                <w:color w:val="000000"/>
                <w:sz w:val="24"/>
                <w:szCs w:val="24"/>
              </w:rPr>
              <w:t>hydroxyl Anisole).</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hỗn hợp cho động vật cảnh</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Thành phần định lượng tối thiểu gồm: Độ </w:t>
            </w:r>
            <w:r>
              <w:rPr>
                <w:color w:val="000000"/>
                <w:sz w:val="24"/>
                <w:szCs w:val="24"/>
              </w:rPr>
              <w:t xml:space="preserve">ẩm; Protein </w:t>
            </w:r>
            <w:r>
              <w:rPr>
                <w:color w:val="000000"/>
                <w:sz w:val="24"/>
                <w:szCs w:val="24"/>
                <w:lang w:val="vi-VN"/>
              </w:rPr>
              <w:t>thô; Béo thô; Xơ thô.</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43"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bổ sung</w:t>
            </w:r>
          </w:p>
        </w:tc>
        <w:tc>
          <w:tcPr>
            <w:tcW w:w="2458"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Thành phần định lượng, cụ thể cho từng loại:</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rPr>
              <w:t xml:space="preserve">- </w:t>
            </w:r>
            <w:r>
              <w:rPr>
                <w:color w:val="000000"/>
                <w:sz w:val="24"/>
                <w:szCs w:val="24"/>
                <w:lang w:val="vi-VN"/>
              </w:rPr>
              <w:t xml:space="preserve">Hỗn hợp khoáng, </w:t>
            </w:r>
            <w:r>
              <w:rPr>
                <w:color w:val="000000"/>
                <w:sz w:val="24"/>
                <w:szCs w:val="24"/>
              </w:rPr>
              <w:t xml:space="preserve">vitamin, </w:t>
            </w:r>
            <w:r>
              <w:rPr>
                <w:color w:val="000000"/>
                <w:sz w:val="24"/>
                <w:szCs w:val="24"/>
                <w:lang w:val="vi-VN"/>
              </w:rPr>
              <w:t xml:space="preserve">axít amin: </w:t>
            </w:r>
            <w:r>
              <w:rPr>
                <w:color w:val="000000"/>
                <w:sz w:val="24"/>
                <w:szCs w:val="24"/>
              </w:rPr>
              <w:t xml:space="preserve">Vitamin, </w:t>
            </w:r>
            <w:r>
              <w:rPr>
                <w:color w:val="000000"/>
                <w:sz w:val="24"/>
                <w:szCs w:val="24"/>
                <w:lang w:val="vi-VN"/>
              </w:rPr>
              <w:t>khoáng đơn, axit amin.</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Chế phẩm vi sinh vật: Loài vi sinh vật.</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Chế phẩm chiết xuất từ thực vật, động vật, vi sinh vật, nấm: Hoạt chất chính từ (ghi kèm tên loài sinh vật được sử dụng để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43" w:type="pct"/>
            <w:tcBorders>
              <w:top w:val="nil"/>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tươi sống</w:t>
            </w:r>
          </w:p>
        </w:tc>
        <w:tc>
          <w:tcPr>
            <w:tcW w:w="2458" w:type="pct"/>
            <w:tcBorders>
              <w:top w:val="nil"/>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Thành phần định lượng: Tên loài sử dụng làm thức ăn.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Phụ gia thực phẩm</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Chất phụ gia thực phẩm. Nếu phụ gia thực phẩm có hai hoặc nhiều chất phụ gia trong cùng 1 bao gói.</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Liệt kê đầy đủ theo thứ tự tỷ lệ khối lượng của chúng trong bao gói.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chăn nuôi</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có bổ sung chất phi dinh dưỡng để phòng bệnh.</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thức ăn tổng hợp.</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thức ăn bổ sung.</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Thành phần định lượng chính.</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Ghi thêm thành phần chất phi dinh dưỡng.</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xml:space="preserve">- Ghi thêm hàm lượng </w:t>
            </w:r>
            <w:r>
              <w:rPr>
                <w:color w:val="000000"/>
                <w:sz w:val="24"/>
                <w:szCs w:val="24"/>
              </w:rPr>
              <w:t xml:space="preserve">protein, </w:t>
            </w:r>
            <w:r>
              <w:rPr>
                <w:color w:val="000000"/>
                <w:sz w:val="24"/>
                <w:szCs w:val="24"/>
                <w:lang w:val="vi-VN"/>
              </w:rPr>
              <w:t>lipit, tro, xơ, độ ẩm, độ hòa tan.</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hàm lượng các chất bổ sung.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Dược liệu</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Dược liệu.</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Khối lượng của dược liệu.</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 vắc xin, chế phẩm sinh học dùng trong thú y</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Thành phần, thành phần định lượng hoạt chất.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Chế phẩm sinh học, vi sinh vật, hóa chất, chất xử lý môi trường trong nuôi trồng thủy sản</w:t>
            </w:r>
          </w:p>
        </w:tc>
        <w:tc>
          <w:tcPr>
            <w:tcW w:w="1643"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Sản phẩm xử lý môi trường nuôi trồng thủy sản</w:t>
            </w:r>
          </w:p>
        </w:tc>
        <w:tc>
          <w:tcPr>
            <w:tcW w:w="2458"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Thành phần định lượng, cụ thể cho từng loại:</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Hoá chất: Công thức hóa học, công thức cấu tạo hoặc theo Danh mục tên hoá chất được phép sử dụng.</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xml:space="preserve">- Hỗn hợp khoáng, </w:t>
            </w:r>
            <w:r>
              <w:rPr>
                <w:color w:val="000000"/>
                <w:sz w:val="24"/>
                <w:szCs w:val="24"/>
              </w:rPr>
              <w:t xml:space="preserve">vitamin, </w:t>
            </w:r>
            <w:r>
              <w:rPr>
                <w:color w:val="000000"/>
                <w:sz w:val="24"/>
                <w:szCs w:val="24"/>
                <w:lang w:val="vi-VN"/>
              </w:rPr>
              <w:t xml:space="preserve">axít amin: </w:t>
            </w:r>
            <w:r>
              <w:rPr>
                <w:color w:val="000000"/>
                <w:sz w:val="24"/>
                <w:szCs w:val="24"/>
              </w:rPr>
              <w:t xml:space="preserve">Vitamin, </w:t>
            </w:r>
            <w:r>
              <w:rPr>
                <w:color w:val="000000"/>
                <w:sz w:val="24"/>
                <w:szCs w:val="24"/>
                <w:lang w:val="vi-VN"/>
              </w:rPr>
              <w:t>khoáng đơn, axit amin.</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Chế phẩm vi sinh vật: Loài vi sinh vật.</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Chế phẩm chiết xuất từ thực vật, động vật, vi sinh vật, nấm: Hoạt chất chính từ (ghi kèm tên loài sinh vật được sử dụng để sản xuất).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nil"/>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 thủy sản</w:t>
            </w:r>
          </w:p>
        </w:tc>
        <w:tc>
          <w:tcPr>
            <w:tcW w:w="1643" w:type="pct"/>
            <w:tcBorders>
              <w:top w:val="nil"/>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 thủy sản</w:t>
            </w:r>
          </w:p>
        </w:tc>
        <w:tc>
          <w:tcPr>
            <w:tcW w:w="2458" w:type="pct"/>
            <w:tcBorders>
              <w:top w:val="nil"/>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Công thức cấu tạo hoặc thành phần cấu tạo.</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bảo vệ thực vật</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bảo vệ thực vật.</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Thành phần định lượng các loại hoạt chất, hàm lượng dung môi (nếu làm thay đổi độ độc của thuốc).</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Sản phẩm dệt, may, da giày</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Hàng may mặc.</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có nhiều lớp.</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Thành phần định lượng chính của vật liệu.</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thành phần định lượng chính của từng lớp.</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Đồ gỗ</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Gỗ xẻ cùng một loài cây.</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Gỗ xẻ từ nhiều loài cây.</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Tên khoa học của loài gỗ.</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Nhóm gỗ.</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Sản phẩm gỗ dân dụng.</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Tên gỗ.</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Sản phẩm luyện kim</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Thép.</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Kim loại.</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Quặng.</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Mác thép.</w:t>
            </w:r>
          </w:p>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Loại, độ tinh khiết (% kim loại).</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Hàm lượng quặng (% khối lượng).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Các sản phẩm từ dầu mỏ</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Khí đồng hành và khí </w:t>
            </w:r>
            <w:r>
              <w:rPr>
                <w:color w:val="000000"/>
                <w:sz w:val="24"/>
                <w:szCs w:val="24"/>
              </w:rPr>
              <w:t xml:space="preserve">hydrocarbon </w:t>
            </w:r>
            <w:r>
              <w:rPr>
                <w:color w:val="000000"/>
                <w:sz w:val="24"/>
                <w:szCs w:val="24"/>
                <w:lang w:val="vi-VN"/>
              </w:rPr>
              <w:t>khác.</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Thành phần khí (% thể tích).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Hóa chất</w:t>
            </w: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Hóa chất.</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Công thức hóa học, công thức cấu tạo, thành phần định lượng.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43"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Hóa chất chứa trong bình chịu áp lực.</w:t>
            </w:r>
          </w:p>
        </w:tc>
        <w:tc>
          <w:tcPr>
            <w:tcW w:w="2458"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Ghi thêm dung lượng nạp.</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899"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Phân bón</w:t>
            </w:r>
          </w:p>
        </w:tc>
        <w:tc>
          <w:tcPr>
            <w:tcW w:w="1643"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Phân bón.</w:t>
            </w:r>
          </w:p>
        </w:tc>
        <w:tc>
          <w:tcPr>
            <w:tcW w:w="2458"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Thành phần định lượng.</w:t>
            </w:r>
          </w:p>
        </w:tc>
      </w:tr>
    </w:tbl>
    <w:p>
      <w:pPr>
        <w:keepNext w:val="0"/>
        <w:keepLines w:val="0"/>
        <w:pageBreakBefore w:val="0"/>
        <w:widowControl/>
        <w:numPr>
          <w:numId w:val="0"/>
        </w:numPr>
        <w:kinsoku/>
        <w:wordWrap/>
        <w:overflowPunct/>
        <w:topLinePunct w:val="0"/>
        <w:autoSpaceDE/>
        <w:autoSpaceDN/>
        <w:bidi w:val="0"/>
        <w:adjustRightInd/>
        <w:snapToGrid/>
        <w:spacing w:afterAutospacing="0"/>
        <w:textAlignment w:val="auto"/>
        <w:rPr>
          <w:rFonts w:ascii="Times New Roman" w:hAnsi="Times New Roman" w:cs="Times New Roman"/>
          <w:b/>
          <w:bCs/>
          <w:color w:val="000000"/>
          <w:sz w:val="28"/>
          <w:szCs w:val="28"/>
          <w:lang w:val="vi-VN"/>
        </w:rPr>
      </w:pPr>
    </w:p>
    <w:p>
      <w:pPr>
        <w:spacing w:before="120" w:after="280" w:afterAutospacing="1"/>
      </w:pPr>
      <w:r>
        <w:rPr>
          <w:b/>
          <w:bCs/>
          <w:color w:val="000000"/>
        </w:rPr>
        <w:t> </w:t>
      </w:r>
    </w:p>
    <w:p>
      <w:pPr>
        <w:rPr>
          <w:b/>
          <w:bCs/>
          <w:color w:val="000000"/>
        </w:rPr>
      </w:pPr>
      <w:bookmarkStart w:id="4" w:name="chuong_pl_3"/>
      <w:r>
        <w:rPr>
          <w:b/>
          <w:bCs/>
          <w:color w:val="000000"/>
        </w:rPr>
        <w:br w:type="page"/>
      </w:r>
    </w:p>
    <w:p>
      <w:pPr>
        <w:keepNext w:val="0"/>
        <w:keepLines w:val="0"/>
        <w:pageBreakBefore w:val="0"/>
        <w:widowControl/>
        <w:kinsoku/>
        <w:wordWrap/>
        <w:overflowPunct/>
        <w:topLinePunct w:val="0"/>
        <w:autoSpaceDE/>
        <w:autoSpaceDN/>
        <w:bidi w:val="0"/>
        <w:adjustRightInd/>
        <w:snapToGrid/>
        <w:spacing w:afterAutospacing="0"/>
        <w:jc w:val="center"/>
        <w:textAlignment w:val="auto"/>
        <w:rPr>
          <w:sz w:val="28"/>
          <w:szCs w:val="28"/>
        </w:rPr>
      </w:pPr>
      <w:r>
        <w:rPr>
          <w:b/>
          <w:bCs/>
          <w:color w:val="000000"/>
          <w:sz w:val="28"/>
          <w:szCs w:val="28"/>
        </w:rPr>
        <w:t>PHỤ LỤC V</w:t>
      </w:r>
      <w:bookmarkEnd w:id="4"/>
    </w:p>
    <w:p>
      <w:pPr>
        <w:keepNext w:val="0"/>
        <w:keepLines w:val="0"/>
        <w:pageBreakBefore w:val="0"/>
        <w:widowControl/>
        <w:kinsoku/>
        <w:wordWrap/>
        <w:overflowPunct/>
        <w:topLinePunct w:val="0"/>
        <w:autoSpaceDE/>
        <w:autoSpaceDN/>
        <w:bidi w:val="0"/>
        <w:adjustRightInd/>
        <w:snapToGrid/>
        <w:spacing w:afterAutospacing="0"/>
        <w:jc w:val="center"/>
        <w:textAlignment w:val="auto"/>
        <w:rPr>
          <w:b/>
          <w:bCs/>
          <w:color w:val="000000"/>
          <w:sz w:val="28"/>
          <w:szCs w:val="28"/>
          <w:lang w:val="vi-VN"/>
        </w:rPr>
      </w:pPr>
      <w:bookmarkStart w:id="5" w:name="chuong_pl_3_name"/>
      <w:r>
        <w:rPr>
          <w:rFonts w:hint="default"/>
          <w:b/>
          <w:bCs/>
          <w:color w:val="000000"/>
          <w:sz w:val="28"/>
          <w:szCs w:val="28"/>
          <w:lang w:val="en-US"/>
        </w:rPr>
        <w:t>C</w:t>
      </w:r>
      <w:r>
        <w:rPr>
          <w:b/>
          <w:bCs/>
          <w:color w:val="000000"/>
          <w:sz w:val="28"/>
          <w:szCs w:val="28"/>
          <w:lang w:val="vi-VN"/>
        </w:rPr>
        <w:t xml:space="preserve">ách ghi khác về thông số kỹ thuật, thông tin, </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i/>
          <w:iCs/>
          <w:color w:val="000000"/>
          <w:sz w:val="28"/>
          <w:szCs w:val="28"/>
          <w:lang w:val="vi-VN"/>
        </w:rPr>
      </w:pPr>
      <w:r>
        <w:rPr>
          <w:b/>
          <w:bCs/>
          <w:color w:val="000000"/>
          <w:sz w:val="28"/>
          <w:szCs w:val="28"/>
          <w:lang w:val="vi-VN"/>
        </w:rPr>
        <w:t>cảnh báo vệ sinh, an toàn của hàng hóa</w:t>
      </w:r>
      <w:bookmarkEnd w:id="5"/>
      <w:r>
        <w:rPr>
          <w:color w:val="000000"/>
          <w:sz w:val="28"/>
          <w:szCs w:val="28"/>
        </w:rPr>
        <w:br w:type="textWrapping"/>
      </w:r>
      <w:r>
        <w:rPr>
          <w:i/>
          <w:iCs/>
          <w:color w:val="000000"/>
          <w:sz w:val="28"/>
          <w:szCs w:val="28"/>
        </w:rPr>
        <w:t xml:space="preserve">(Kèm theo </w:t>
      </w:r>
      <w:r>
        <w:rPr>
          <w:i/>
          <w:iCs/>
          <w:color w:val="000000"/>
          <w:sz w:val="28"/>
          <w:szCs w:val="28"/>
          <w:lang w:val="vi-VN"/>
        </w:rPr>
        <w:t xml:space="preserve">Nghị định số 111/2021/NĐ-CP </w:t>
      </w:r>
      <w:bookmarkStart w:id="6" w:name="_GoBack"/>
      <w:bookmarkEnd w:id="6"/>
    </w:p>
    <w:p>
      <w:pPr>
        <w:keepNext w:val="0"/>
        <w:keepLines w:val="0"/>
        <w:pageBreakBefore w:val="0"/>
        <w:widowControl/>
        <w:kinsoku/>
        <w:wordWrap/>
        <w:overflowPunct/>
        <w:topLinePunct w:val="0"/>
        <w:autoSpaceDE/>
        <w:autoSpaceDN/>
        <w:bidi w:val="0"/>
        <w:adjustRightInd/>
        <w:snapToGrid/>
        <w:spacing w:afterAutospacing="0"/>
        <w:jc w:val="center"/>
        <w:textAlignment w:val="auto"/>
        <w:rPr>
          <w:i/>
          <w:iCs/>
          <w:color w:val="000000"/>
          <w:sz w:val="28"/>
          <w:szCs w:val="28"/>
          <w:lang w:val="vi-VN"/>
        </w:rPr>
      </w:pPr>
      <w:r>
        <w:rPr>
          <w:i/>
          <w:iCs/>
          <w:color w:val="000000"/>
          <w:sz w:val="28"/>
          <w:szCs w:val="28"/>
        </w:rPr>
        <w:t xml:space="preserve">ngày </w:t>
      </w:r>
      <w:r>
        <w:rPr>
          <w:i/>
          <w:iCs/>
          <w:color w:val="000000"/>
          <w:sz w:val="28"/>
          <w:szCs w:val="28"/>
          <w:lang w:val="vi-VN"/>
        </w:rPr>
        <w:t>09 tháng 12 năm 2021 của Chính phủ)</w:t>
      </w:r>
    </w:p>
    <w:p>
      <w:pPr>
        <w:keepNext w:val="0"/>
        <w:keepLines w:val="0"/>
        <w:pageBreakBefore w:val="0"/>
        <w:widowControl/>
        <w:kinsoku/>
        <w:wordWrap/>
        <w:overflowPunct/>
        <w:topLinePunct w:val="0"/>
        <w:autoSpaceDE/>
        <w:autoSpaceDN/>
        <w:bidi w:val="0"/>
        <w:adjustRightInd/>
        <w:snapToGrid/>
        <w:spacing w:afterAutospacing="0"/>
        <w:jc w:val="center"/>
        <w:textAlignment w:val="auto"/>
        <w:rPr>
          <w:rFonts w:hint="default"/>
          <w:i/>
          <w:iCs/>
          <w:color w:val="000000"/>
          <w:sz w:val="28"/>
          <w:szCs w:val="28"/>
          <w:lang w:val="en-US"/>
        </w:rPr>
      </w:pPr>
      <w:r>
        <w:rPr>
          <w:rFonts w:hint="default"/>
          <w:i/>
          <w:iCs/>
          <w:color w:val="000000"/>
          <w:sz w:val="28"/>
          <w:szCs w:val="28"/>
          <w:lang w:val="en-US"/>
        </w:rPr>
        <w:t>_______________________</w:t>
      </w:r>
    </w:p>
    <w:tbl>
      <w:tblPr>
        <w:tblStyle w:val="3"/>
        <w:tblW w:w="5000" w:type="pct"/>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71"/>
        <w:gridCol w:w="2931"/>
        <w:gridCol w:w="4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54"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LOẠI HÀNG HÓA</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MẶT HÀNG</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spacing w:before="120"/>
              <w:jc w:val="center"/>
              <w:rPr>
                <w:sz w:val="24"/>
                <w:szCs w:val="24"/>
              </w:rPr>
            </w:pPr>
            <w:r>
              <w:rPr>
                <w:b/>
                <w:bCs/>
                <w:color w:val="000000"/>
                <w:sz w:val="24"/>
                <w:szCs w:val="24"/>
                <w:lang w:val="vi-VN"/>
              </w:rPr>
              <w:t>CÁCH GHI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thủy sản; chế phẩm sinh học, vi sinh vật, hóa chất, chất xử lý môi trường trong nuôi trồng thủy sản</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Thức ăn bổ sung; sản phẩm xử lý môi trường nuôi trồng thủy sản.</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after="280" w:afterAutospacing="1"/>
              <w:ind w:left="100" w:leftChars="50" w:right="100" w:rightChars="50"/>
              <w:jc w:val="both"/>
              <w:textAlignment w:val="auto"/>
              <w:rPr>
                <w:sz w:val="24"/>
                <w:szCs w:val="24"/>
              </w:rPr>
            </w:pPr>
            <w:r>
              <w:rPr>
                <w:color w:val="000000"/>
                <w:sz w:val="24"/>
                <w:szCs w:val="24"/>
                <w:lang w:val="vi-VN"/>
              </w:rPr>
              <w:t>- Ghi cụm từ “Chỉ dùng trong nuôi trồng thủy sản”;</w:t>
            </w:r>
          </w:p>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Thời gian ngừng sử dụng trước khi thu hoạch: ghi cụ thể số ngày ngừng sử dụng trước khi thu hoạch để đảm bảo quy định về an toàn thực phẩm đối với thủy sản nuôi.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 vắc xin, chế phẩm sinh học dùng trong thuốc thú y</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thú y.</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Tác dụng chính, tác dụng phụ, số đăng ký, số lô sản xuất và cụm từ “Chỉ dùng cho thú y”.</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thuốc độc bảng A.</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cụm từ (chữ màu đen): “Không dùng quá liều quy định”.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thuốc độc bảng B.</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cụm từ (chữ màu đỏ): “Không dùng quá liều quy định”.</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thuốc dùng ngoài da.</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cụm từ: “Chỉ được dùng ngoài da”.</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bảo vệ thực vật</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Thuốc bảo vệ thực vật.</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Số đăng ký sử dụng, số KCS, thông tin về độc tố, cảnh báo và chỉ dẫn cách phòng nhiễm độc, chỉ dẫn cấp cứu khi ngộ độc.</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Giống vật nuôi; giống thủy sản</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Giống thủy sinh.</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Chiều dài, đường kính thân chính, giai đoạn phát triển.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Giống vật nuôi.</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Cấp giống, chỉ tiêu năng suất, đặc trưng cho giống.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gia cầm hư</w:t>
            </w:r>
            <w:r>
              <w:rPr>
                <w:color w:val="000000"/>
                <w:sz w:val="24"/>
                <w:szCs w:val="24"/>
              </w:rPr>
              <w:t>ớ</w:t>
            </w:r>
            <w:r>
              <w:rPr>
                <w:color w:val="000000"/>
                <w:sz w:val="24"/>
                <w:szCs w:val="24"/>
                <w:lang w:val="vi-VN"/>
              </w:rPr>
              <w:t>ng trứng.</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năng suất trứng/năm.</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gia cầm hướng thịt.</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khối lượng đạt được/đơn vị thời gian.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giống lợn thịt.</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khả năng tăng trọng, mức độ tiêu tốn thức ăn, độ dầy mỡ lưng.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lợn nái.</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số con đẻ ra/lứa, số lứa/năm.</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Giống động vật thủy sản:</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sz w:val="24"/>
                <w:szCs w:val="24"/>
                <w:lang w:val="vi-VN"/>
              </w:rPr>
              <w:t> </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Giống thủy sản để nuôi thương phẩm;</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Số ngày tuổi, chiều dài con giống hoặc loại </w:t>
            </w:r>
            <w:r>
              <w:rPr>
                <w:color w:val="000000"/>
                <w:sz w:val="24"/>
                <w:szCs w:val="24"/>
              </w:rPr>
              <w:t xml:space="preserve">post </w:t>
            </w:r>
            <w:r>
              <w:rPr>
                <w:color w:val="000000"/>
                <w:sz w:val="24"/>
                <w:szCs w:val="24"/>
                <w:lang w:val="vi-VN"/>
              </w:rPr>
              <w:t>(áp dụng đối với tôm giống).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Trứng Artermia.</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Số lượng trứng/g, tỷ lệ nở con (%)</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Giống thủy sản bố mẹ.</w:t>
            </w:r>
          </w:p>
        </w:tc>
        <w:tc>
          <w:tcPr>
            <w:tcW w:w="2634"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Khối lượng, giai đoạn phát dục.</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Sản phẩm luyện kim</w:t>
            </w:r>
          </w:p>
        </w:tc>
        <w:tc>
          <w:tcPr>
            <w:tcW w:w="1612" w:type="pct"/>
            <w:tcBorders>
              <w:top w:val="nil"/>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Hợp kim.</w:t>
            </w:r>
          </w:p>
        </w:tc>
        <w:tc>
          <w:tcPr>
            <w:tcW w:w="2634" w:type="pct"/>
            <w:tcBorders>
              <w:top w:val="nil"/>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Chỉ tiêu đặc trưng để phân biệt, có tính chất quyết định tới mục đích sử dụng.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Dụng cụ đánh bắt thủy sản</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Lưới đánh bắt thủy sản.</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Màu sắc, độ thô (Tex), độ bền đứt khô (N), kích thước </w:t>
            </w:r>
            <w:r>
              <w:rPr>
                <w:color w:val="000000"/>
                <w:sz w:val="24"/>
                <w:szCs w:val="24"/>
              </w:rPr>
              <w:t xml:space="preserve">mắt </w:t>
            </w:r>
            <w:r>
              <w:rPr>
                <w:color w:val="000000"/>
                <w:sz w:val="24"/>
                <w:szCs w:val="24"/>
                <w:lang w:val="vi-VN"/>
              </w:rPr>
              <w:t>lưới.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Sợi và dây dùng đánh bắt thủy sản.</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Đường kính, độ thô (Tex), độ bền đứt khô (N), độ săn (vòng xoắn/m).</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vMerge w:val="restar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Hóa chất</w:t>
            </w: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Hóa chất.</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Chỉ tiêu chất lượng đặc trưng.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hóa chất dễ cháy, nổ, độc hại, ăn mòn.</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cảnh báo tương ứng.</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0" w:type="auto"/>
            <w:vMerge w:val="continue"/>
            <w:tcBorders>
              <w:top w:val="single" w:color="auto" w:sz="8" w:space="0"/>
              <w:left w:val="single" w:color="auto" w:sz="8" w:space="0"/>
              <w:bottom w:val="nil"/>
              <w:right w:val="nil"/>
            </w:tcBorders>
            <w:shd w:val="clear" w:color="auto" w:fill="auto"/>
            <w:noWrap w:val="0"/>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p>
        </w:tc>
        <w:tc>
          <w:tcPr>
            <w:tcW w:w="1612" w:type="pct"/>
            <w:tcBorders>
              <w:top w:val="single" w:color="auto" w:sz="8" w:space="0"/>
              <w:left w:val="single" w:color="auto" w:sz="8" w:space="0"/>
              <w:bottom w:val="nil"/>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xml:space="preserve">- </w:t>
            </w:r>
            <w:r>
              <w:rPr>
                <w:color w:val="000000"/>
                <w:sz w:val="24"/>
                <w:szCs w:val="24"/>
              </w:rPr>
              <w:t xml:space="preserve">Nếu </w:t>
            </w:r>
            <w:r>
              <w:rPr>
                <w:color w:val="000000"/>
                <w:sz w:val="24"/>
                <w:szCs w:val="24"/>
                <w:lang w:val="vi-VN"/>
              </w:rPr>
              <w:t>là hóa chất chứa trong bình chịu áp lực.</w:t>
            </w:r>
          </w:p>
        </w:tc>
        <w:tc>
          <w:tcPr>
            <w:tcW w:w="2634" w:type="pct"/>
            <w:tcBorders>
              <w:top w:val="single" w:color="auto" w:sz="8" w:space="0"/>
              <w:left w:val="single" w:color="auto" w:sz="8" w:space="0"/>
              <w:bottom w:val="nil"/>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 Ghi thêm số hiệu bình, dung lượng nạp, người nạp, cảnh báo nguy hại.</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c>
          <w:tcPr>
            <w:tcW w:w="754"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Vật liệu nổ công nghiệp</w:t>
            </w:r>
          </w:p>
        </w:tc>
        <w:tc>
          <w:tcPr>
            <w:tcW w:w="1612" w:type="pct"/>
            <w:tcBorders>
              <w:top w:val="single" w:color="auto" w:sz="8" w:space="0"/>
              <w:left w:val="single" w:color="auto" w:sz="8" w:space="0"/>
              <w:bottom w:val="single" w:color="auto" w:sz="8" w:space="0"/>
              <w:right w:val="nil"/>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Vật liệu nổ công nghiệp.</w:t>
            </w:r>
          </w:p>
        </w:tc>
        <w:tc>
          <w:tcPr>
            <w:tcW w:w="2634" w:type="pct"/>
            <w:tcBorders>
              <w:top w:val="single" w:color="auto" w:sz="8" w:space="0"/>
              <w:left w:val="single" w:color="auto" w:sz="8" w:space="0"/>
              <w:bottom w:val="single" w:color="auto" w:sz="8" w:space="0"/>
              <w:right w:val="single" w:color="auto" w:sz="8" w:space="0"/>
            </w:tcBorders>
            <w:shd w:val="solid" w:color="FFFFFF" w:fill="auto"/>
            <w:noWrap w:val="0"/>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before="120"/>
              <w:ind w:left="100" w:leftChars="50" w:right="100" w:rightChars="50"/>
              <w:jc w:val="both"/>
              <w:textAlignment w:val="auto"/>
              <w:rPr>
                <w:sz w:val="24"/>
                <w:szCs w:val="24"/>
              </w:rPr>
            </w:pPr>
            <w:r>
              <w:rPr>
                <w:color w:val="000000"/>
                <w:sz w:val="24"/>
                <w:szCs w:val="24"/>
                <w:lang w:val="vi-VN"/>
              </w:rPr>
              <w:t>Các chỉ tiêu chất lượng chính và khả năng sử dụng trong hoạt động công nghiệp.</w:t>
            </w:r>
          </w:p>
        </w:tc>
      </w:tr>
    </w:tbl>
    <w:p>
      <w:pPr>
        <w:keepNext w:val="0"/>
        <w:keepLines w:val="0"/>
        <w:pageBreakBefore w:val="0"/>
        <w:widowControl/>
        <w:kinsoku/>
        <w:wordWrap/>
        <w:overflowPunct/>
        <w:topLinePunct w:val="0"/>
        <w:autoSpaceDE/>
        <w:autoSpaceDN/>
        <w:bidi w:val="0"/>
        <w:adjustRightInd/>
        <w:snapToGrid/>
        <w:ind w:left="100" w:leftChars="50" w:right="100" w:rightChars="50"/>
        <w:jc w:val="both"/>
        <w:textAlignment w:val="auto"/>
        <w:rPr>
          <w:rFonts w:hint="default"/>
          <w:sz w:val="28"/>
          <w:szCs w:val="28"/>
          <w:lang w:val="en-US"/>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pgBorders>
        <w:top w:val="none" w:sz="0" w:space="0"/>
        <w:left w:val="none" w:sz="0" w:space="0"/>
        <w:bottom w:val="none" w:sz="0" w:space="0"/>
        <w:right w:val="none" w:sz="0" w:space="0"/>
      </w:pgBorder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108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56108"/>
    <w:multiLevelType w:val="singleLevel"/>
    <w:tmpl w:val="9965610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hyphenationZone w:val="36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CA"/>
    <w:rsid w:val="00011658"/>
    <w:rsid w:val="000429AA"/>
    <w:rsid w:val="0005540F"/>
    <w:rsid w:val="000575A4"/>
    <w:rsid w:val="000637E9"/>
    <w:rsid w:val="00096439"/>
    <w:rsid w:val="000A7DF3"/>
    <w:rsid w:val="000E35E5"/>
    <w:rsid w:val="000E6264"/>
    <w:rsid w:val="000F54C7"/>
    <w:rsid w:val="000F6D77"/>
    <w:rsid w:val="00100D91"/>
    <w:rsid w:val="00113405"/>
    <w:rsid w:val="0012029B"/>
    <w:rsid w:val="001216F5"/>
    <w:rsid w:val="0012211E"/>
    <w:rsid w:val="00130430"/>
    <w:rsid w:val="0013250E"/>
    <w:rsid w:val="00162045"/>
    <w:rsid w:val="00170FCA"/>
    <w:rsid w:val="001726BB"/>
    <w:rsid w:val="00174EAA"/>
    <w:rsid w:val="00175389"/>
    <w:rsid w:val="001A2C37"/>
    <w:rsid w:val="001A5F15"/>
    <w:rsid w:val="001A7DDF"/>
    <w:rsid w:val="001B26EB"/>
    <w:rsid w:val="001C6C7C"/>
    <w:rsid w:val="001D6089"/>
    <w:rsid w:val="001F3F99"/>
    <w:rsid w:val="00237911"/>
    <w:rsid w:val="00250BAE"/>
    <w:rsid w:val="002560C1"/>
    <w:rsid w:val="00284F05"/>
    <w:rsid w:val="00285CF9"/>
    <w:rsid w:val="00297BC1"/>
    <w:rsid w:val="002B4689"/>
    <w:rsid w:val="002D34A1"/>
    <w:rsid w:val="002E14A4"/>
    <w:rsid w:val="002E6785"/>
    <w:rsid w:val="002E7497"/>
    <w:rsid w:val="002F01C9"/>
    <w:rsid w:val="003040BF"/>
    <w:rsid w:val="00314E86"/>
    <w:rsid w:val="00317374"/>
    <w:rsid w:val="00317D51"/>
    <w:rsid w:val="0034030A"/>
    <w:rsid w:val="003412E4"/>
    <w:rsid w:val="00367893"/>
    <w:rsid w:val="003C3D3D"/>
    <w:rsid w:val="0043378E"/>
    <w:rsid w:val="004412BC"/>
    <w:rsid w:val="00444317"/>
    <w:rsid w:val="00466750"/>
    <w:rsid w:val="00474083"/>
    <w:rsid w:val="004823F4"/>
    <w:rsid w:val="004951F9"/>
    <w:rsid w:val="004A5459"/>
    <w:rsid w:val="004B6C7A"/>
    <w:rsid w:val="004C2580"/>
    <w:rsid w:val="004C2B02"/>
    <w:rsid w:val="004C3384"/>
    <w:rsid w:val="004F41EE"/>
    <w:rsid w:val="00513280"/>
    <w:rsid w:val="00521098"/>
    <w:rsid w:val="00554F5D"/>
    <w:rsid w:val="00581190"/>
    <w:rsid w:val="00582FDD"/>
    <w:rsid w:val="005877D3"/>
    <w:rsid w:val="005C47AA"/>
    <w:rsid w:val="005C651A"/>
    <w:rsid w:val="005D1707"/>
    <w:rsid w:val="005F5139"/>
    <w:rsid w:val="00614359"/>
    <w:rsid w:val="006175C6"/>
    <w:rsid w:val="006252B3"/>
    <w:rsid w:val="00640082"/>
    <w:rsid w:val="00646B93"/>
    <w:rsid w:val="00650E77"/>
    <w:rsid w:val="00661399"/>
    <w:rsid w:val="006707B5"/>
    <w:rsid w:val="00685A38"/>
    <w:rsid w:val="006C0455"/>
    <w:rsid w:val="006C1946"/>
    <w:rsid w:val="006F232C"/>
    <w:rsid w:val="006F7F31"/>
    <w:rsid w:val="00701103"/>
    <w:rsid w:val="00751972"/>
    <w:rsid w:val="0075480F"/>
    <w:rsid w:val="0075660F"/>
    <w:rsid w:val="00765C63"/>
    <w:rsid w:val="00770D9E"/>
    <w:rsid w:val="00793AEC"/>
    <w:rsid w:val="007C229C"/>
    <w:rsid w:val="007C76B7"/>
    <w:rsid w:val="007E1C0C"/>
    <w:rsid w:val="007F3413"/>
    <w:rsid w:val="00801FDD"/>
    <w:rsid w:val="008024AF"/>
    <w:rsid w:val="00810DD8"/>
    <w:rsid w:val="00836CC9"/>
    <w:rsid w:val="00837A33"/>
    <w:rsid w:val="00841E6A"/>
    <w:rsid w:val="00884A28"/>
    <w:rsid w:val="008A0186"/>
    <w:rsid w:val="008B3701"/>
    <w:rsid w:val="008B4CBA"/>
    <w:rsid w:val="008F6F67"/>
    <w:rsid w:val="009017B3"/>
    <w:rsid w:val="00931A0F"/>
    <w:rsid w:val="0094666B"/>
    <w:rsid w:val="009800B4"/>
    <w:rsid w:val="009A20B3"/>
    <w:rsid w:val="009A2281"/>
    <w:rsid w:val="00A00EC9"/>
    <w:rsid w:val="00A014A7"/>
    <w:rsid w:val="00A118B1"/>
    <w:rsid w:val="00A3346D"/>
    <w:rsid w:val="00A424CE"/>
    <w:rsid w:val="00A50FC2"/>
    <w:rsid w:val="00A65BB8"/>
    <w:rsid w:val="00A92015"/>
    <w:rsid w:val="00AA21A6"/>
    <w:rsid w:val="00AB0286"/>
    <w:rsid w:val="00AB079C"/>
    <w:rsid w:val="00AB236F"/>
    <w:rsid w:val="00AB57B3"/>
    <w:rsid w:val="00AC273A"/>
    <w:rsid w:val="00AC640E"/>
    <w:rsid w:val="00AF6CB4"/>
    <w:rsid w:val="00B024A1"/>
    <w:rsid w:val="00B224C3"/>
    <w:rsid w:val="00B30D80"/>
    <w:rsid w:val="00B47AFE"/>
    <w:rsid w:val="00B50D9E"/>
    <w:rsid w:val="00B55B55"/>
    <w:rsid w:val="00B57549"/>
    <w:rsid w:val="00B656C0"/>
    <w:rsid w:val="00B72090"/>
    <w:rsid w:val="00B7607D"/>
    <w:rsid w:val="00B776A4"/>
    <w:rsid w:val="00B8308E"/>
    <w:rsid w:val="00B97E27"/>
    <w:rsid w:val="00BA024F"/>
    <w:rsid w:val="00BE4031"/>
    <w:rsid w:val="00BF2289"/>
    <w:rsid w:val="00C27C79"/>
    <w:rsid w:val="00C339E4"/>
    <w:rsid w:val="00C60FB8"/>
    <w:rsid w:val="00C6529F"/>
    <w:rsid w:val="00C86301"/>
    <w:rsid w:val="00C86E52"/>
    <w:rsid w:val="00C931B6"/>
    <w:rsid w:val="00CB05D8"/>
    <w:rsid w:val="00CB3FCE"/>
    <w:rsid w:val="00D377FD"/>
    <w:rsid w:val="00D5511D"/>
    <w:rsid w:val="00D5638A"/>
    <w:rsid w:val="00D63D0C"/>
    <w:rsid w:val="00D642F9"/>
    <w:rsid w:val="00D718B7"/>
    <w:rsid w:val="00D84885"/>
    <w:rsid w:val="00DA74F4"/>
    <w:rsid w:val="00DB223E"/>
    <w:rsid w:val="00DE6B84"/>
    <w:rsid w:val="00DF45AA"/>
    <w:rsid w:val="00DF4B0C"/>
    <w:rsid w:val="00E02848"/>
    <w:rsid w:val="00E1615A"/>
    <w:rsid w:val="00E25B93"/>
    <w:rsid w:val="00E367B8"/>
    <w:rsid w:val="00E44284"/>
    <w:rsid w:val="00E52D3D"/>
    <w:rsid w:val="00E60C42"/>
    <w:rsid w:val="00E65F99"/>
    <w:rsid w:val="00E73D6D"/>
    <w:rsid w:val="00E863C7"/>
    <w:rsid w:val="00EA3D96"/>
    <w:rsid w:val="00EA7603"/>
    <w:rsid w:val="00EB3585"/>
    <w:rsid w:val="00EC0B6A"/>
    <w:rsid w:val="00EF25CD"/>
    <w:rsid w:val="00F02A11"/>
    <w:rsid w:val="00F03474"/>
    <w:rsid w:val="00F11CEB"/>
    <w:rsid w:val="00F57303"/>
    <w:rsid w:val="00F61FDE"/>
    <w:rsid w:val="00F652AA"/>
    <w:rsid w:val="00F6657A"/>
    <w:rsid w:val="00F86813"/>
    <w:rsid w:val="00F869C2"/>
    <w:rsid w:val="00F90C44"/>
    <w:rsid w:val="00F923FE"/>
    <w:rsid w:val="00F92BDF"/>
    <w:rsid w:val="00F93FBF"/>
    <w:rsid w:val="00FC378A"/>
    <w:rsid w:val="00FF470A"/>
    <w:rsid w:val="02671A0C"/>
    <w:rsid w:val="15182122"/>
    <w:rsid w:val="4AFF3EEE"/>
    <w:rsid w:val="70D13550"/>
    <w:rsid w:val="73C00E98"/>
    <w:rsid w:val="77D86DE0"/>
    <w:rsid w:val="78D16A4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sz w:val="16"/>
      <w:szCs w:val="16"/>
    </w:rPr>
  </w:style>
  <w:style w:type="paragraph" w:styleId="5">
    <w:name w:val="Body Text Indent"/>
    <w:basedOn w:val="1"/>
    <w:link w:val="21"/>
    <w:unhideWhenUsed/>
    <w:uiPriority w:val="99"/>
    <w:pPr>
      <w:spacing w:before="120" w:after="240" w:line="288" w:lineRule="auto"/>
      <w:ind w:firstLine="425"/>
      <w:jc w:val="both"/>
    </w:pPr>
    <w:rPr>
      <w:rFonts w:eastAsia="Times New Roman"/>
      <w:color w:val="000000"/>
      <w:sz w:val="28"/>
      <w:szCs w:val="28"/>
      <w:lang w:val="nl-NL"/>
    </w:rPr>
  </w:style>
  <w:style w:type="character" w:styleId="6">
    <w:name w:val="annotation reference"/>
    <w:semiHidden/>
    <w:unhideWhenUsed/>
    <w:qFormat/>
    <w:uiPriority w:val="99"/>
    <w:rPr>
      <w:sz w:val="16"/>
      <w:szCs w:val="16"/>
    </w:rPr>
  </w:style>
  <w:style w:type="paragraph" w:styleId="7">
    <w:name w:val="annotation text"/>
    <w:basedOn w:val="1"/>
    <w:link w:val="23"/>
    <w:unhideWhenUsed/>
    <w:uiPriority w:val="99"/>
  </w:style>
  <w:style w:type="paragraph" w:styleId="8">
    <w:name w:val="annotation subject"/>
    <w:basedOn w:val="7"/>
    <w:next w:val="7"/>
    <w:link w:val="24"/>
    <w:semiHidden/>
    <w:unhideWhenUsed/>
    <w:qFormat/>
    <w:uiPriority w:val="99"/>
    <w:rPr>
      <w:b/>
      <w:bCs/>
    </w:rPr>
  </w:style>
  <w:style w:type="paragraph" w:styleId="9">
    <w:name w:val="footer"/>
    <w:basedOn w:val="1"/>
    <w:link w:val="20"/>
    <w:unhideWhenUsed/>
    <w:uiPriority w:val="99"/>
    <w:pPr>
      <w:tabs>
        <w:tab w:val="center" w:pos="4680"/>
        <w:tab w:val="right" w:pos="9360"/>
      </w:tabs>
    </w:pPr>
  </w:style>
  <w:style w:type="paragraph" w:styleId="10">
    <w:name w:val="header"/>
    <w:basedOn w:val="1"/>
    <w:link w:val="19"/>
    <w:unhideWhenUsed/>
    <w:uiPriority w:val="99"/>
    <w:pPr>
      <w:tabs>
        <w:tab w:val="center" w:pos="4680"/>
        <w:tab w:val="right" w:pos="9360"/>
      </w:tabs>
    </w:pPr>
  </w:style>
  <w:style w:type="character" w:styleId="11">
    <w:name w:val="Hyperlink"/>
    <w:semiHidden/>
    <w:unhideWhenUsed/>
    <w:qFormat/>
    <w:uiPriority w:val="99"/>
    <w:rPr>
      <w:color w:val="0000FF"/>
      <w:u w:val="single"/>
    </w:rPr>
  </w:style>
  <w:style w:type="paragraph" w:styleId="12">
    <w:name w:val="Normal (Web)"/>
    <w:basedOn w:val="1"/>
    <w:semiHidden/>
    <w:unhideWhenUsed/>
    <w:uiPriority w:val="99"/>
    <w:pPr>
      <w:spacing w:before="100" w:beforeAutospacing="1" w:after="100" w:afterAutospacing="1"/>
    </w:pPr>
    <w:rPr>
      <w:rFonts w:eastAsia="Times New Roman"/>
      <w:sz w:val="24"/>
      <w:szCs w:val="24"/>
    </w:rPr>
  </w:style>
  <w:style w:type="table" w:styleId="13">
    <w:name w:val="Table Grid"/>
    <w:basedOn w:val="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
    <w:name w:val="Balloon Text Char"/>
    <w:link w:val="4"/>
    <w:semiHidden/>
    <w:uiPriority w:val="99"/>
    <w:rPr>
      <w:rFonts w:ascii="Tahoma" w:hAnsi="Tahoma" w:cs="Tahoma"/>
      <w:sz w:val="16"/>
      <w:szCs w:val="16"/>
    </w:rPr>
  </w:style>
  <w:style w:type="paragraph" w:customStyle="1" w:styleId="15">
    <w:name w:val="normal-p"/>
    <w:basedOn w:val="1"/>
    <w:uiPriority w:val="0"/>
    <w:rPr>
      <w:rFonts w:eastAsia="Times New Roman"/>
    </w:rPr>
  </w:style>
  <w:style w:type="paragraph" w:customStyle="1" w:styleId="16">
    <w:name w:val="title-p"/>
    <w:basedOn w:val="1"/>
    <w:uiPriority w:val="0"/>
    <w:pPr>
      <w:jc w:val="center"/>
    </w:pPr>
    <w:rPr>
      <w:rFonts w:eastAsia="Times New Roman"/>
    </w:rPr>
  </w:style>
  <w:style w:type="character" w:customStyle="1" w:styleId="17">
    <w:name w:val="title-h1"/>
    <w:qFormat/>
    <w:uiPriority w:val="0"/>
    <w:rPr>
      <w:rFonts w:hint="default" w:ascii="Times New Roman" w:hAnsi="Times New Roman" w:cs="Times New Roman"/>
      <w:b/>
      <w:bCs/>
      <w:sz w:val="32"/>
      <w:szCs w:val="32"/>
    </w:rPr>
  </w:style>
  <w:style w:type="character" w:customStyle="1" w:styleId="18">
    <w:name w:val="normal-h1"/>
    <w:uiPriority w:val="0"/>
    <w:rPr>
      <w:rFonts w:hint="default" w:ascii=".VnTime" w:hAnsi=".VnTime"/>
      <w:sz w:val="28"/>
      <w:szCs w:val="28"/>
    </w:rPr>
  </w:style>
  <w:style w:type="character" w:customStyle="1" w:styleId="19">
    <w:name w:val="Header Char"/>
    <w:basedOn w:val="2"/>
    <w:link w:val="10"/>
    <w:uiPriority w:val="99"/>
  </w:style>
  <w:style w:type="character" w:customStyle="1" w:styleId="20">
    <w:name w:val="Footer Char"/>
    <w:basedOn w:val="2"/>
    <w:link w:val="9"/>
    <w:qFormat/>
    <w:uiPriority w:val="99"/>
  </w:style>
  <w:style w:type="character" w:customStyle="1" w:styleId="21">
    <w:name w:val="Body Text Indent Char"/>
    <w:link w:val="5"/>
    <w:uiPriority w:val="99"/>
    <w:rPr>
      <w:rFonts w:eastAsia="Times New Roman"/>
      <w:color w:val="000000"/>
      <w:sz w:val="28"/>
      <w:szCs w:val="28"/>
      <w:lang w:val="nl-NL"/>
    </w:rPr>
  </w:style>
  <w:style w:type="paragraph" w:customStyle="1" w:styleId="22">
    <w:name w:val="_Style 21"/>
    <w:hidden/>
    <w:uiPriority w:val="71"/>
    <w:rPr>
      <w:rFonts w:ascii="Times New Roman" w:hAnsi="Times New Roman" w:eastAsia="SimSun" w:cs="Times New Roman"/>
      <w:lang w:val="en-US" w:eastAsia="en-US" w:bidi="ar-SA"/>
    </w:rPr>
  </w:style>
  <w:style w:type="character" w:customStyle="1" w:styleId="23">
    <w:name w:val="Comment Text Char"/>
    <w:basedOn w:val="2"/>
    <w:link w:val="7"/>
    <w:qFormat/>
    <w:uiPriority w:val="99"/>
  </w:style>
  <w:style w:type="character" w:customStyle="1" w:styleId="24">
    <w:name w:val="Comment Subject Char"/>
    <w:link w:val="8"/>
    <w:semiHidden/>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2.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customXml" Target="../customXml/item1.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header" Target="header3.xml"/><Relationship Id="rId10" Type="http://schemas.openxmlformats.org/officeDocument/2006/relationships/numbering" Target="numbering.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D877DB-C8FA-4CE4-8FA4-1B6C560E7849}"/>
</file>

<file path=customXml/itemProps2.xml><?xml version="1.0" encoding="utf-8"?>
<ds:datastoreItem xmlns:ds="http://schemas.openxmlformats.org/officeDocument/2006/customXml" ds:itemID="{F8451326-F894-4F85-84C5-46AEA0000ACA}"/>
</file>

<file path=customXml/itemProps3.xml><?xml version="1.0" encoding="utf-8"?>
<ds:datastoreItem xmlns:ds="http://schemas.openxmlformats.org/officeDocument/2006/customXml" ds:itemID="{10C4B915-D953-4E06-B352-59ACA04CCC7E}"/>
</file>

<file path=docProps/app.xml><?xml version="1.0" encoding="utf-8"?>
<Properties xmlns="http://schemas.openxmlformats.org/officeDocument/2006/extended-properties" xmlns:vt="http://schemas.openxmlformats.org/officeDocument/2006/docPropsVTypes">
  <Pages>2</Pages>
  <Words>486</Words>
  <Characters>2773</Characters>
  <Lines>23</Lines>
  <Paragraphs>6</Paragraphs>
  <TotalTime>5</TotalTime>
  <ScaleCrop>false</ScaleCrop>
  <LinksUpToDate>false</LinksUpToDate>
  <CharactersWithSpaces>3253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Linh</dc:creator>
  <cp:lastModifiedBy>Đặng Linh</cp:lastModifiedBy>
  <cp:revision>1</cp:revision>
  <cp:lastPrinted>2023-04-24T08:02:00Z</cp:lastPrinted>
  <dcterms:created xsi:type="dcterms:W3CDTF">2023-04-24T06:12:00Z</dcterms:created>
  <dcterms:modified xsi:type="dcterms:W3CDTF">2023-05-10T10:22:45Z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43704B19E4354C818F1E33B1C1721747</vt:lpwstr>
  </property>
</Properties>
</file>