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0CEE" w:rsidRPr="00690CEE" w:rsidRDefault="00690CEE" w:rsidP="00690CEE">
      <w:pPr>
        <w:tabs>
          <w:tab w:val="right" w:pos="8931"/>
        </w:tabs>
        <w:spacing w:after="0" w:line="240" w:lineRule="auto"/>
        <w:rPr>
          <w:rFonts w:ascii="Times New Roman" w:eastAsia="Times New Roman" w:hAnsi="Times New Roman" w:cs="Times New Roman"/>
          <w:b/>
          <w:sz w:val="24"/>
          <w:szCs w:val="24"/>
        </w:rPr>
      </w:pPr>
      <w:r w:rsidRPr="00690CEE">
        <w:rPr>
          <w:rFonts w:ascii="Times New Roman" w:eastAsia="Times New Roman" w:hAnsi="Times New Roman" w:cs="Times New Roman"/>
          <w:b/>
          <w:sz w:val="26"/>
          <w:szCs w:val="26"/>
        </w:rPr>
        <w:t>NGÂN HÀNG NHÀ NƯỚC</w:t>
      </w:r>
      <w:r w:rsidRPr="00690CEE">
        <w:rPr>
          <w:rFonts w:ascii="Times New Roman" w:eastAsia="Times New Roman" w:hAnsi="Times New Roman" w:cs="Times New Roman"/>
          <w:b/>
          <w:sz w:val="24"/>
          <w:szCs w:val="24"/>
        </w:rPr>
        <w:tab/>
        <w:t xml:space="preserve">   </w:t>
      </w:r>
      <w:r w:rsidRPr="00690CEE">
        <w:rPr>
          <w:rFonts w:ascii="Times New Roman" w:eastAsia="Times New Roman" w:hAnsi="Times New Roman" w:cs="Times New Roman"/>
          <w:b/>
          <w:sz w:val="26"/>
          <w:szCs w:val="26"/>
        </w:rPr>
        <w:t>CỘNG HOÀ XÃ HỘI CHỦ NGHĨA VIỆT NAM</w:t>
      </w:r>
    </w:p>
    <w:p w:rsidR="00690CEE" w:rsidRPr="00690CEE" w:rsidRDefault="00690CEE" w:rsidP="00690CEE">
      <w:pPr>
        <w:spacing w:after="0" w:line="240" w:lineRule="auto"/>
        <w:ind w:left="720"/>
        <w:jc w:val="both"/>
        <w:rPr>
          <w:rFonts w:ascii="Times New Roman" w:eastAsia="Times New Roman" w:hAnsi="Times New Roman" w:cs="Times New Roman"/>
          <w:b/>
          <w:sz w:val="28"/>
          <w:szCs w:val="28"/>
        </w:rPr>
      </w:pPr>
      <w:r w:rsidRPr="00690CEE">
        <w:rPr>
          <w:rFonts w:ascii="Times New Roman" w:eastAsia="Times New Roman" w:hAnsi="Times New Roman" w:cs="Times New Roman"/>
          <w:b/>
          <w:sz w:val="26"/>
          <w:szCs w:val="26"/>
        </w:rPr>
        <w:t>VIỆT NAM</w:t>
      </w:r>
      <w:r w:rsidRPr="00690CEE">
        <w:rPr>
          <w:rFonts w:ascii="Times New Roman" w:eastAsia="Times New Roman" w:hAnsi="Times New Roman" w:cs="Times New Roman"/>
          <w:b/>
          <w:sz w:val="28"/>
          <w:szCs w:val="28"/>
        </w:rPr>
        <w:t xml:space="preserve"> </w:t>
      </w:r>
      <w:r w:rsidRPr="00690CEE">
        <w:rPr>
          <w:rFonts w:ascii="Times New Roman" w:eastAsia="Times New Roman" w:hAnsi="Times New Roman" w:cs="Times New Roman"/>
          <w:sz w:val="28"/>
          <w:szCs w:val="28"/>
        </w:rPr>
        <w:tab/>
      </w:r>
      <w:r w:rsidRPr="00690CEE">
        <w:rPr>
          <w:rFonts w:ascii="Times New Roman" w:eastAsia="Times New Roman" w:hAnsi="Times New Roman" w:cs="Times New Roman"/>
          <w:sz w:val="28"/>
          <w:szCs w:val="28"/>
        </w:rPr>
        <w:tab/>
      </w:r>
      <w:r w:rsidRPr="00690CEE">
        <w:rPr>
          <w:rFonts w:ascii="Times New Roman" w:eastAsia="Times New Roman" w:hAnsi="Times New Roman" w:cs="Times New Roman"/>
          <w:sz w:val="28"/>
          <w:szCs w:val="28"/>
        </w:rPr>
        <w:tab/>
      </w:r>
      <w:r w:rsidRPr="00690CEE">
        <w:rPr>
          <w:rFonts w:ascii="Times New Roman" w:eastAsia="Times New Roman" w:hAnsi="Times New Roman" w:cs="Times New Roman"/>
          <w:sz w:val="28"/>
          <w:szCs w:val="28"/>
        </w:rPr>
        <w:tab/>
        <w:t xml:space="preserve">    </w:t>
      </w:r>
      <w:r w:rsidRPr="00690CEE">
        <w:rPr>
          <w:rFonts w:ascii="Times New Roman" w:eastAsia="Times New Roman" w:hAnsi="Times New Roman" w:cs="Times New Roman"/>
          <w:b/>
          <w:sz w:val="28"/>
          <w:szCs w:val="28"/>
        </w:rPr>
        <w:t>Độc lập - Tự do - Hạnh phúc</w:t>
      </w:r>
    </w:p>
    <w:p w:rsidR="00690CEE" w:rsidRPr="00690CEE" w:rsidRDefault="00690CEE" w:rsidP="00690CEE">
      <w:pPr>
        <w:spacing w:after="0" w:line="0" w:lineRule="atLeast"/>
        <w:jc w:val="both"/>
        <w:rPr>
          <w:rFonts w:ascii="Times New Roman" w:eastAsia="Times New Roman" w:hAnsi="Times New Roman" w:cs="Times New Roman"/>
          <w:sz w:val="28"/>
          <w:szCs w:val="28"/>
        </w:rPr>
      </w:pPr>
      <w:r w:rsidRPr="00690CEE">
        <w:rPr>
          <w:rFonts w:ascii="Times New Roman" w:eastAsia="Times New Roman" w:hAnsi="Times New Roman" w:cs="Times New Roman"/>
          <w:noProof/>
          <w:sz w:val="24"/>
          <w:szCs w:val="24"/>
        </w:rPr>
        <mc:AlternateContent>
          <mc:Choice Requires="wps">
            <w:drawing>
              <wp:anchor distT="4294967295" distB="4294967295" distL="114300" distR="114300" simplePos="0" relativeHeight="251661312" behindDoc="0" locked="0" layoutInCell="1" allowOverlap="1">
                <wp:simplePos x="0" y="0"/>
                <wp:positionH relativeFrom="column">
                  <wp:posOffset>2959100</wp:posOffset>
                </wp:positionH>
                <wp:positionV relativeFrom="paragraph">
                  <wp:posOffset>19049</wp:posOffset>
                </wp:positionV>
                <wp:extent cx="2091055" cy="0"/>
                <wp:effectExtent l="0" t="0" r="2349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10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DDF027" id="Straight Connector 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3pt,1.5pt" to="397.6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iwVHQIAADY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"/>
            </w:pict>
          </mc:Fallback>
        </mc:AlternateContent>
      </w:r>
      <w:r w:rsidRPr="00690CEE">
        <w:rPr>
          <w:rFonts w:ascii="Times New Roman" w:eastAsia="Times New Roman" w:hAnsi="Times New Roman" w:cs="Times New Roman"/>
          <w:noProof/>
          <w:sz w:val="24"/>
          <w:szCs w:val="24"/>
        </w:rPr>
        <mc:AlternateContent>
          <mc:Choice Requires="wps">
            <w:drawing>
              <wp:anchor distT="4294967295" distB="4294967295" distL="114300" distR="114300" simplePos="0" relativeHeight="251659264" behindDoc="0" locked="0" layoutInCell="1" allowOverlap="1">
                <wp:simplePos x="0" y="0"/>
                <wp:positionH relativeFrom="column">
                  <wp:posOffset>622300</wp:posOffset>
                </wp:positionH>
                <wp:positionV relativeFrom="paragraph">
                  <wp:posOffset>8889</wp:posOffset>
                </wp:positionV>
                <wp:extent cx="5715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F5CA03"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pt,.7pt" to="94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"/>
            </w:pict>
          </mc:Fallback>
        </mc:AlternateContent>
      </w:r>
      <w:r w:rsidRPr="00690CEE">
        <w:rPr>
          <w:rFonts w:ascii="Times New Roman" w:eastAsia="Times New Roman" w:hAnsi="Times New Roman" w:cs="Times New Roman"/>
          <w:sz w:val="28"/>
          <w:szCs w:val="28"/>
        </w:rPr>
        <w:tab/>
      </w:r>
    </w:p>
    <w:p w:rsidR="00690CEE" w:rsidRPr="00690CEE" w:rsidRDefault="00690CEE" w:rsidP="00690CEE">
      <w:pPr>
        <w:spacing w:after="0" w:line="0" w:lineRule="atLeast"/>
        <w:jc w:val="both"/>
        <w:rPr>
          <w:rFonts w:ascii="Times New Roman" w:eastAsia="Times New Roman" w:hAnsi="Times New Roman" w:cs="Times New Roman"/>
          <w:sz w:val="28"/>
          <w:szCs w:val="28"/>
        </w:rPr>
      </w:pPr>
      <w:r>
        <w:rPr>
          <w:rFonts w:ascii="Times New Roman" w:eastAsia="Times New Roman" w:hAnsi="Times New Roman" w:cs="Times New Roman"/>
          <w:sz w:val="26"/>
          <w:szCs w:val="26"/>
        </w:rPr>
        <w:t xml:space="preserve">     Số: 27</w:t>
      </w:r>
      <w:r w:rsidRPr="00690CEE">
        <w:rPr>
          <w:rFonts w:ascii="Times New Roman" w:eastAsia="Times New Roman" w:hAnsi="Times New Roman" w:cs="Times New Roman"/>
          <w:sz w:val="26"/>
          <w:szCs w:val="26"/>
        </w:rPr>
        <w:t>/2018/TT-NHNN</w:t>
      </w:r>
      <w:r w:rsidRPr="00690CEE">
        <w:rPr>
          <w:rFonts w:ascii="Times New Roman" w:eastAsia="Times New Roman" w:hAnsi="Times New Roman" w:cs="Times New Roman"/>
          <w:sz w:val="28"/>
          <w:szCs w:val="28"/>
        </w:rPr>
        <w:tab/>
      </w:r>
      <w:r w:rsidRPr="00690CEE">
        <w:rPr>
          <w:rFonts w:ascii="Times New Roman" w:eastAsia="Times New Roman" w:hAnsi="Times New Roman" w:cs="Times New Roman"/>
          <w:sz w:val="28"/>
          <w:szCs w:val="28"/>
        </w:rPr>
        <w:tab/>
        <w:t xml:space="preserve">         </w:t>
      </w:r>
      <w:r w:rsidRPr="00690CEE">
        <w:rPr>
          <w:rFonts w:ascii="Times New Roman" w:eastAsia="Times New Roman" w:hAnsi="Times New Roman" w:cs="Times New Roman"/>
          <w:sz w:val="28"/>
          <w:szCs w:val="28"/>
        </w:rPr>
        <w:tab/>
        <w:t xml:space="preserve">       </w:t>
      </w:r>
      <w:r w:rsidRPr="00690CEE">
        <w:rPr>
          <w:rFonts w:ascii="Times New Roman" w:eastAsia="Times New Roman" w:hAnsi="Times New Roman" w:cs="Times New Roman"/>
          <w:i/>
          <w:sz w:val="28"/>
          <w:szCs w:val="28"/>
        </w:rPr>
        <w:t xml:space="preserve">Hà Nội, ngày  </w:t>
      </w:r>
      <w:r>
        <w:rPr>
          <w:rFonts w:ascii="Times New Roman" w:eastAsia="Times New Roman" w:hAnsi="Times New Roman" w:cs="Times New Roman"/>
          <w:i/>
          <w:sz w:val="28"/>
          <w:szCs w:val="28"/>
        </w:rPr>
        <w:t>22</w:t>
      </w:r>
      <w:r w:rsidRPr="00690CEE">
        <w:rPr>
          <w:rFonts w:ascii="Times New Roman" w:eastAsia="Times New Roman" w:hAnsi="Times New Roman" w:cs="Times New Roman"/>
          <w:i/>
          <w:sz w:val="28"/>
          <w:szCs w:val="28"/>
        </w:rPr>
        <w:t xml:space="preserve">  tháng  </w:t>
      </w:r>
      <w:r>
        <w:rPr>
          <w:rFonts w:ascii="Times New Roman" w:eastAsia="Times New Roman" w:hAnsi="Times New Roman" w:cs="Times New Roman"/>
          <w:i/>
          <w:sz w:val="28"/>
          <w:szCs w:val="28"/>
        </w:rPr>
        <w:t>11</w:t>
      </w:r>
      <w:r w:rsidRPr="00690CEE">
        <w:rPr>
          <w:rFonts w:ascii="Times New Roman" w:eastAsia="Times New Roman" w:hAnsi="Times New Roman" w:cs="Times New Roman"/>
          <w:i/>
          <w:sz w:val="28"/>
          <w:szCs w:val="28"/>
        </w:rPr>
        <w:t xml:space="preserve">  năm 2018</w:t>
      </w:r>
      <w:r w:rsidRPr="00690CEE">
        <w:rPr>
          <w:rFonts w:ascii="Times New Roman" w:eastAsia="Times New Roman" w:hAnsi="Times New Roman" w:cs="Times New Roman"/>
          <w:sz w:val="28"/>
          <w:szCs w:val="28"/>
        </w:rPr>
        <w:tab/>
      </w:r>
    </w:p>
    <w:p w:rsidR="00690CEE" w:rsidRPr="00690CEE" w:rsidRDefault="00690CEE" w:rsidP="00690CEE">
      <w:pPr>
        <w:spacing w:after="0" w:line="240" w:lineRule="auto"/>
        <w:jc w:val="center"/>
        <w:rPr>
          <w:rFonts w:ascii="Times New Roman" w:eastAsia="Times New Roman" w:hAnsi="Times New Roman" w:cs="Times New Roman"/>
          <w:b/>
          <w:sz w:val="28"/>
          <w:szCs w:val="28"/>
        </w:rPr>
      </w:pPr>
    </w:p>
    <w:p w:rsidR="00690CEE" w:rsidRPr="00690CEE" w:rsidRDefault="00690CEE" w:rsidP="00690CEE">
      <w:pPr>
        <w:spacing w:after="0" w:line="240" w:lineRule="auto"/>
        <w:jc w:val="center"/>
        <w:rPr>
          <w:rFonts w:ascii="Times New Roman" w:eastAsia="Times New Roman" w:hAnsi="Times New Roman" w:cs="Times New Roman"/>
          <w:b/>
          <w:sz w:val="28"/>
          <w:szCs w:val="28"/>
        </w:rPr>
      </w:pPr>
    </w:p>
    <w:p w:rsidR="00690CEE" w:rsidRPr="00690CEE" w:rsidRDefault="00690CEE" w:rsidP="00690CEE">
      <w:pPr>
        <w:spacing w:after="0" w:line="240" w:lineRule="auto"/>
        <w:jc w:val="center"/>
        <w:rPr>
          <w:rFonts w:ascii="Times New Roman" w:eastAsia="Times New Roman" w:hAnsi="Times New Roman" w:cs="Times New Roman"/>
          <w:b/>
          <w:sz w:val="28"/>
          <w:szCs w:val="28"/>
        </w:rPr>
      </w:pPr>
    </w:p>
    <w:p w:rsidR="00690CEE" w:rsidRPr="00690CEE" w:rsidRDefault="00690CEE" w:rsidP="00690CEE">
      <w:pPr>
        <w:spacing w:after="0" w:line="240" w:lineRule="auto"/>
        <w:jc w:val="center"/>
        <w:rPr>
          <w:rFonts w:ascii="Times New Roman" w:eastAsia="Times New Roman" w:hAnsi="Times New Roman" w:cs="Times New Roman"/>
          <w:b/>
          <w:sz w:val="28"/>
          <w:szCs w:val="28"/>
        </w:rPr>
      </w:pPr>
      <w:r w:rsidRPr="00690CEE">
        <w:rPr>
          <w:rFonts w:ascii="Times New Roman" w:eastAsia="Times New Roman" w:hAnsi="Times New Roman" w:cs="Times New Roman"/>
          <w:b/>
          <w:sz w:val="28"/>
          <w:szCs w:val="28"/>
        </w:rPr>
        <w:t>THÔNG TƯ</w:t>
      </w:r>
    </w:p>
    <w:p w:rsidR="00690CEE" w:rsidRPr="00690CEE" w:rsidRDefault="00690CEE" w:rsidP="00690CEE">
      <w:pPr>
        <w:spacing w:after="0" w:line="240" w:lineRule="auto"/>
        <w:jc w:val="center"/>
        <w:rPr>
          <w:rFonts w:ascii="Times New Roman" w:eastAsia="Times New Roman" w:hAnsi="Times New Roman" w:cs="Times New Roman"/>
          <w:b/>
          <w:sz w:val="28"/>
          <w:szCs w:val="28"/>
        </w:rPr>
      </w:pPr>
      <w:r w:rsidRPr="00690CEE">
        <w:rPr>
          <w:rFonts w:ascii="Times New Roman" w:eastAsia="Times New Roman" w:hAnsi="Times New Roman" w:cs="Times New Roman"/>
          <w:b/>
          <w:sz w:val="28"/>
          <w:szCs w:val="28"/>
        </w:rPr>
        <w:t>Quy định các trường hợp phong tỏa, chấm dứt phong toả vốn và tài sản</w:t>
      </w:r>
    </w:p>
    <w:p w:rsidR="00690CEE" w:rsidRPr="00690CEE" w:rsidRDefault="00690CEE" w:rsidP="00690CEE">
      <w:pPr>
        <w:spacing w:after="0" w:line="240" w:lineRule="auto"/>
        <w:jc w:val="center"/>
        <w:rPr>
          <w:rFonts w:ascii="Times New Roman" w:eastAsia="Times New Roman" w:hAnsi="Times New Roman" w:cs="Times New Roman"/>
          <w:b/>
          <w:sz w:val="28"/>
          <w:szCs w:val="28"/>
        </w:rPr>
      </w:pPr>
      <w:r w:rsidRPr="00690CEE">
        <w:rPr>
          <w:rFonts w:ascii="Times New Roman" w:eastAsia="Times New Roman" w:hAnsi="Times New Roman" w:cs="Times New Roman"/>
          <w:b/>
          <w:sz w:val="28"/>
          <w:szCs w:val="28"/>
        </w:rPr>
        <w:t>của chi nhánh ngân hàng nước ngoài</w:t>
      </w:r>
    </w:p>
    <w:p w:rsidR="00690CEE" w:rsidRPr="00690CEE" w:rsidRDefault="00690CEE" w:rsidP="00690CEE">
      <w:pPr>
        <w:spacing w:after="0" w:line="240" w:lineRule="auto"/>
        <w:jc w:val="both"/>
        <w:rPr>
          <w:rFonts w:ascii="Times New Roman" w:eastAsia="Times New Roman" w:hAnsi="Times New Roman" w:cs="Times New Roman"/>
          <w:sz w:val="24"/>
          <w:szCs w:val="24"/>
        </w:rPr>
      </w:pPr>
      <w:bookmarkStart w:id="0" w:name="_GoBack"/>
      <w:bookmarkEnd w:id="0"/>
    </w:p>
    <w:p w:rsidR="00690CEE" w:rsidRPr="00690CEE" w:rsidRDefault="00690CEE" w:rsidP="00690CEE">
      <w:pPr>
        <w:spacing w:before="120" w:after="120" w:line="276" w:lineRule="auto"/>
        <w:ind w:firstLine="720"/>
        <w:jc w:val="both"/>
        <w:rPr>
          <w:rFonts w:ascii="Times New Roman" w:eastAsia="Times New Roman" w:hAnsi="Times New Roman" w:cs="Times New Roman"/>
          <w:i/>
          <w:sz w:val="28"/>
          <w:szCs w:val="24"/>
        </w:rPr>
      </w:pPr>
      <w:r w:rsidRPr="00690CEE">
        <w:rPr>
          <w:rFonts w:ascii="Times New Roman" w:eastAsia="Times New Roman" w:hAnsi="Times New Roman" w:cs="Times New Roman"/>
          <w:i/>
          <w:sz w:val="28"/>
          <w:szCs w:val="24"/>
        </w:rPr>
        <w:t>Căn cứ Luật Ngân hàng Nhà nước Việt Nam ngày 16 tháng 6 năm 2010;</w:t>
      </w:r>
    </w:p>
    <w:p w:rsidR="00690CEE" w:rsidRPr="00690CEE" w:rsidRDefault="00690CEE" w:rsidP="00690CEE">
      <w:pPr>
        <w:spacing w:before="120" w:after="120" w:line="276" w:lineRule="auto"/>
        <w:ind w:firstLine="720"/>
        <w:jc w:val="both"/>
        <w:rPr>
          <w:rFonts w:ascii="Times New Roman" w:eastAsia="Times New Roman" w:hAnsi="Times New Roman" w:cs="Times New Roman"/>
          <w:i/>
          <w:sz w:val="28"/>
          <w:szCs w:val="24"/>
        </w:rPr>
      </w:pPr>
      <w:r w:rsidRPr="00690CEE">
        <w:rPr>
          <w:rFonts w:ascii="Times New Roman" w:eastAsia="Times New Roman" w:hAnsi="Times New Roman" w:cs="Times New Roman"/>
          <w:i/>
          <w:sz w:val="28"/>
          <w:szCs w:val="24"/>
        </w:rPr>
        <w:t>Căn cứ Luật các tổ chức tín dụng ngày 16 tháng 6 năm 2010 và Luật sửa đổi, bổ sung một số điều của Luật các tổ chức tín dụng ngày 20 tháng 11 năm 2017;</w:t>
      </w:r>
    </w:p>
    <w:p w:rsidR="00690CEE" w:rsidRPr="00690CEE" w:rsidRDefault="00690CEE" w:rsidP="00690CEE">
      <w:pPr>
        <w:spacing w:before="120" w:after="120" w:line="276" w:lineRule="auto"/>
        <w:ind w:firstLine="720"/>
        <w:jc w:val="both"/>
        <w:rPr>
          <w:rFonts w:ascii="Times New Roman" w:eastAsia="Times New Roman" w:hAnsi="Times New Roman" w:cs="Times New Roman"/>
          <w:i/>
          <w:sz w:val="28"/>
          <w:szCs w:val="24"/>
        </w:rPr>
      </w:pPr>
      <w:r w:rsidRPr="00690CEE">
        <w:rPr>
          <w:rFonts w:ascii="Times New Roman" w:eastAsia="Times New Roman" w:hAnsi="Times New Roman" w:cs="Times New Roman"/>
          <w:i/>
          <w:sz w:val="28"/>
          <w:szCs w:val="24"/>
        </w:rPr>
        <w:t>Căn cứ Nghị định số 16/2017/NĐ-CP ngày 17 tháng 02 năm 2017 của Chính phủ quy định chức năng, nhiệm vụ, quyền hạn và cơ cấu tổ chức của Ngân hàng Nhà nước Việt Nam;</w:t>
      </w:r>
    </w:p>
    <w:p w:rsidR="00690CEE" w:rsidRPr="00690CEE" w:rsidRDefault="00690CEE" w:rsidP="00690CEE">
      <w:pPr>
        <w:spacing w:before="120" w:after="120" w:line="276" w:lineRule="auto"/>
        <w:ind w:firstLine="720"/>
        <w:jc w:val="both"/>
        <w:rPr>
          <w:rFonts w:ascii="Times New Roman" w:eastAsia="Times New Roman" w:hAnsi="Times New Roman" w:cs="Times New Roman"/>
          <w:i/>
          <w:sz w:val="28"/>
          <w:szCs w:val="24"/>
        </w:rPr>
      </w:pPr>
      <w:r w:rsidRPr="00690CEE">
        <w:rPr>
          <w:rFonts w:ascii="Times New Roman" w:eastAsia="Times New Roman" w:hAnsi="Times New Roman" w:cs="Times New Roman"/>
          <w:i/>
          <w:sz w:val="28"/>
          <w:szCs w:val="24"/>
        </w:rPr>
        <w:t>Theo đề nghị của Chánh Thanh tra, giám sát ngân hàng;</w:t>
      </w:r>
    </w:p>
    <w:p w:rsidR="00690CEE" w:rsidRPr="00690CEE" w:rsidRDefault="00690CEE" w:rsidP="00690CEE">
      <w:pPr>
        <w:spacing w:before="120" w:after="120" w:line="276" w:lineRule="auto"/>
        <w:ind w:firstLine="720"/>
        <w:jc w:val="both"/>
        <w:rPr>
          <w:rFonts w:ascii="Times New Roman" w:eastAsia="Times New Roman" w:hAnsi="Times New Roman" w:cs="Times New Roman"/>
          <w:i/>
          <w:sz w:val="28"/>
          <w:szCs w:val="24"/>
        </w:rPr>
      </w:pPr>
      <w:r w:rsidRPr="00690CEE">
        <w:rPr>
          <w:rFonts w:ascii="Times New Roman" w:eastAsia="Times New Roman" w:hAnsi="Times New Roman" w:cs="Times New Roman"/>
          <w:i/>
          <w:sz w:val="28"/>
          <w:szCs w:val="24"/>
        </w:rPr>
        <w:t>Thống đốc Ngân hàng Nhà nước Việt Nam ban hành Thông tư quy định các trường hợp phong tỏa, chấm dứt phong toả vốn và tài sản của chi nhánh ngân hàng nước ngoài.</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b/>
          <w:sz w:val="28"/>
          <w:szCs w:val="24"/>
        </w:rPr>
      </w:pPr>
      <w:r w:rsidRPr="00690CEE">
        <w:rPr>
          <w:rFonts w:ascii="Times New Roman" w:eastAsia="Times New Roman" w:hAnsi="Times New Roman" w:cs="Times New Roman"/>
          <w:b/>
          <w:sz w:val="28"/>
          <w:szCs w:val="24"/>
        </w:rPr>
        <w:t>Điều 1. Phạm vi điều chỉnh</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sz w:val="28"/>
          <w:szCs w:val="24"/>
        </w:rPr>
      </w:pPr>
      <w:r w:rsidRPr="00690CEE">
        <w:rPr>
          <w:rFonts w:ascii="Times New Roman" w:eastAsia="Times New Roman" w:hAnsi="Times New Roman" w:cs="Times New Roman"/>
          <w:sz w:val="28"/>
          <w:szCs w:val="24"/>
        </w:rPr>
        <w:t>Thông tư này quy định các trường hợp phong tỏa, chấm dứt phong tỏa vốn và tài sản của chi nhánh ngân hàng nước ngoài.</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b/>
          <w:sz w:val="28"/>
          <w:szCs w:val="24"/>
        </w:rPr>
      </w:pPr>
      <w:r w:rsidRPr="00690CEE">
        <w:rPr>
          <w:rFonts w:ascii="Times New Roman" w:eastAsia="Times New Roman" w:hAnsi="Times New Roman" w:cs="Times New Roman"/>
          <w:b/>
          <w:sz w:val="28"/>
          <w:szCs w:val="24"/>
        </w:rPr>
        <w:t>Điều 2. Đối tượng áp dụng</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sz w:val="28"/>
          <w:szCs w:val="24"/>
        </w:rPr>
      </w:pPr>
      <w:r w:rsidRPr="00690CEE">
        <w:rPr>
          <w:rFonts w:ascii="Times New Roman" w:eastAsia="Times New Roman" w:hAnsi="Times New Roman" w:cs="Times New Roman"/>
          <w:sz w:val="28"/>
          <w:szCs w:val="24"/>
        </w:rPr>
        <w:t>1. Chi nhánh ngân hàng nước ngoài được thành lập và hoạt động trên lãnh thổ Việt Nam.</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sz w:val="28"/>
          <w:szCs w:val="24"/>
        </w:rPr>
      </w:pPr>
      <w:r w:rsidRPr="00690CEE">
        <w:rPr>
          <w:rFonts w:ascii="Times New Roman" w:eastAsia="Times New Roman" w:hAnsi="Times New Roman" w:cs="Times New Roman"/>
          <w:sz w:val="28"/>
          <w:szCs w:val="24"/>
        </w:rPr>
        <w:t>2. Cá nhân, tổ chức có liên quan đến việc phong tỏa, chấm dứt phong tỏa vốn và tài sản của chi nhánh ngân hàng nước ngoài.</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b/>
          <w:sz w:val="28"/>
          <w:szCs w:val="24"/>
        </w:rPr>
      </w:pPr>
      <w:r w:rsidRPr="00690CEE">
        <w:rPr>
          <w:rFonts w:ascii="Times New Roman" w:eastAsia="Times New Roman" w:hAnsi="Times New Roman" w:cs="Times New Roman"/>
          <w:b/>
          <w:sz w:val="28"/>
          <w:szCs w:val="24"/>
        </w:rPr>
        <w:t>Điều 3. Giải thích từ ngữ</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sz w:val="28"/>
          <w:szCs w:val="24"/>
        </w:rPr>
      </w:pPr>
      <w:r w:rsidRPr="00690CEE">
        <w:rPr>
          <w:rFonts w:ascii="Times New Roman" w:eastAsia="Times New Roman" w:hAnsi="Times New Roman" w:cs="Times New Roman"/>
          <w:sz w:val="28"/>
          <w:szCs w:val="24"/>
        </w:rPr>
        <w:t>1. Phong tỏa vốn và tài sản là việc Ngân hàng Nhà nước Việt Nam (sau đây gọi là Ngân hàng Nhà nước) thực hiện một hoặc một số cách thức sau:</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sz w:val="28"/>
          <w:szCs w:val="24"/>
        </w:rPr>
      </w:pPr>
      <w:r w:rsidRPr="00690CEE">
        <w:rPr>
          <w:rFonts w:ascii="Times New Roman" w:eastAsia="Times New Roman" w:hAnsi="Times New Roman" w:cs="Times New Roman"/>
          <w:sz w:val="28"/>
          <w:szCs w:val="24"/>
        </w:rPr>
        <w:t>a) Yêu cầu chi nhánh ngân hàng nước ngoài không được chuyển vốn, tài sản ra nước ngoài;</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sz w:val="28"/>
          <w:szCs w:val="24"/>
        </w:rPr>
      </w:pPr>
      <w:r w:rsidRPr="00690CEE">
        <w:rPr>
          <w:rFonts w:ascii="Times New Roman" w:eastAsia="Times New Roman" w:hAnsi="Times New Roman" w:cs="Times New Roman"/>
          <w:sz w:val="28"/>
          <w:szCs w:val="24"/>
        </w:rPr>
        <w:lastRenderedPageBreak/>
        <w:t>b) Phong tỏa vốn, tài sản của chi nhánh ngân hàng nước ngoài đang gửi tại Ngân hàng Nhà nước;</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sz w:val="28"/>
          <w:szCs w:val="24"/>
        </w:rPr>
      </w:pPr>
      <w:r w:rsidRPr="00690CEE">
        <w:rPr>
          <w:rFonts w:ascii="Times New Roman" w:eastAsia="Times New Roman" w:hAnsi="Times New Roman" w:cs="Times New Roman"/>
          <w:sz w:val="28"/>
          <w:szCs w:val="24"/>
        </w:rPr>
        <w:t>c) Yêu cầu chi nhánh ngân hàng nước ngoài gửi vốn, tài sản vào Ngân hàng Nhà nước và phong tỏa vốn, tài sản của chi nhánh ngân hàng nước ngoài gửi vào;</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sz w:val="28"/>
          <w:szCs w:val="24"/>
        </w:rPr>
      </w:pPr>
      <w:r w:rsidRPr="00690CEE">
        <w:rPr>
          <w:rFonts w:ascii="Times New Roman" w:eastAsia="Times New Roman" w:hAnsi="Times New Roman" w:cs="Times New Roman"/>
          <w:sz w:val="28"/>
          <w:szCs w:val="24"/>
        </w:rPr>
        <w:t>d) Yêu cầu tổ chức tín dụng nơi chi nhánh ngân hàng nước ngoài đang gửi vốn, tài sản phong tỏa vốn, tài sản của chi nhánh ngân hàng nước ngoài gửi tại tổ chức tín dụng đó;</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sz w:val="28"/>
          <w:szCs w:val="24"/>
        </w:rPr>
      </w:pPr>
      <w:r w:rsidRPr="00690CEE">
        <w:rPr>
          <w:rFonts w:ascii="Times New Roman" w:eastAsia="Times New Roman" w:hAnsi="Times New Roman" w:cs="Times New Roman"/>
          <w:sz w:val="28"/>
          <w:szCs w:val="24"/>
        </w:rPr>
        <w:t>đ) Yêu cầu chi nhánh ngân hàng nước ngoài gửi vốn, tài sản vào một tổ chức tín dụng và yêu cầu tổ chức tín dụng đó phong tỏa vốn, tài sản của chi nhánh ngân hàng nước ngoài gửi vào.</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sz w:val="28"/>
          <w:szCs w:val="24"/>
        </w:rPr>
      </w:pPr>
      <w:r w:rsidRPr="00690CEE">
        <w:rPr>
          <w:rFonts w:ascii="Times New Roman" w:eastAsia="Times New Roman" w:hAnsi="Times New Roman" w:cs="Times New Roman"/>
          <w:sz w:val="28"/>
          <w:szCs w:val="24"/>
        </w:rPr>
        <w:t xml:space="preserve">2. Ngân hàng mẹ là ngân hàng nước ngoài có chi nhánh tại Việt Nam. </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b/>
          <w:sz w:val="28"/>
          <w:szCs w:val="24"/>
        </w:rPr>
      </w:pPr>
      <w:r w:rsidRPr="00690CEE">
        <w:rPr>
          <w:rFonts w:ascii="Times New Roman" w:eastAsia="Times New Roman" w:hAnsi="Times New Roman" w:cs="Times New Roman"/>
          <w:b/>
          <w:sz w:val="28"/>
          <w:szCs w:val="24"/>
        </w:rPr>
        <w:t>Điều 4. Nguyên tắc thực hiện việc phong tỏa, chấm dứt phong tỏa vốn và tài sản</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sz w:val="28"/>
          <w:szCs w:val="24"/>
        </w:rPr>
      </w:pPr>
      <w:r w:rsidRPr="00690CEE">
        <w:rPr>
          <w:rFonts w:ascii="Times New Roman" w:eastAsia="Times New Roman" w:hAnsi="Times New Roman" w:cs="Times New Roman"/>
          <w:sz w:val="28"/>
          <w:szCs w:val="24"/>
        </w:rPr>
        <w:t>1. Việc phong tỏa, chấm dứt phong toả vốn và tài sản của chi nhánh ngân hàng nước ngoài nhằm bảo vệ quyền lợi của người gửi tiền.</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sz w:val="28"/>
          <w:szCs w:val="24"/>
        </w:rPr>
      </w:pPr>
      <w:r w:rsidRPr="00690CEE">
        <w:rPr>
          <w:rFonts w:ascii="Times New Roman" w:eastAsia="Times New Roman" w:hAnsi="Times New Roman" w:cs="Times New Roman"/>
          <w:sz w:val="28"/>
          <w:szCs w:val="24"/>
        </w:rPr>
        <w:t>2. Thống đốc Ngân hàng Nhà nước xem xét, ra Quyết định phong tỏa vốn và tài sản của chi nhánh ngân hàng nước ngoài khi chi nhánh ngân hàng nước ngoài thuộc một hoặc một số trường hợp quy định tại Điều 5 Thông tư này. Quyết định phong tỏa vốn và tài sản nêu rõ lý do phong tỏa, thời điểm bắt đầu phong tỏa, cách thức phong tỏa, trách nhiệm của chi nhánh ngân hàng nước ngoài.</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sz w:val="28"/>
          <w:szCs w:val="24"/>
        </w:rPr>
      </w:pPr>
      <w:r w:rsidRPr="00690CEE">
        <w:rPr>
          <w:rFonts w:ascii="Times New Roman" w:eastAsia="Times New Roman" w:hAnsi="Times New Roman" w:cs="Times New Roman"/>
          <w:sz w:val="28"/>
          <w:szCs w:val="24"/>
        </w:rPr>
        <w:t>3. Thống đốc Ngân hàng Nhà nước xem xét, ra Quyết định chấm dứt phong tỏa vốn và tài sản của chi nhánh ngân hàng nước ngoài khi chi nhánh ngân hàng nước ngoài thuộc các trường hợp quy định tại Điều 6 Thông tư này. Quyết định chấm dứt phong tỏa vốn và tài sản nêu rõ thời điểm chấm dứt phong tỏa, trách nhiệm của chi nhánh ngân hàng nước ngoài.</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b/>
          <w:sz w:val="28"/>
          <w:szCs w:val="24"/>
        </w:rPr>
      </w:pPr>
      <w:r w:rsidRPr="00690CEE">
        <w:rPr>
          <w:rFonts w:ascii="Times New Roman" w:eastAsia="Times New Roman" w:hAnsi="Times New Roman" w:cs="Times New Roman"/>
          <w:b/>
          <w:sz w:val="28"/>
          <w:szCs w:val="24"/>
        </w:rPr>
        <w:t>Điều 5. Các trường hợp phong tỏa vốn và tài sản</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sz w:val="28"/>
          <w:szCs w:val="24"/>
        </w:rPr>
      </w:pPr>
      <w:r w:rsidRPr="00690CEE">
        <w:rPr>
          <w:rFonts w:ascii="Times New Roman" w:eastAsia="Times New Roman" w:hAnsi="Times New Roman" w:cs="Times New Roman"/>
          <w:sz w:val="28"/>
          <w:szCs w:val="24"/>
        </w:rPr>
        <w:t xml:space="preserve">Ngân hàng Nhà nước xem xét, quyết định phong tỏa vốn và tài sản của chi nhánh ngân hàng nước ngoài trong các trường hợp sau: </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sz w:val="28"/>
          <w:szCs w:val="24"/>
        </w:rPr>
      </w:pPr>
      <w:r w:rsidRPr="00690CEE">
        <w:rPr>
          <w:rFonts w:ascii="Times New Roman" w:eastAsia="Times New Roman" w:hAnsi="Times New Roman" w:cs="Times New Roman"/>
          <w:sz w:val="28"/>
          <w:szCs w:val="24"/>
        </w:rPr>
        <w:t>1. Giá trị thực của vốn được cấp của chi nhánh ngân hàng nước ngoài giảm thấp hơn mức vốn pháp định liên tục quá thời gian 06 tháng.</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sz w:val="28"/>
          <w:szCs w:val="24"/>
        </w:rPr>
      </w:pPr>
      <w:r w:rsidRPr="00690CEE">
        <w:rPr>
          <w:rFonts w:ascii="Times New Roman" w:eastAsia="Times New Roman" w:hAnsi="Times New Roman" w:cs="Times New Roman"/>
          <w:sz w:val="28"/>
          <w:szCs w:val="24"/>
        </w:rPr>
        <w:lastRenderedPageBreak/>
        <w:t>2. Vi phạm tỷ lệ bảo đảm an toàn trong hoạt động ngân hàng quy định tại Điều 130 Luật các tổ chức tín dụng và Ngân hàng Nhà nước đã có văn bản yêu cầu khắc phục nhưng không có biện pháp khắc phục hoặc không khắc phục được trong thời hạn theo yêu cầu của Ngân hàng Nhà nước.</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sz w:val="28"/>
          <w:szCs w:val="24"/>
        </w:rPr>
      </w:pPr>
      <w:r w:rsidRPr="00690CEE">
        <w:rPr>
          <w:rFonts w:ascii="Times New Roman" w:eastAsia="Times New Roman" w:hAnsi="Times New Roman" w:cs="Times New Roman"/>
          <w:sz w:val="28"/>
          <w:szCs w:val="24"/>
        </w:rPr>
        <w:t>3. Số lỗ lũy kế của chi nhánh ngân hàng nước ngoài lớn hơn 50% giá trị của vốn được cấp và các quỹ dự trữ ghi trong báo cáo tài chính đã được kiểm toán gần nhất.</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sz w:val="28"/>
          <w:szCs w:val="24"/>
        </w:rPr>
      </w:pPr>
      <w:r w:rsidRPr="00690CEE">
        <w:rPr>
          <w:rFonts w:ascii="Times New Roman" w:eastAsia="Times New Roman" w:hAnsi="Times New Roman" w:cs="Times New Roman"/>
          <w:sz w:val="28"/>
          <w:szCs w:val="24"/>
        </w:rPr>
        <w:t xml:space="preserve">4. Ngân hàng Nhà nước đã có yêu cầu nhưng ngân hàng mẹ không thực hiện đúng các nghĩa vụ đã cam kết đối với chi nhánh hoạt động tại Việt Nam. </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sz w:val="28"/>
          <w:szCs w:val="24"/>
        </w:rPr>
      </w:pPr>
      <w:r w:rsidRPr="00690CEE">
        <w:rPr>
          <w:rFonts w:ascii="Times New Roman" w:eastAsia="Times New Roman" w:hAnsi="Times New Roman" w:cs="Times New Roman"/>
          <w:sz w:val="28"/>
          <w:szCs w:val="24"/>
        </w:rPr>
        <w:t>5. Khi có thông tin về việc ngân hàng mẹ có dấu hiệu mất khả năng chi trả, mất khả năng thanh toán hoặc bị cơ quan có thẩm quyền của nước nguyên xứ đặt vào tình trạng kiểm soát đặc biệt hoặc có yêu cầu phải giải thể, thanh lý, phá sản, hoặc bị rút giấy phép thành lập và hoạt động.</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b/>
          <w:sz w:val="28"/>
          <w:szCs w:val="24"/>
        </w:rPr>
      </w:pPr>
      <w:r w:rsidRPr="00690CEE">
        <w:rPr>
          <w:rFonts w:ascii="Times New Roman" w:eastAsia="Times New Roman" w:hAnsi="Times New Roman" w:cs="Times New Roman"/>
          <w:b/>
          <w:sz w:val="28"/>
          <w:szCs w:val="24"/>
        </w:rPr>
        <w:t>Điều 6. Các trường hợp chấm dứt phong tỏa vốn và tài sản</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sz w:val="28"/>
          <w:szCs w:val="24"/>
        </w:rPr>
      </w:pPr>
      <w:r w:rsidRPr="00690CEE">
        <w:rPr>
          <w:rFonts w:ascii="Times New Roman" w:eastAsia="Times New Roman" w:hAnsi="Times New Roman" w:cs="Times New Roman"/>
          <w:sz w:val="28"/>
          <w:szCs w:val="24"/>
        </w:rPr>
        <w:t>Ngân hàng Nhà nước xem xét, quyết định chấm dứt phong tỏa vốn và tài sản của chi nhánh ngân hàng nước ngoài trong các trường hợp sau:</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sz w:val="28"/>
          <w:szCs w:val="24"/>
        </w:rPr>
      </w:pPr>
      <w:r w:rsidRPr="00690CEE">
        <w:rPr>
          <w:rFonts w:ascii="Times New Roman" w:eastAsia="Times New Roman" w:hAnsi="Times New Roman" w:cs="Times New Roman"/>
          <w:sz w:val="28"/>
          <w:szCs w:val="24"/>
        </w:rPr>
        <w:t>1. Chi nhánh ngân hàng nước ngoài đã khắc phục được các vi phạm, tồn tại quy định tại khoản 1, khoản 2, khoản 3 Điều 5 Thông tư này.</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sz w:val="28"/>
          <w:szCs w:val="24"/>
        </w:rPr>
      </w:pPr>
      <w:r w:rsidRPr="00690CEE">
        <w:rPr>
          <w:rFonts w:ascii="Times New Roman" w:eastAsia="Times New Roman" w:hAnsi="Times New Roman" w:cs="Times New Roman"/>
          <w:sz w:val="28"/>
          <w:szCs w:val="24"/>
        </w:rPr>
        <w:t>2. Ngân hàng mẹ đã thực hiện đúng các nghĩa vụ đã cam kết đối với chi nhánh ngân hàng nước ngoài theo yêu cầu của Ngân hàng Nhà nước quy định tại khoản 4 Điều 5 Thông tư này.</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sz w:val="28"/>
          <w:szCs w:val="24"/>
        </w:rPr>
      </w:pPr>
      <w:r w:rsidRPr="00690CEE">
        <w:rPr>
          <w:rFonts w:ascii="Times New Roman" w:eastAsia="Times New Roman" w:hAnsi="Times New Roman" w:cs="Times New Roman"/>
          <w:sz w:val="28"/>
          <w:szCs w:val="24"/>
        </w:rPr>
        <w:t xml:space="preserve">3. Ngân hàng Nhà nước nhận được thông tin từ cơ quan có thẩm quyền của nước nguyên xứ về việc ngân hàng mẹ đã khắc phục được các tồn tại quy định tại khoản 5 Điều 5 Thông tư này. </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b/>
          <w:sz w:val="28"/>
          <w:szCs w:val="24"/>
        </w:rPr>
      </w:pPr>
      <w:r w:rsidRPr="00690CEE">
        <w:rPr>
          <w:rFonts w:ascii="Times New Roman" w:eastAsia="Times New Roman" w:hAnsi="Times New Roman" w:cs="Times New Roman"/>
          <w:b/>
          <w:sz w:val="28"/>
          <w:szCs w:val="24"/>
        </w:rPr>
        <w:t>Điều 7. Trách nhiệm của chi nhánh ngân hàng nước ngoài</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sz w:val="28"/>
          <w:szCs w:val="24"/>
        </w:rPr>
      </w:pPr>
      <w:r w:rsidRPr="00690CEE">
        <w:rPr>
          <w:rFonts w:ascii="Times New Roman" w:eastAsia="Times New Roman" w:hAnsi="Times New Roman" w:cs="Times New Roman"/>
          <w:sz w:val="28"/>
          <w:szCs w:val="24"/>
        </w:rPr>
        <w:t>1. Cung cấp đầy đủ, trung thực, chính xác, kịp thời thông tin, tài liệu về thực trạng tổ chức và hoạt động khi Ngân hàng Nhà nước có yêu cầu trong trường hợp chi nhánh ngân hàng nước ngoài có dấu hiệu thuộc một hoặc một số trường hợp phong tỏa vốn và tài sản quy định tại Điều 5 Thông tư này.</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sz w:val="28"/>
          <w:szCs w:val="24"/>
        </w:rPr>
      </w:pPr>
      <w:r w:rsidRPr="00690CEE">
        <w:rPr>
          <w:rFonts w:ascii="Times New Roman" w:eastAsia="Times New Roman" w:hAnsi="Times New Roman" w:cs="Times New Roman"/>
          <w:sz w:val="28"/>
          <w:szCs w:val="24"/>
        </w:rPr>
        <w:t>2. Thực hiện theo đúng Quyết định của Ngân hàng Nhà nước trong trường hợp bị phong tỏa vốn và tài sản.</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b/>
          <w:sz w:val="28"/>
          <w:szCs w:val="24"/>
        </w:rPr>
      </w:pPr>
      <w:r w:rsidRPr="00690CEE">
        <w:rPr>
          <w:rFonts w:ascii="Times New Roman" w:eastAsia="Times New Roman" w:hAnsi="Times New Roman" w:cs="Times New Roman"/>
          <w:b/>
          <w:sz w:val="28"/>
          <w:szCs w:val="24"/>
        </w:rPr>
        <w:lastRenderedPageBreak/>
        <w:t>Điều 8. Trách nhiệm của tổ chức tín dụng được Ngân hàng Nhà nước yêu cầu thực hiện việc phong tỏa vốn và tài sản của chi nhánh ngân hàng nước ngoài</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sz w:val="28"/>
          <w:szCs w:val="24"/>
        </w:rPr>
      </w:pPr>
      <w:r w:rsidRPr="00690CEE">
        <w:rPr>
          <w:rFonts w:ascii="Times New Roman" w:eastAsia="Times New Roman" w:hAnsi="Times New Roman" w:cs="Times New Roman"/>
          <w:sz w:val="28"/>
          <w:szCs w:val="24"/>
        </w:rPr>
        <w:t>Thực hiện phong tỏa, chấm dứt phong tỏa vốn và tài sản của chi nhánh ngân hàng nước ngoài theo Quyết định của Ngân hàng Nhà nước.</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b/>
          <w:sz w:val="28"/>
          <w:szCs w:val="24"/>
        </w:rPr>
      </w:pPr>
      <w:r w:rsidRPr="00690CEE">
        <w:rPr>
          <w:rFonts w:ascii="Times New Roman" w:eastAsia="Times New Roman" w:hAnsi="Times New Roman" w:cs="Times New Roman"/>
          <w:b/>
          <w:sz w:val="28"/>
          <w:szCs w:val="24"/>
        </w:rPr>
        <w:t>Điều 9. Trách nhiệm của các đơn vị thuộc Ngân hàng Nhà nước</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sz w:val="28"/>
          <w:szCs w:val="24"/>
        </w:rPr>
      </w:pPr>
      <w:r w:rsidRPr="00690CEE">
        <w:rPr>
          <w:rFonts w:ascii="Times New Roman" w:eastAsia="Times New Roman" w:hAnsi="Times New Roman" w:cs="Times New Roman"/>
          <w:sz w:val="28"/>
          <w:szCs w:val="24"/>
        </w:rPr>
        <w:t>1. Cơ quan Thanh tra, giám sát ngân hàng</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sz w:val="28"/>
          <w:szCs w:val="24"/>
        </w:rPr>
      </w:pPr>
      <w:r w:rsidRPr="00690CEE">
        <w:rPr>
          <w:rFonts w:ascii="Times New Roman" w:eastAsia="Times New Roman" w:hAnsi="Times New Roman" w:cs="Times New Roman"/>
          <w:sz w:val="28"/>
          <w:szCs w:val="24"/>
        </w:rPr>
        <w:t>a) Làm đầu mối tiếp nhận các thông tin có liên quan và trình Thống đốc xem xét, quyết định việc phong tỏa vốn và tài sản hoặc chấm dứt phong tỏa vốn và tài sản của chi nhánh ngân hàng nước ngoài;</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sz w:val="28"/>
          <w:szCs w:val="24"/>
        </w:rPr>
      </w:pPr>
      <w:r w:rsidRPr="00690CEE">
        <w:rPr>
          <w:rFonts w:ascii="Times New Roman" w:eastAsia="Times New Roman" w:hAnsi="Times New Roman" w:cs="Times New Roman"/>
          <w:sz w:val="28"/>
          <w:szCs w:val="24"/>
        </w:rPr>
        <w:t>b) Chủ trì, phối hợp với các đơn vị thuộc Ngân hàng Nhà nước xử lý các vấn đề phát sinh trong quá trình phong tỏa, chấm dứt phong tỏa vốn và tài sản của chi nhánh ngân hàng nước ngoài.</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sz w:val="28"/>
          <w:szCs w:val="24"/>
        </w:rPr>
      </w:pPr>
      <w:r w:rsidRPr="00690CEE">
        <w:rPr>
          <w:rFonts w:ascii="Times New Roman" w:eastAsia="Times New Roman" w:hAnsi="Times New Roman" w:cs="Times New Roman"/>
          <w:sz w:val="28"/>
          <w:szCs w:val="24"/>
        </w:rPr>
        <w:t>2. Sở Giao dịch</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sz w:val="28"/>
          <w:szCs w:val="24"/>
        </w:rPr>
      </w:pPr>
      <w:r w:rsidRPr="00690CEE">
        <w:rPr>
          <w:rFonts w:ascii="Times New Roman" w:eastAsia="Times New Roman" w:hAnsi="Times New Roman" w:cs="Times New Roman"/>
          <w:sz w:val="28"/>
          <w:szCs w:val="24"/>
        </w:rPr>
        <w:t>Thực hiện phong tỏa, chấm dứt phong tỏa vốn và tài sản của chi nhánh ngân hàng nước ngoài theo Quyết định của Ngân hàng Nhà nước.</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sz w:val="28"/>
          <w:szCs w:val="24"/>
        </w:rPr>
      </w:pPr>
      <w:r w:rsidRPr="00690CEE">
        <w:rPr>
          <w:rFonts w:ascii="Times New Roman" w:eastAsia="Times New Roman" w:hAnsi="Times New Roman" w:cs="Times New Roman"/>
          <w:sz w:val="28"/>
          <w:szCs w:val="24"/>
        </w:rPr>
        <w:t>3. Vụ Tài chính - Kế toán</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sz w:val="28"/>
          <w:szCs w:val="24"/>
        </w:rPr>
      </w:pPr>
      <w:r w:rsidRPr="00690CEE">
        <w:rPr>
          <w:rFonts w:ascii="Times New Roman" w:eastAsia="Times New Roman" w:hAnsi="Times New Roman" w:cs="Times New Roman"/>
          <w:sz w:val="28"/>
          <w:szCs w:val="24"/>
        </w:rPr>
        <w:t>Làm đầu mối hướng dẫn hạch toán kế toán phát sinh trong quá trình phong tỏa, chấm dứt phong tỏa vốn và tài sản của chi nhánh ngân hàng nước ngoài.</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sz w:val="28"/>
          <w:szCs w:val="24"/>
        </w:rPr>
      </w:pPr>
      <w:r w:rsidRPr="00690CEE">
        <w:rPr>
          <w:rFonts w:ascii="Times New Roman" w:eastAsia="Times New Roman" w:hAnsi="Times New Roman" w:cs="Times New Roman"/>
          <w:sz w:val="28"/>
          <w:szCs w:val="24"/>
        </w:rPr>
        <w:t>4. Các đơn vị thuộc Ngân hàng Nhà nước</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sz w:val="28"/>
          <w:szCs w:val="24"/>
        </w:rPr>
      </w:pPr>
      <w:r w:rsidRPr="00690CEE">
        <w:rPr>
          <w:rFonts w:ascii="Times New Roman" w:eastAsia="Times New Roman" w:hAnsi="Times New Roman" w:cs="Times New Roman"/>
          <w:sz w:val="28"/>
          <w:szCs w:val="24"/>
        </w:rPr>
        <w:t>a) Cung cấp thông tin cho Cơ quan Thanh tra, giám sát ngân hàng khi phát hiện chi nhánh ngân hàng nước ngoài có dấu hiệu thuộc một hoặc một số trường hợp phong tỏa vốn và tài sản quy định tại Điều 5 Thông tư này;</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sz w:val="28"/>
          <w:szCs w:val="24"/>
        </w:rPr>
      </w:pPr>
      <w:r w:rsidRPr="00690CEE">
        <w:rPr>
          <w:rFonts w:ascii="Times New Roman" w:eastAsia="Times New Roman" w:hAnsi="Times New Roman" w:cs="Times New Roman"/>
          <w:sz w:val="28"/>
          <w:szCs w:val="24"/>
        </w:rPr>
        <w:t xml:space="preserve">b) Phối hợp với Cơ quan Thanh tra, giám sát ngân hàng xử lý các vấn đề phát sinh trong quá trình phong tỏa, chấm dứt phong tỏa vốn và tài sản của chi nhánh ngân hàng nước ngoài. </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b/>
          <w:sz w:val="28"/>
          <w:szCs w:val="24"/>
        </w:rPr>
      </w:pPr>
      <w:r w:rsidRPr="00690CEE">
        <w:rPr>
          <w:rFonts w:ascii="Times New Roman" w:eastAsia="Times New Roman" w:hAnsi="Times New Roman" w:cs="Times New Roman"/>
          <w:b/>
          <w:sz w:val="28"/>
          <w:szCs w:val="24"/>
        </w:rPr>
        <w:t>Điều 10. Hiệu lực thi hành</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sz w:val="28"/>
          <w:szCs w:val="24"/>
        </w:rPr>
      </w:pPr>
      <w:r w:rsidRPr="00690CEE">
        <w:rPr>
          <w:rFonts w:ascii="Times New Roman" w:eastAsia="Times New Roman" w:hAnsi="Times New Roman" w:cs="Times New Roman"/>
          <w:sz w:val="28"/>
          <w:szCs w:val="24"/>
        </w:rPr>
        <w:t xml:space="preserve">1. Thông tư này có hiệu lực kể từ ngày </w:t>
      </w:r>
      <w:r>
        <w:rPr>
          <w:rFonts w:ascii="Times New Roman" w:eastAsia="Times New Roman" w:hAnsi="Times New Roman" w:cs="Times New Roman"/>
          <w:sz w:val="28"/>
          <w:szCs w:val="24"/>
        </w:rPr>
        <w:t>10</w:t>
      </w:r>
      <w:r w:rsidRPr="00690CEE">
        <w:rPr>
          <w:rFonts w:ascii="Times New Roman" w:eastAsia="Times New Roman" w:hAnsi="Times New Roman" w:cs="Times New Roman"/>
          <w:sz w:val="28"/>
          <w:szCs w:val="24"/>
        </w:rPr>
        <w:t xml:space="preserve"> tháng </w:t>
      </w:r>
      <w:r>
        <w:rPr>
          <w:rFonts w:ascii="Times New Roman" w:eastAsia="Times New Roman" w:hAnsi="Times New Roman" w:cs="Times New Roman"/>
          <w:sz w:val="28"/>
          <w:szCs w:val="24"/>
        </w:rPr>
        <w:t>01 năm 2019</w:t>
      </w:r>
      <w:r w:rsidRPr="00690CEE">
        <w:rPr>
          <w:rFonts w:ascii="Times New Roman" w:eastAsia="Times New Roman" w:hAnsi="Times New Roman" w:cs="Times New Roman"/>
          <w:sz w:val="28"/>
          <w:szCs w:val="24"/>
        </w:rPr>
        <w:t>.</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sz w:val="28"/>
          <w:szCs w:val="24"/>
        </w:rPr>
      </w:pPr>
      <w:r w:rsidRPr="00690CEE">
        <w:rPr>
          <w:rFonts w:ascii="Times New Roman" w:eastAsia="Times New Roman" w:hAnsi="Times New Roman" w:cs="Times New Roman"/>
          <w:sz w:val="28"/>
          <w:szCs w:val="24"/>
        </w:rPr>
        <w:t xml:space="preserve">2. Bãi bỏ Mục VI Phần II Thông tư số 03/2007/TT-NHNN ngày 05 tháng 6 năm 2007 của Thống đốc Ngân hàng Nhà nước hướng dẫn thi hành một số điều của Nghị định số 22/2006/NĐ-CP ngày 28/02/2006 của Chính phủ về tổ chức và hoạt động của </w:t>
      </w:r>
      <w:r w:rsidRPr="00690CEE">
        <w:rPr>
          <w:rFonts w:ascii="Times New Roman" w:eastAsia="Times New Roman" w:hAnsi="Times New Roman" w:cs="Times New Roman"/>
          <w:sz w:val="28"/>
          <w:szCs w:val="24"/>
        </w:rPr>
        <w:lastRenderedPageBreak/>
        <w:t>chi nhánh ngân hàng nước ngoài, ngân hàng liên doanh, ngân hàng 100% vốn nước ngoài, văn phòng đại diện của tổ chức tín dụng nước ngoài tại Việt Nam.</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b/>
          <w:sz w:val="28"/>
          <w:szCs w:val="24"/>
        </w:rPr>
      </w:pPr>
      <w:r w:rsidRPr="00690CEE">
        <w:rPr>
          <w:rFonts w:ascii="Times New Roman" w:eastAsia="Times New Roman" w:hAnsi="Times New Roman" w:cs="Times New Roman"/>
          <w:b/>
          <w:sz w:val="28"/>
          <w:szCs w:val="24"/>
        </w:rPr>
        <w:t>Điều 11. Tổ chức thực hiện</w:t>
      </w:r>
    </w:p>
    <w:p w:rsidR="00690CEE" w:rsidRPr="00690CEE" w:rsidRDefault="00690CEE" w:rsidP="00690CEE">
      <w:pPr>
        <w:tabs>
          <w:tab w:val="left" w:leader="dot" w:pos="4283"/>
          <w:tab w:val="left" w:leader="dot" w:pos="8880"/>
        </w:tabs>
        <w:spacing w:before="120" w:after="120" w:line="276" w:lineRule="auto"/>
        <w:ind w:firstLine="709"/>
        <w:jc w:val="both"/>
        <w:rPr>
          <w:rFonts w:ascii="Times New Roman" w:eastAsia="Times New Roman" w:hAnsi="Times New Roman" w:cs="Times New Roman"/>
          <w:sz w:val="28"/>
          <w:szCs w:val="24"/>
        </w:rPr>
      </w:pPr>
      <w:r w:rsidRPr="00690CEE">
        <w:rPr>
          <w:rFonts w:ascii="Times New Roman" w:eastAsia="Times New Roman" w:hAnsi="Times New Roman" w:cs="Times New Roman"/>
          <w:sz w:val="28"/>
          <w:szCs w:val="24"/>
        </w:rPr>
        <w:t>Chánh Văn phòng, Chánh Thanh tra, giám sát ngân hàng, Thủ trưởng các đơn vị có liên quan thuộc Ngân hàng Nhà nước, Giám đốc Ngân hàng Nhà nước chi nhánh các tỉnh, thành phố trực thuộc Trung ương, Tổng Giám đốc (Giám đốc) chi nhánh ngân hàng nước ngoài chịu trách nhiệm tổ chức thực hiện Thông tư này./.</w:t>
      </w:r>
    </w:p>
    <w:tbl>
      <w:tblPr>
        <w:tblW w:w="10219" w:type="dxa"/>
        <w:tblCellMar>
          <w:left w:w="0" w:type="dxa"/>
          <w:right w:w="0" w:type="dxa"/>
        </w:tblCellMar>
        <w:tblLook w:val="0000" w:firstRow="0" w:lastRow="0" w:firstColumn="0" w:lastColumn="0" w:noHBand="0" w:noVBand="0"/>
      </w:tblPr>
      <w:tblGrid>
        <w:gridCol w:w="5538"/>
        <w:gridCol w:w="4681"/>
      </w:tblGrid>
      <w:tr w:rsidR="00690CEE" w:rsidRPr="00690CEE" w:rsidTr="00CC1767">
        <w:trPr>
          <w:trHeight w:val="1853"/>
        </w:trPr>
        <w:tc>
          <w:tcPr>
            <w:tcW w:w="5538" w:type="dxa"/>
            <w:tcMar>
              <w:top w:w="0" w:type="dxa"/>
              <w:left w:w="108" w:type="dxa"/>
              <w:bottom w:w="0" w:type="dxa"/>
              <w:right w:w="108" w:type="dxa"/>
            </w:tcMar>
          </w:tcPr>
          <w:p w:rsidR="00690CEE" w:rsidRPr="00690CEE" w:rsidRDefault="00690CEE" w:rsidP="00690CEE">
            <w:pPr>
              <w:spacing w:before="120" w:after="100" w:afterAutospacing="1" w:line="240" w:lineRule="auto"/>
              <w:ind w:right="-694"/>
              <w:rPr>
                <w:rFonts w:ascii="Times New Roman" w:eastAsia="Times New Roman" w:hAnsi="Times New Roman" w:cs="Times New Roman"/>
                <w:sz w:val="26"/>
                <w:szCs w:val="26"/>
              </w:rPr>
            </w:pPr>
            <w:r w:rsidRPr="00690CEE">
              <w:rPr>
                <w:rFonts w:ascii="Times New Roman" w:eastAsia="Times New Roman" w:hAnsi="Times New Roman" w:cs="Times New Roman"/>
                <w:b/>
                <w:bCs/>
                <w:i/>
                <w:iCs/>
                <w:sz w:val="24"/>
                <w:szCs w:val="24"/>
              </w:rPr>
              <w:t>Nơi nhận:</w:t>
            </w:r>
            <w:r w:rsidRPr="00690CEE">
              <w:rPr>
                <w:rFonts w:ascii="Times New Roman" w:eastAsia="Times New Roman" w:hAnsi="Times New Roman" w:cs="Times New Roman"/>
                <w:b/>
                <w:bCs/>
                <w:i/>
                <w:iCs/>
                <w:sz w:val="24"/>
                <w:szCs w:val="24"/>
              </w:rPr>
              <w:br/>
            </w:r>
            <w:r w:rsidRPr="00690CEE">
              <w:rPr>
                <w:rFonts w:ascii="Times New Roman" w:eastAsia="Times New Roman" w:hAnsi="Times New Roman" w:cs="Times New Roman"/>
              </w:rPr>
              <w:t>- Như Điều 11;</w:t>
            </w:r>
            <w:r w:rsidRPr="00690CEE">
              <w:rPr>
                <w:rFonts w:ascii="Times New Roman" w:eastAsia="Times New Roman" w:hAnsi="Times New Roman" w:cs="Times New Roman"/>
              </w:rPr>
              <w:br/>
              <w:t>- Ban lãnh đạo NHNN;</w:t>
            </w:r>
            <w:r w:rsidRPr="00690CEE">
              <w:rPr>
                <w:rFonts w:ascii="Times New Roman" w:eastAsia="Times New Roman" w:hAnsi="Times New Roman" w:cs="Times New Roman"/>
              </w:rPr>
              <w:br/>
              <w:t>- Văn phòng Chính phủ;</w:t>
            </w:r>
            <w:r w:rsidRPr="00690CEE">
              <w:rPr>
                <w:rFonts w:ascii="Times New Roman" w:eastAsia="Times New Roman" w:hAnsi="Times New Roman" w:cs="Times New Roman"/>
              </w:rPr>
              <w:br/>
              <w:t>- Công báo;</w:t>
            </w:r>
            <w:r w:rsidRPr="00690CEE">
              <w:rPr>
                <w:rFonts w:ascii="Times New Roman" w:eastAsia="Times New Roman" w:hAnsi="Times New Roman" w:cs="Times New Roman"/>
              </w:rPr>
              <w:br/>
              <w:t>- Bộ Tư pháp (để kiểm tra);</w:t>
            </w:r>
            <w:r w:rsidRPr="00690CEE">
              <w:rPr>
                <w:rFonts w:ascii="Times New Roman" w:eastAsia="Times New Roman" w:hAnsi="Times New Roman" w:cs="Times New Roman"/>
              </w:rPr>
              <w:br/>
              <w:t>- Lưu VP, Vụ PC, TTGSNH6 (3).</w:t>
            </w:r>
          </w:p>
        </w:tc>
        <w:tc>
          <w:tcPr>
            <w:tcW w:w="4681" w:type="dxa"/>
            <w:tcMar>
              <w:top w:w="0" w:type="dxa"/>
              <w:left w:w="108" w:type="dxa"/>
              <w:bottom w:w="0" w:type="dxa"/>
              <w:right w:w="108" w:type="dxa"/>
            </w:tcMar>
          </w:tcPr>
          <w:p w:rsidR="00690CEE" w:rsidRPr="00690CEE" w:rsidRDefault="00690CEE" w:rsidP="00690CEE">
            <w:pPr>
              <w:spacing w:before="120" w:after="100" w:afterAutospacing="1" w:line="240" w:lineRule="auto"/>
              <w:ind w:right="-694" w:firstLine="561"/>
              <w:rPr>
                <w:rFonts w:ascii="Times New Roman" w:eastAsia="Times New Roman" w:hAnsi="Times New Roman" w:cs="Times New Roman"/>
                <w:sz w:val="26"/>
                <w:szCs w:val="26"/>
              </w:rPr>
            </w:pPr>
            <w:r w:rsidRPr="00690CEE">
              <w:rPr>
                <w:rFonts w:ascii="Times New Roman" w:eastAsia="Times New Roman" w:hAnsi="Times New Roman" w:cs="Times New Roman"/>
                <w:b/>
                <w:bCs/>
                <w:sz w:val="26"/>
                <w:szCs w:val="26"/>
              </w:rPr>
              <w:t>THỐNG ĐỐC</w:t>
            </w:r>
            <w:r w:rsidRPr="00690CEE">
              <w:rPr>
                <w:rFonts w:ascii="Times New Roman" w:eastAsia="Times New Roman" w:hAnsi="Times New Roman" w:cs="Times New Roman"/>
                <w:b/>
                <w:bCs/>
                <w:sz w:val="26"/>
                <w:szCs w:val="26"/>
              </w:rPr>
              <w:br/>
            </w:r>
            <w:r w:rsidRPr="00690CEE">
              <w:rPr>
                <w:rFonts w:ascii="Times New Roman" w:eastAsia="Times New Roman" w:hAnsi="Times New Roman" w:cs="Times New Roman"/>
                <w:b/>
                <w:bCs/>
                <w:sz w:val="26"/>
                <w:szCs w:val="26"/>
              </w:rPr>
              <w:br/>
            </w:r>
            <w:r w:rsidRPr="00690CEE">
              <w:rPr>
                <w:rFonts w:ascii="Times New Roman" w:eastAsia="Times New Roman" w:hAnsi="Times New Roman" w:cs="Times New Roman"/>
                <w:b/>
                <w:sz w:val="26"/>
                <w:szCs w:val="26"/>
              </w:rPr>
              <w:t xml:space="preserve">       </w:t>
            </w:r>
          </w:p>
        </w:tc>
      </w:tr>
    </w:tbl>
    <w:p w:rsidR="000D5152" w:rsidRDefault="000D5152"/>
    <w:sectPr w:rsidR="000D5152" w:rsidSect="00690CEE">
      <w:footerReference w:type="default" r:id="rId6"/>
      <w:pgSz w:w="12240" w:h="15840"/>
      <w:pgMar w:top="1440" w:right="720" w:bottom="900" w:left="171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32DDD" w:rsidRDefault="00C32DDD" w:rsidP="00690CEE">
      <w:pPr>
        <w:spacing w:after="0" w:line="240" w:lineRule="auto"/>
      </w:pPr>
      <w:r>
        <w:separator/>
      </w:r>
    </w:p>
  </w:endnote>
  <w:endnote w:type="continuationSeparator" w:id="0">
    <w:p w:rsidR="00C32DDD" w:rsidRDefault="00C32DDD" w:rsidP="00690C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28104024"/>
      <w:docPartObj>
        <w:docPartGallery w:val="Page Numbers (Bottom of Page)"/>
        <w:docPartUnique/>
      </w:docPartObj>
    </w:sdtPr>
    <w:sdtEndPr>
      <w:rPr>
        <w:noProof/>
      </w:rPr>
    </w:sdtEndPr>
    <w:sdtContent>
      <w:p w:rsidR="00690CEE" w:rsidRDefault="00690CEE">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690CEE" w:rsidRDefault="00690CE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32DDD" w:rsidRDefault="00C32DDD" w:rsidP="00690CEE">
      <w:pPr>
        <w:spacing w:after="0" w:line="240" w:lineRule="auto"/>
      </w:pPr>
      <w:r>
        <w:separator/>
      </w:r>
    </w:p>
  </w:footnote>
  <w:footnote w:type="continuationSeparator" w:id="0">
    <w:p w:rsidR="00C32DDD" w:rsidRDefault="00C32DDD" w:rsidP="00690CE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0CEE"/>
    <w:rsid w:val="000D5152"/>
    <w:rsid w:val="00690CEE"/>
    <w:rsid w:val="00C32D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C3E549-F344-451F-ABF2-19917D467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0C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0CEE"/>
  </w:style>
  <w:style w:type="paragraph" w:styleId="Footer">
    <w:name w:val="footer"/>
    <w:basedOn w:val="Normal"/>
    <w:link w:val="FooterChar"/>
    <w:uiPriority w:val="99"/>
    <w:unhideWhenUsed/>
    <w:rsid w:val="00690C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0C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EC8C93F-C72A-438C-B684-0CE6DEBC886F}"/>
</file>

<file path=customXml/itemProps2.xml><?xml version="1.0" encoding="utf-8"?>
<ds:datastoreItem xmlns:ds="http://schemas.openxmlformats.org/officeDocument/2006/customXml" ds:itemID="{2448BEF8-6C6A-4FC7-A59C-3AF602757DB7}"/>
</file>

<file path=customXml/itemProps3.xml><?xml version="1.0" encoding="utf-8"?>
<ds:datastoreItem xmlns:ds="http://schemas.openxmlformats.org/officeDocument/2006/customXml" ds:itemID="{41A5F8A1-995B-47A2-A721-12C962E8EACE}"/>
</file>

<file path=docProps/app.xml><?xml version="1.0" encoding="utf-8"?>
<Properties xmlns="http://schemas.openxmlformats.org/officeDocument/2006/extended-properties" xmlns:vt="http://schemas.openxmlformats.org/officeDocument/2006/docPropsVTypes">
  <Template>Normal</Template>
  <TotalTime>5</TotalTime>
  <Pages>5</Pages>
  <Words>1179</Words>
  <Characters>6722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Quoc Thanh (PC)</dc:creator>
  <cp:keywords/>
  <dc:description/>
  <cp:lastModifiedBy>Vu Quoc Thanh (PC)</cp:lastModifiedBy>
  <cp:revision>1</cp:revision>
  <dcterms:created xsi:type="dcterms:W3CDTF">2018-11-23T08:13:00Z</dcterms:created>
  <dcterms:modified xsi:type="dcterms:W3CDTF">2018-11-23T08:18:00Z</dcterms:modified>
</cp:coreProperties>
</file>