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7301F">
      <w:pPr>
        <w:spacing w:line="360" w:lineRule="auto"/>
      </w:pPr>
    </w:p>
    <w:p w14:paraId="2A3E0282">
      <w:pPr>
        <w:spacing w:line="360" w:lineRule="auto"/>
      </w:pPr>
    </w:p>
    <w:p w14:paraId="27F308A0">
      <w:pPr>
        <w:spacing w:line="360" w:lineRule="auto"/>
      </w:pPr>
    </w:p>
    <w:p w14:paraId="319E9BF9">
      <w:pPr>
        <w:spacing w:line="360" w:lineRule="auto"/>
      </w:pPr>
    </w:p>
    <w:p w14:paraId="2CD25BA0">
      <w:pPr>
        <w:spacing w:line="360" w:lineRule="auto"/>
      </w:pPr>
    </w:p>
    <w:p w14:paraId="1D11DD7F">
      <w:pPr>
        <w:jc w:val="center"/>
        <w:rPr>
          <w:sz w:val="44"/>
          <w:szCs w:val="44"/>
        </w:rPr>
      </w:pPr>
      <w:r>
        <w:rPr>
          <w:rFonts w:hint="eastAsia"/>
          <w:sz w:val="44"/>
          <w:szCs w:val="44"/>
        </w:rPr>
        <w:t>20</w:t>
      </w:r>
      <w:r>
        <w:rPr>
          <w:sz w:val="44"/>
          <w:szCs w:val="44"/>
        </w:rPr>
        <w:t>2</w:t>
      </w:r>
      <w:r>
        <w:rPr>
          <w:rFonts w:hint="eastAsia"/>
          <w:sz w:val="44"/>
          <w:szCs w:val="44"/>
        </w:rPr>
        <w:t>4级学术型硕士</w:t>
      </w:r>
    </w:p>
    <w:p w14:paraId="516B18D8">
      <w:pPr>
        <w:jc w:val="center"/>
        <w:rPr>
          <w:sz w:val="36"/>
        </w:rPr>
      </w:pPr>
    </w:p>
    <w:p w14:paraId="14A4E9CB">
      <w:pPr>
        <w:jc w:val="center"/>
        <w:rPr>
          <w:rFonts w:ascii="Times New Roman" w:hAnsi="Times New Roman" w:eastAsia="宋体" w:cs="Times New Roman"/>
          <w:b/>
          <w:sz w:val="52"/>
          <w:szCs w:val="52"/>
        </w:rPr>
      </w:pPr>
      <w:r>
        <w:rPr>
          <w:rFonts w:hint="eastAsia" w:ascii="Times New Roman" w:hAnsi="Times New Roman" w:eastAsia="宋体" w:cs="Times New Roman"/>
          <w:b/>
          <w:sz w:val="52"/>
          <w:szCs w:val="52"/>
        </w:rPr>
        <w:t>开题报告（封面）</w:t>
      </w:r>
    </w:p>
    <w:p w14:paraId="15A9C3A0">
      <w:pPr>
        <w:jc w:val="center"/>
      </w:pPr>
    </w:p>
    <w:p w14:paraId="2CC2916A"/>
    <w:p w14:paraId="3F516381"/>
    <w:p w14:paraId="30631718">
      <w:pPr>
        <w:spacing w:line="600" w:lineRule="auto"/>
      </w:pPr>
      <w:r>
        <w:rPr>
          <w:rFonts w:hint="eastAsia"/>
          <w:b/>
        </w:rPr>
        <w:t xml:space="preserve">             </w:t>
      </w:r>
      <w:r>
        <w:rPr>
          <w:rFonts w:hint="eastAsia"/>
          <w:b/>
          <w:sz w:val="28"/>
        </w:rPr>
        <w:t>学    号</w:t>
      </w:r>
      <w:r>
        <w:rPr>
          <w:rFonts w:hint="eastAsia"/>
          <w:b/>
        </w:rPr>
        <w:t xml:space="preserve"> </w:t>
      </w:r>
      <w:r>
        <w:rPr>
          <w:rFonts w:hint="eastAsia"/>
          <w:sz w:val="28"/>
          <w:u w:val="single"/>
        </w:rPr>
        <w:t xml:space="preserve">         24120565             </w:t>
      </w:r>
    </w:p>
    <w:p w14:paraId="6479B547">
      <w:pPr>
        <w:spacing w:line="600" w:lineRule="auto"/>
      </w:pPr>
      <w:r>
        <w:rPr>
          <w:rFonts w:hint="eastAsia"/>
          <w:b/>
        </w:rPr>
        <w:t xml:space="preserve">             </w:t>
      </w:r>
      <w:r>
        <w:rPr>
          <w:rFonts w:hint="eastAsia"/>
          <w:b/>
          <w:sz w:val="28"/>
        </w:rPr>
        <w:t>专    业</w:t>
      </w:r>
      <w:r>
        <w:rPr>
          <w:rFonts w:hint="eastAsia"/>
          <w:b/>
        </w:rPr>
        <w:t xml:space="preserve"> </w:t>
      </w:r>
      <w:r>
        <w:rPr>
          <w:rFonts w:hint="eastAsia"/>
          <w:sz w:val="28"/>
          <w:u w:val="single"/>
        </w:rPr>
        <w:t xml:space="preserve">         信息管理             </w:t>
      </w:r>
    </w:p>
    <w:p w14:paraId="2C2C6286">
      <w:pPr>
        <w:spacing w:line="600" w:lineRule="auto"/>
        <w:ind w:left="2530" w:hanging="2530" w:hangingChars="1200"/>
        <w:rPr>
          <w:b/>
          <w:sz w:val="28"/>
        </w:rPr>
      </w:pPr>
      <w:r>
        <w:rPr>
          <w:rFonts w:hint="eastAsia"/>
          <w:b/>
        </w:rPr>
        <w:t xml:space="preserve">             </w:t>
      </w:r>
      <w:r>
        <w:rPr>
          <w:rFonts w:hint="eastAsia"/>
          <w:b/>
          <w:sz w:val="28"/>
        </w:rPr>
        <w:t>论文题目</w:t>
      </w:r>
      <w:r>
        <w:rPr>
          <w:rFonts w:hint="eastAsia"/>
          <w:sz w:val="28"/>
          <w:u w:val="single"/>
        </w:rPr>
        <w:t xml:space="preserve"> 基于消费者偏好建模的绿色智能体设计与实现                        </w:t>
      </w:r>
    </w:p>
    <w:p w14:paraId="3DCC8094">
      <w:pPr>
        <w:spacing w:line="420" w:lineRule="exact"/>
      </w:pPr>
      <w:r>
        <w:rPr>
          <w:rFonts w:hint="eastAsia"/>
        </w:rPr>
        <w:t xml:space="preserve"> </w:t>
      </w:r>
    </w:p>
    <w:p w14:paraId="696D75B2"/>
    <w:p w14:paraId="274915E4"/>
    <w:p w14:paraId="39D998B5"/>
    <w:p w14:paraId="6BC4192A">
      <w:pPr>
        <w:jc w:val="center"/>
      </w:pPr>
    </w:p>
    <w:p w14:paraId="5D06500D">
      <w:pPr>
        <w:jc w:val="center"/>
      </w:pPr>
    </w:p>
    <w:p w14:paraId="5639DCDC">
      <w:pPr>
        <w:jc w:val="center"/>
      </w:pPr>
    </w:p>
    <w:p w14:paraId="04DAD179">
      <w:pPr>
        <w:jc w:val="center"/>
      </w:pPr>
    </w:p>
    <w:p w14:paraId="59A2B17F">
      <w:pPr>
        <w:jc w:val="center"/>
      </w:pPr>
    </w:p>
    <w:p w14:paraId="51804B39">
      <w:pPr>
        <w:jc w:val="center"/>
      </w:pPr>
    </w:p>
    <w:p w14:paraId="41D2ADBD">
      <w:pPr>
        <w:jc w:val="center"/>
        <w:rPr>
          <w:rFonts w:ascii="Times New Roman" w:hAnsi="Times New Roman" w:eastAsia="宋体" w:cs="Times New Roman"/>
          <w:sz w:val="24"/>
        </w:rPr>
      </w:pPr>
      <w:r>
        <w:rPr>
          <w:rFonts w:hint="eastAsia" w:ascii="Times New Roman" w:hAnsi="Times New Roman" w:eastAsia="宋体" w:cs="Times New Roman"/>
          <w:sz w:val="24"/>
        </w:rPr>
        <w:t>填表日期  2026年   4    月    10    日</w:t>
      </w:r>
    </w:p>
    <w:p w14:paraId="4A5FF1F1"/>
    <w:p w14:paraId="5DD192ED">
      <w:r>
        <w:rPr>
          <w:rFonts w:hint="eastAsia"/>
        </w:rPr>
        <w:br w:type="page"/>
      </w:r>
    </w:p>
    <w:p w14:paraId="4BFE68E9"/>
    <w:p w14:paraId="7A0B922D">
      <w:pPr>
        <w:jc w:val="center"/>
        <w:rPr>
          <w:rFonts w:eastAsia="宋体"/>
          <w:b/>
          <w:kern w:val="44"/>
          <w:sz w:val="44"/>
          <w:lang w:bidi="ar"/>
        </w:rPr>
      </w:pPr>
      <w:r>
        <w:rPr>
          <w:rFonts w:hint="eastAsia" w:eastAsia="宋体"/>
          <w:b/>
          <w:kern w:val="44"/>
          <w:sz w:val="44"/>
          <w:lang w:bidi="ar"/>
        </w:rPr>
        <w:t>摘  要</w:t>
      </w:r>
    </w:p>
    <w:p w14:paraId="28F3B8E4">
      <w:pPr>
        <w:spacing w:line="440" w:lineRule="exact"/>
        <w:ind w:firstLine="420"/>
        <w:rPr>
          <w:rFonts w:ascii="Times New Roman" w:hAnsi="Times New Roman" w:eastAsia="宋体" w:cs="Times New Roman"/>
          <w:sz w:val="24"/>
          <w:szCs w:val="32"/>
          <w:lang w:bidi="ar"/>
        </w:rPr>
      </w:pPr>
      <w:r>
        <w:rPr>
          <w:rFonts w:hint="eastAsia" w:ascii="Times New Roman" w:hAnsi="Times New Roman" w:eastAsia="宋体" w:cs="Times New Roman"/>
          <w:b/>
          <w:bCs/>
          <w:sz w:val="24"/>
          <w:szCs w:val="32"/>
          <w:lang w:bidi="ar"/>
        </w:rPr>
        <w:t>摘要：</w:t>
      </w:r>
      <w:r>
        <w:rPr>
          <w:rFonts w:hint="eastAsia" w:ascii="Times New Roman" w:hAnsi="Times New Roman" w:eastAsia="宋体" w:cs="Times New Roman"/>
          <w:sz w:val="24"/>
          <w:szCs w:val="32"/>
          <w:lang w:bidi="ar"/>
        </w:rPr>
        <w:t>随着全球气候治理压力持续加大，中国"双碳"战略目标对公众绿色行为转化提出了迫切需求。然而，现有智能问答系统缺乏针对绿色低碳领域的专业化设计，难以满足用户个性化低碳建议需求。本文提出设计一个基于消费者偏好建模的绿色低碳知识服务智能体，整合检索增强生成（RAG）技术、多模态记忆系统和跨理论模型（TTM）行为干预机制，为用户提供精准的绿色知识问答和个性化行为改变支持。</w:t>
      </w:r>
    </w:p>
    <w:p w14:paraId="2908D613">
      <w:pPr>
        <w:spacing w:line="440" w:lineRule="exact"/>
        <w:ind w:firstLine="420"/>
        <w:rPr>
          <w:rFonts w:ascii="Times New Roman" w:hAnsi="Times New Roman" w:eastAsia="宋体" w:cs="Times New Roman"/>
          <w:sz w:val="24"/>
          <w:szCs w:val="32"/>
          <w:lang w:bidi="ar"/>
        </w:rPr>
      </w:pPr>
      <w:r>
        <w:rPr>
          <w:rFonts w:hint="eastAsia" w:ascii="Times New Roman" w:hAnsi="Times New Roman" w:eastAsia="宋体" w:cs="Times New Roman"/>
          <w:sz w:val="24"/>
          <w:szCs w:val="32"/>
          <w:lang w:bidi="ar"/>
        </w:rPr>
        <w:t>研究拟从以下方面展开工作。其一，构建绿色低碳垂类知识库，整合政策文件、行业标准、学术研究和实操指南等多源知识，为专业知识问答提供坚实基础。其二，开发基于混合检索的RAG对话引擎，结合稠密检索与稀疏检索优势，提升复杂查询下的知识召回质量。其三，设计三层记忆架构（工作记忆、短期记忆、长期记忆），实现用户偏好的动态学习与跟踪。第四，基于TTM理论实现分阶段行为干预策略，根据用户所处行为阶段（无意向、意向、准备、行动、维持）动态调整对话内容与建议方案。</w:t>
      </w:r>
    </w:p>
    <w:p w14:paraId="5309692C">
      <w:pPr>
        <w:spacing w:line="440" w:lineRule="exact"/>
        <w:ind w:firstLine="420"/>
        <w:rPr>
          <w:rFonts w:ascii="Times New Roman" w:hAnsi="Times New Roman" w:eastAsia="宋体" w:cs="Times New Roman"/>
          <w:sz w:val="24"/>
          <w:szCs w:val="32"/>
          <w:lang w:bidi="ar"/>
        </w:rPr>
      </w:pPr>
      <w:r>
        <w:rPr>
          <w:rFonts w:hint="eastAsia" w:ascii="Times New Roman" w:hAnsi="Times New Roman" w:eastAsia="宋体" w:cs="Times New Roman"/>
          <w:sz w:val="24"/>
          <w:szCs w:val="32"/>
          <w:lang w:bidi="ar"/>
        </w:rPr>
        <w:t>预期贡献包括为垂直领域智能体设计提供轻量级个性化框架，探索TTM行为改变理论与对话系统的深度融合方法，构建可投入使用的绿色低碳智能体原型并验证其在促进用户低碳行为改变方面的有效性。</w:t>
      </w:r>
    </w:p>
    <w:p w14:paraId="2B14A7C2">
      <w:pPr>
        <w:rPr>
          <w:rFonts w:ascii="Times New Roman" w:hAnsi="Times New Roman" w:eastAsia="宋体" w:cs="Times New Roman"/>
          <w:sz w:val="24"/>
        </w:rPr>
      </w:pPr>
      <w:r>
        <w:br w:type="page"/>
      </w:r>
    </w:p>
    <w:p w14:paraId="52749119">
      <w:pPr>
        <w:keepNext/>
        <w:keepLines/>
        <w:pageBreakBefore/>
        <w:spacing w:before="340" w:after="330" w:line="576" w:lineRule="auto"/>
        <w:outlineLvl w:val="0"/>
        <w:rPr>
          <w:rFonts w:ascii="Times New Roman" w:hAnsi="Times New Roman" w:eastAsia="宋体" w:cs="Times New Roman"/>
          <w:b/>
          <w:kern w:val="44"/>
          <w:sz w:val="44"/>
          <w:szCs w:val="32"/>
        </w:rPr>
      </w:pPr>
      <w:r>
        <w:rPr>
          <w:rFonts w:hint="eastAsia" w:ascii="Times New Roman" w:hAnsi="Times New Roman" w:eastAsia="宋体" w:cs="Times New Roman"/>
          <w:b/>
          <w:kern w:val="44"/>
          <w:sz w:val="44"/>
          <w:szCs w:val="32"/>
        </w:rPr>
        <w:t>1 研究背景及意义</w:t>
      </w:r>
    </w:p>
    <w:p w14:paraId="5CEF3AD5">
      <w:pPr>
        <w:keepNext/>
        <w:keepLines/>
        <w:spacing w:before="260" w:after="260" w:line="416" w:lineRule="auto"/>
        <w:outlineLvl w:val="1"/>
        <w:rPr>
          <w:rFonts w:ascii="Times New Roman" w:hAnsi="Times New Roman" w:eastAsiaTheme="majorEastAsia" w:cstheme="majorBidi"/>
          <w:b/>
          <w:bCs/>
          <w:sz w:val="32"/>
          <w:szCs w:val="32"/>
        </w:rPr>
      </w:pPr>
      <w:bookmarkStart w:id="0" w:name="_Toc130366202"/>
      <w:bookmarkStart w:id="1" w:name="_Toc133091885"/>
      <w:r>
        <w:rPr>
          <w:rFonts w:hint="eastAsia" w:ascii="Times New Roman" w:hAnsi="Times New Roman" w:eastAsiaTheme="majorEastAsia" w:cstheme="majorBidi"/>
          <w:b/>
          <w:bCs/>
          <w:sz w:val="32"/>
          <w:szCs w:val="32"/>
        </w:rPr>
        <w:t>1</w:t>
      </w:r>
      <w:r>
        <w:rPr>
          <w:rFonts w:ascii="Times New Roman" w:hAnsi="Times New Roman" w:eastAsiaTheme="majorEastAsia" w:cstheme="majorBidi"/>
          <w:b/>
          <w:bCs/>
          <w:sz w:val="32"/>
          <w:szCs w:val="32"/>
        </w:rPr>
        <w:t>.1</w:t>
      </w:r>
      <w:r>
        <w:rPr>
          <w:rFonts w:hint="eastAsia" w:ascii="Times New Roman" w:hAnsi="Times New Roman" w:eastAsiaTheme="majorEastAsia" w:cstheme="majorBidi"/>
          <w:b/>
          <w:bCs/>
          <w:sz w:val="32"/>
          <w:szCs w:val="32"/>
        </w:rPr>
        <w:t>研究背景</w:t>
      </w:r>
      <w:bookmarkEnd w:id="0"/>
      <w:bookmarkEnd w:id="1"/>
    </w:p>
    <w:p w14:paraId="60B0D38B">
      <w:pPr>
        <w:spacing w:line="440" w:lineRule="exact"/>
        <w:ind w:firstLine="420"/>
        <w:rPr>
          <w:rFonts w:ascii="Times New Roman" w:hAnsi="Times New Roman" w:eastAsia="宋体" w:cs="Times New Roman"/>
          <w:sz w:val="24"/>
          <w:szCs w:val="32"/>
          <w:lang w:bidi="ar"/>
        </w:rPr>
      </w:pPr>
      <w:bookmarkStart w:id="2" w:name="_Toc130366203"/>
      <w:bookmarkStart w:id="3" w:name="_Toc133091886"/>
      <w:r>
        <w:rPr>
          <w:rFonts w:ascii="Times New Roman" w:hAnsi="Times New Roman" w:eastAsia="宋体" w:cs="Times New Roman"/>
          <w:sz w:val="24"/>
          <w:szCs w:val="32"/>
          <w:lang w:bidi="ar"/>
        </w:rPr>
        <w:t>全球气候变化已成为人类社会面临的最严峻挑战之一。工业革命以来，人类活动产生的温室气体排放导致大气中二氧化碳浓度持续攀升，全球平均温度不断升高，极端天气事件频发，对生态系统和社会经济发展造成深远影响。政府间气候变化专门委员会（IPCC）最新评估报告指出，若要将全球温升控制在1.5摄氏度以内，全球温室气体排放需在2030年前减少约45%，并在2050年前实现净零排放。在此背景下，中国于2020年正式提出2030年前碳达峰、2060年前碳中和的"双碳"战略目标，将应对气候变化上升为国家战略。党的二十大报告明确提出，要加快发展方式绿色转型，推进能源革命，加快形成绿色低碳的生产方式和生活方式。</w:t>
      </w:r>
    </w:p>
    <w:p w14:paraId="7AB07759">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从消费端看，居民消费产生的碳排放占全社会碳排放的比例持续上升。根据中国科学院发布的《中国低碳经济发展报告》，居民生活消费碳排放已占全国碳排放总量的约40%，其中交通出行、住宅能耗、食品消费和服装消费是主要的碳排放来源。随着城镇化进程加快和居民收入水平提高，人均碳排放呈上升趋势，低碳消费转型面临较大压力。</w:t>
      </w:r>
    </w:p>
    <w:p w14:paraId="5EDF9B33">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推动公众低碳行为转变是实现双碳目标的重要路径。研究显示，公众对低碳理念的认同度较高，但在实际消费决策中向低碳行为转化的效率有限。张露等通过情境实验方法研究发现，消费者对绿色产品的购买意向与实际购买行为之间存在显著差距，实际绿色购买行为仅为购买意向的约30%至40%</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_Ref227255342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[1]</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。陈凯等的研究同样强调，低碳消费行为受个体心理因素、外部环境因素和制度约束因素的多重影响，单纯依靠政策倡导和知识普及难以有效推动行为改变。</w:t>
      </w:r>
      <w:r>
        <w:rPr>
          <w:rFonts w:hint="eastAsia" w:ascii="Times New Roman" w:hAnsi="Times New Roman" w:eastAsia="宋体" w:cs="Times New Roman"/>
          <w:sz w:val="24"/>
          <w:szCs w:val="32"/>
          <w:lang w:bidi="ar"/>
        </w:rPr>
        <w:t>同时</w:t>
      </w:r>
      <w:r>
        <w:rPr>
          <w:rFonts w:ascii="Times New Roman" w:hAnsi="Times New Roman" w:eastAsia="宋体" w:cs="Times New Roman"/>
          <w:sz w:val="24"/>
          <w:szCs w:val="32"/>
          <w:lang w:bidi="ar"/>
        </w:rPr>
        <w:t>，消费者在绿色消费决策中存在"知行鸿沟"，主要障碍包括感知成本高、绿色信任不足、社会规范缺失等</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_Ref227255358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[2]</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。Wang等通过对中国消费者的大样本调研发现，软性经济激励（如价格补贴）与软性行为干预（如信息提示）在促进绿色购买行为方面存在差异化效果，且两者的组合策略效果最优</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_Ref227255382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[3]</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。这些研究共同表明，需要更加精细化、个性化的干预手段来促进低碳行为的实际转化。</w:t>
      </w:r>
    </w:p>
    <w:p w14:paraId="4351D5C2">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 xml:space="preserve">在技术赋能层面，人工智能技术的快速发展为绿色低碳知识的智能传播提供了新的技术可能。大语言模型（Large Language Models, LLMs）在自然语言理解和生成方面展现出强大能力，能够理解用户意图并生成连贯、上下文相关的回复 </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_Ref227255416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[4]</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。检索增强生成（Retrieval-Augmented Generation, RAG）技术的兴起进一步解决了大模型在专业领域知识储备不足的问题，通过外部知识库为模型提供领域知识支撑</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_Ref227255431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[5]</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w:t>
      </w:r>
      <w:r>
        <w:rPr>
          <w:rFonts w:ascii="宋体" w:hAnsi="宋体" w:eastAsia="宋体" w:cs="宋体"/>
          <w:sz w:val="24"/>
        </w:rPr>
        <w:t>现有中医药标准知识问答系统的相关构建结果表明，借助 RAG 技术能够实现领域专业知识的有效整合，进而显著提升智能问答系统的准确性与可靠性</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_Ref227255460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[6]</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。研究验证了，对话式AI系统相比传统静态问答系统能够明显改善用户参与度和知识留存率。</w:t>
      </w:r>
    </w:p>
    <w:p w14:paraId="35825256">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然而，现有智能问答系统在绿色低碳领域的应用仍面临三方面挑战。其一，知识专业性不足。通用大模型缺乏针对低碳领域的系统性知识储备，难以提供精准、可信的低碳建议。低碳知识涉及政策文件解读、碳排放计算、生活场景选择</w:t>
      </w:r>
      <w:r>
        <w:rPr>
          <w:rFonts w:hint="eastAsia" w:ascii="Times New Roman" w:hAnsi="Times New Roman" w:eastAsia="宋体" w:cs="Times New Roman"/>
          <w:sz w:val="24"/>
          <w:szCs w:val="32"/>
          <w:lang w:bidi="ar"/>
        </w:rPr>
        <w:t>，</w:t>
      </w:r>
      <w:r>
        <w:rPr>
          <w:rFonts w:ascii="Times New Roman" w:hAnsi="Times New Roman" w:eastAsia="宋体" w:cs="Times New Roman"/>
          <w:sz w:val="24"/>
          <w:szCs w:val="32"/>
          <w:lang w:bidi="ar"/>
        </w:rPr>
        <w:t>本文专业知识，需要专业知识库支撑。其二，个性化能力缺失。现有系统多采用统一的推送模式，未能根据用户的低碳认知水平、消费习惯和所处行为阶段提供差异化服务。不同用户对低碳知识的需求存在显著差异，需要个性化的知识推荐策略。其三，持续性跟踪缺位。缺乏记忆机制导致系统无法记住用户的历史偏好和行为变化，难以为用户提供连贯、递进的低碳行为引导。低碳行为的改变是一个长期过程，需要系统具备持续跟踪用户进展的能力。</w:t>
      </w:r>
    </w:p>
    <w:p w14:paraId="639D856E">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人工智能对话系统在人居环境领域也取得了显著进展。开发的智能家居能耗管理系统通过对话交互收集用户用能习惯，结合知识图谱为用户提供个性化的节能建议。Chen等提出的可持续消费对话智能体通过分析用户的消费记录，识别高碳消费行为并提供低碳替代方案。这一结果验证了，对话式系统在可持续行为促进领域具有重要应用潜力</w:t>
      </w:r>
      <w:r>
        <w:rPr>
          <w:rFonts w:ascii="Times New Roman" w:hAnsi="Times New Roman" w:eastAsia="宋体" w:cs="Times New Roman"/>
          <w:sz w:val="24"/>
          <w:szCs w:val="32"/>
          <w:lang w:bidi="ar"/>
        </w:rPr>
        <w:fldChar w:fldCharType="begin"/>
      </w:r>
      <w:r>
        <w:rPr>
          <w:rFonts w:ascii="Times New Roman" w:hAnsi="Times New Roman" w:eastAsia="宋体" w:cs="Times New Roman"/>
          <w:sz w:val="24"/>
          <w:szCs w:val="32"/>
          <w:lang w:bidi="ar"/>
        </w:rPr>
        <w:instrText xml:space="preserve"> REF _Ref227255525 \r \h </w:instrText>
      </w:r>
      <w:r>
        <w:rPr>
          <w:rFonts w:ascii="Times New Roman" w:hAnsi="Times New Roman" w:eastAsia="宋体" w:cs="Times New Roman"/>
          <w:sz w:val="24"/>
          <w:szCs w:val="32"/>
          <w:lang w:bidi="ar"/>
        </w:rPr>
        <w:fldChar w:fldCharType="separate"/>
      </w:r>
      <w:r>
        <w:rPr>
          <w:rFonts w:ascii="Times New Roman" w:hAnsi="Times New Roman" w:eastAsia="宋体" w:cs="Times New Roman"/>
          <w:sz w:val="24"/>
          <w:szCs w:val="32"/>
          <w:vertAlign w:val="superscript"/>
          <w:lang w:bidi="ar"/>
        </w:rPr>
        <w:t>[7]</w:t>
      </w:r>
      <w:r>
        <w:rPr>
          <w:rFonts w:ascii="Times New Roman" w:hAnsi="Times New Roman" w:eastAsia="宋体" w:cs="Times New Roman"/>
          <w:sz w:val="24"/>
          <w:szCs w:val="32"/>
          <w:lang w:bidi="ar"/>
        </w:rPr>
        <w:fldChar w:fldCharType="end"/>
      </w:r>
      <w:r>
        <w:rPr>
          <w:rFonts w:ascii="Times New Roman" w:hAnsi="Times New Roman" w:eastAsia="宋体" w:cs="Times New Roman"/>
          <w:sz w:val="24"/>
          <w:szCs w:val="32"/>
          <w:lang w:bidi="ar"/>
        </w:rPr>
        <w:t>。</w:t>
      </w:r>
    </w:p>
    <w:p w14:paraId="2D14C526">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在绿色消费领域，数字化工具的应用正在快速发展。蚂蚁森林等碳普惠平台通过将低碳行为与积分奖励相结合，吸引了超过6亿用户参与，累计带动超过2000万吨碳减排量。这一成功案例表明，数字化工具在促进行为改变方面具有巨大潜力。然而，蚂蚁森林主要聚焦于特定场景（如步行、骑行），难以覆盖居民消费的全部碳排放来源。</w:t>
      </w:r>
    </w:p>
    <w:p w14:paraId="10DC03C5">
      <w:pPr>
        <w:spacing w:line="440" w:lineRule="exact"/>
        <w:ind w:firstLine="420"/>
        <w:rPr>
          <w:rFonts w:ascii="Times New Roman" w:hAnsi="Times New Roman" w:eastAsia="宋体" w:cs="Times New Roman"/>
          <w:sz w:val="24"/>
          <w:szCs w:val="32"/>
          <w:lang w:bidi="ar"/>
        </w:rPr>
      </w:pPr>
      <w:r>
        <w:rPr>
          <w:rFonts w:ascii="Times New Roman" w:hAnsi="Times New Roman" w:eastAsia="宋体" w:cs="Times New Roman"/>
          <w:sz w:val="24"/>
          <w:szCs w:val="32"/>
          <w:lang w:bidi="ar"/>
        </w:rPr>
        <w:t>基于上述分析，本文提出设计一个基于消费者偏好建模的绿色低碳知识服务智能体，旨在通过整合RAG技术、多模态记忆系统和行为改变理论，为用户提供专业化、个性化、可持续的低碳知识服务与行为引导支持。</w:t>
      </w:r>
    </w:p>
    <w:p w14:paraId="6389628C">
      <w:pPr>
        <w:spacing w:line="440" w:lineRule="exact"/>
        <w:rPr>
          <w:rFonts w:ascii="Times New Roman" w:hAnsi="Times New Roman" w:eastAsiaTheme="majorEastAsia" w:cstheme="majorBidi"/>
          <w:b/>
          <w:bCs/>
          <w:sz w:val="32"/>
          <w:szCs w:val="32"/>
        </w:rPr>
      </w:pPr>
      <w:r>
        <w:rPr>
          <w:rFonts w:ascii="Times New Roman" w:hAnsi="Times New Roman" w:eastAsiaTheme="majorEastAsia" w:cstheme="majorBidi"/>
          <w:b/>
          <w:bCs/>
          <w:sz w:val="32"/>
          <w:szCs w:val="32"/>
        </w:rPr>
        <w:t>1.2</w:t>
      </w:r>
      <w:r>
        <w:rPr>
          <w:rFonts w:hint="eastAsia" w:ascii="Times New Roman" w:hAnsi="Times New Roman" w:eastAsiaTheme="majorEastAsia" w:cstheme="majorBidi"/>
          <w:b/>
          <w:bCs/>
          <w:sz w:val="32"/>
          <w:szCs w:val="32"/>
        </w:rPr>
        <w:t>研究意义</w:t>
      </w:r>
      <w:bookmarkEnd w:id="2"/>
      <w:bookmarkEnd w:id="3"/>
    </w:p>
    <w:p w14:paraId="289687BA">
      <w:pPr>
        <w:spacing w:line="440" w:lineRule="exact"/>
        <w:ind w:firstLine="420"/>
        <w:rPr>
          <w:rFonts w:ascii="Times New Roman" w:hAnsi="Times New Roman" w:eastAsia="宋体" w:cs="Times New Roman"/>
          <w:sz w:val="24"/>
          <w:szCs w:val="32"/>
        </w:rPr>
      </w:pPr>
      <w:bookmarkStart w:id="4" w:name="_Toc21558"/>
      <w:r>
        <w:rPr>
          <w:rFonts w:hint="eastAsia" w:ascii="Times New Roman" w:hAnsi="Times New Roman" w:eastAsia="宋体" w:cs="Times New Roman"/>
          <w:sz w:val="24"/>
          <w:szCs w:val="32"/>
        </w:rPr>
        <w:t>本文的意义体现在理论层面和实践层面两个维度。</w:t>
      </w:r>
    </w:p>
    <w:p w14:paraId="31E1AF81">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理论意义层面，本文主要体现在以下三个方面。①本文将跨理论阶段模型（TTM）与大语言模型智能体相结合，拓展了行为改变理论在智能对话系统中的应用边界。传统TTM研究主要依托问卷调查和面对面干预等线下手段，存在干预成本高、覆盖范围有限、难以规模化推广等局限。本文探索如何在智能体架构中嵌入TTM的行为阶段判断和分阶段干预机制，设计适用于不同行为阶段用户的差异化响应策略，为行为改变理论的技术化应用提供新的研究框架。这一探索有助于推动行为科学与社会计算、人机交互等领域的交叉融合，为理解AI系统如何有效促进人类行为改变提供理论支撑。②本文提出基于长短期记忆融合的动态用户画像更新机制，推动了用户偏好建模方法在垂直领域智能体中的应用研究。现有用户画像研究多聚焦于电商推荐、新闻推荐等商业场景，其画像维度和更新算法主要服务于商品推荐目标，在绿色消费引导领域的应用研究尚属空白。本文针对绿色低碳智能体的特殊需求，设计包含环境认知水平、低碳知识储备、行为阶段状态和持续行为表现等维度的用户画像体系，提出基于贝叶斯更新的动态画像更新算法，实现对用户显式反馈和隐式行为信号的双通道偏好学习。这一研究有助于丰富用户建模理论在社会责任类应用场景中的内涵。③本文为RAG技术在可持续行为促进领域的应用提供了系统性设计参考。RAG技术最初在医疗、法律、金融等专业领域得到应用，其知识库构建和检索策略设计主要针对这些领域的特点进行优化。绿色低碳领域具有知识的强政策性、跨学科关联性和行为指导性等特殊性，本文针对这些特点设计垂类知识库架构和混合检索策略，探索行为引导导向的答案生成方法，有助于拓展RAG技术的应用边界，为后续研究提供可借鉴的设计模式。现有RAG系统在知识问答任务上已取得显著进展，但在行为引导类任务中的应用研究尚不充分，本文的工作为这一新兴应用方向提供了理论框架和实证参考。</w:t>
      </w:r>
    </w:p>
    <w:p w14:paraId="3A16C5E6">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实践意义层面，本文同样具有重要价值。①研究成果可为公众低碳行为促进提供可部署的数字化工具。当前低碳知识传播主要依赖政府网站、公益广告、社区宣传等传统渠道，存在传播形式单一、互动性不足、难以个性化触达等局限。绿色低碳智能体可嵌入社交媒体、即时通讯、移动应用等用户高频使用的数字化平台，以自然语言对话的方式触达广大用户群体，提供随时随地的低碳知识咨询和行为引导服务。这种数字化工具具有成本低、覆盖广、可扩展等优势，有望成为传统低碳推广渠道的重要补充。②智能体系统可为低碳产品供应商和服务机构提供精准营销和用户教育的智能化解决方案。企业在开展低碳产品推广时，往往面临如何识别潜在用户、如何提供符合用户需求的推荐、如何持续维护用户关系等挑战。本文设计的三层记忆架构和动态用户画像机制，可以帮助企业更好地理解用户的低碳认知状态和行为偏好，提供个性化的产品推荐和使用指导，提升营销效率和用户满意度。③研究成果对于推动国家双碳战略的公众参与环节具有支撑作用。双碳目标的实现不仅依赖产业结构调整和技术进步，更需要全社会的广泛参与。通过提升公众低碳认知水平、促进行为习惯养成，智能体系统有望为实现全社会绿色低碳转型贡献力量。特别是在当前碳达峰的关键窗口期，有效的行为干预工具对于引导公众形成绿色生活方式具有重要的现实意义。智能体系统的推广应用，有望在社区、学校、企业等不同场景中发挥低碳行为促进作用，助力形成绿色低碳的社会新风尚。</w:t>
      </w:r>
    </w:p>
    <w:p w14:paraId="16B2E0D3">
      <w:pPr>
        <w:pStyle w:val="2"/>
        <w:keepNext/>
        <w:keepLines/>
        <w:pageBreakBefore/>
        <w:adjustRightInd/>
        <w:spacing w:before="340" w:after="330" w:line="576" w:lineRule="auto"/>
        <w:jc w:val="both"/>
        <w:rPr>
          <w:rFonts w:eastAsia="宋体"/>
          <w:b/>
          <w:kern w:val="44"/>
          <w:sz w:val="44"/>
        </w:rPr>
      </w:pPr>
      <w:r>
        <w:rPr>
          <w:rFonts w:hint="eastAsia" w:eastAsia="宋体"/>
          <w:b/>
          <w:kern w:val="44"/>
          <w:sz w:val="44"/>
        </w:rPr>
        <w:t>2 研究现状</w:t>
      </w:r>
    </w:p>
    <w:p w14:paraId="6767B114">
      <w:pPr>
        <w:pStyle w:val="3"/>
        <w:keepNext/>
        <w:keepLines/>
        <w:adjustRightInd/>
        <w:spacing w:before="260" w:beforeLines="0" w:after="260" w:afterLines="0" w:line="416" w:lineRule="auto"/>
        <w:rPr>
          <w:rFonts w:eastAsiaTheme="majorEastAsia" w:cstheme="majorBidi"/>
          <w:b/>
          <w:bCs/>
          <w:sz w:val="32"/>
          <w:szCs w:val="32"/>
        </w:rPr>
      </w:pPr>
      <w:r>
        <w:rPr>
          <w:rFonts w:hint="eastAsia" w:eastAsiaTheme="majorEastAsia" w:cstheme="majorBidi"/>
          <w:b/>
          <w:bCs/>
          <w:sz w:val="32"/>
          <w:szCs w:val="32"/>
        </w:rPr>
        <w:t>2.1 检索增强生成技术研究现状</w:t>
      </w:r>
      <w:bookmarkEnd w:id="4"/>
    </w:p>
    <w:p w14:paraId="10012F79">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检索增强生成（RAG）技术最早由Lewis等在NeurIPS会议上提出，该框架通过预训练检索器从海量文档中高效检索相关知识片段，并将其作为上下文输入大语言模型，明显改善了模型在知识密集型任务中的表现</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_Ref227255431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RAG技术的核心价值在于解决大语言模型的两大局限：一是知识截止日期限制导致的时效性问题，二是因参数容量限制导致的专业知识缺失问题。RAG框架的提出标志着NLP领域从纯参数化方法向检索与生成融合的重要转变，为垂直领域知识问答提供了新的技术范式。</w:t>
      </w:r>
    </w:p>
    <w:p w14:paraId="1886FB51">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在检索器技术方面，Lewis等提出的密集段落检索（Dense Passage Retrieval, DPR）方法采用双编码器架构，将查询和文档分别编码为稠密向量，通过向量相似度匹配实现语义层面的检索，在开放域问答任务中取得了优异效果</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_Ref227255431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DPR的核心思想是利用预训练语言模型将文本映射到低维向量空间，使得语义相似的查询和文档在向量空间中距离相近。BM25算法是关键词检索领域的经典方法，该算法基于词频和文档频率的统计模型，在精确术语匹配方面表现优异。BM25的优点在于计算效率高、可解释性强，对于包含明确关键词的查询具有较好的召回效果。研究者进一步探索了混合检索方法，旨在充分发挥不同检索方法的优势。海佳丽等构建的中医药标准知识问答系统整合了稠密检索与BM25方法，通过结果融合策略提升检索质量，结果表明混合检索相比单一检索方法在准确率和召回率上均有明显改善</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_Ref227255460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。任海玉等系统综述了基于大语言模型的智能问答系统研究，也指出了混合检索策略是当前研究的重要方向</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_Ref227262068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[8]</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0D641B69">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生成器技术方面，RAG系统需要解决如何有效利用检索结果进行答案生成的问题。早期的RAG模型采用串联式架构，将检索到的文档直接拼接至语言模型的输入序列，这种方式简单直接但难以处理大量检索结果。后续研究探索了更为复杂的融合方式，包括将检索分数作为注意力权重、对检索结果进行选择性重写等。提出的Atlas模型引入了Fusion-in-Decoder技术，在解码器层面融合多文档信息，提升了模型处理多文档输入的能力。张浩然等提出动态细粒度检索增强生成方法DF-RAG，通过查询重写和动态知识选择提升检索质量，在多个知识密集型基准数据集上取得了state-of-the-art的结果</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_Ref227262130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[9]</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。王合庆等提出Meta-RAG框架，融合混合检索策略和模型微调，为领域垂直RAG系统的知识捕获和更新提供了新思路，该框架在电力领域的应用表明，针对性知识库结合领域微调可明显改善专业问答质量</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_Ref227262151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[10]</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547C3B79">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在系统架构方面，RAG技术经历了从基础到复杂的发展演进。早期的Naive RAG遵循"检索-读取-生成"的简单流程，在处理多跳推理和复杂查询时存在局限。Advanced RAG通过引入查询改写、查询扩展和重排序等技术提升检索质量，其中查询改写旨在将用户模糊表述转化为更适合检索的明确查询，重排序模型则对初步检索结果进行相关性重排。Modular RAG将系统拆分为多个可独立配置的功能模块，支持根据任务需求灵活组合，实现了检索与生成的解耦。秦董洪等综述了基于大语言模型的开放域对话系统研究，指出记忆机制是影响对话系统长期表现的关键因素</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_Ref227255416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3D0270DE">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综合来看，RAG技术在通用领域已取得显著进展，但在绿色低碳这一特定领域应用较少。现有研究多聚焦于检索与生成的质量优化，对如何结合行为改变目标进行系统设计关注不足。绿色低碳领域知识的强政策性、跨学科关联性和行为指导性对RAG架构提出了差异化要求，需要进一步探索面向行为引导的RAG系统设计方法。</w:t>
      </w:r>
    </w:p>
    <w:p w14:paraId="21B0BB4F">
      <w:pPr>
        <w:spacing w:line="440" w:lineRule="exact"/>
        <w:rPr>
          <w:rFonts w:ascii="Times New Roman" w:hAnsi="Times New Roman" w:eastAsiaTheme="majorEastAsia" w:cstheme="majorBidi"/>
          <w:b/>
          <w:bCs/>
          <w:sz w:val="32"/>
          <w:szCs w:val="32"/>
        </w:rPr>
      </w:pPr>
      <w:r>
        <w:rPr>
          <w:rFonts w:hint="eastAsia" w:ascii="Times New Roman" w:hAnsi="Times New Roman" w:eastAsiaTheme="majorEastAsia" w:cstheme="majorBidi"/>
          <w:b/>
          <w:bCs/>
          <w:sz w:val="32"/>
          <w:szCs w:val="32"/>
        </w:rPr>
        <w:t>2.2用户偏好建模研究现状</w:t>
      </w:r>
    </w:p>
    <w:p w14:paraId="140E8431">
      <w:pPr>
        <w:spacing w:line="440" w:lineRule="exact"/>
        <w:ind w:firstLine="420"/>
        <w:rPr>
          <w:rFonts w:ascii="Times New Roman" w:hAnsi="Times New Roman" w:eastAsia="宋体" w:cs="Times New Roman"/>
          <w:sz w:val="24"/>
          <w:szCs w:val="32"/>
        </w:rPr>
      </w:pPr>
      <w:bookmarkStart w:id="5" w:name="_Toc5037"/>
      <w:r>
        <w:rPr>
          <w:rFonts w:hint="eastAsia" w:ascii="Times New Roman" w:hAnsi="Times New Roman" w:eastAsia="宋体" w:cs="Times New Roman"/>
          <w:sz w:val="24"/>
          <w:szCs w:val="32"/>
        </w:rPr>
        <w:t>用户画像是个性化服务的基础，旨在通过收集和分析用户的多维特征，构建能够反映用户兴趣、偏好和行为的数字化表示。赵雅慧等系统梳理了大数据背景下用户画像研究的知识体系，指出用户画像研究已从早期的单一维度向多维融合方向发展，涵盖人口统计特征、行为数据、兴趣标签和社交关系等多个层面</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_Ref227262201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[11]</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0BF21203">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在多维标签体系方面，刘海鸥等提出面向图书馆知识服务的情境化推荐方法，构建了包含用户基本信息、资源使用行为和情境感知特征的多维标签体系</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_Ref227262241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[12]</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通过对用户浏览轨迹、点击偏好及社交网络属性的异构数据挖掘，可驱动个性化广告推荐系统的精准投放决策</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_Ref227262291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[13]</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而个体画像与群体画像的协同表征则展现出显著的互补效应，通过群体特征的关联映射可有效对冲数据稀疏场景下个体画像的功能缺失</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_Ref227262304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[14]</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60A9B822">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在偏好动态更新方面，于兴尚等提出面向精准化服务的图书馆用户画像模型，采用置信度累积机制实现偏好标签的渐进式更新</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_Ref227262316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[15]</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信息茧房约束下的用户画像标签推荐方法通过多样性特征注入与约束机制的引入，可有效规避推荐内容的过度同质化表征</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_Ref227262329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[16]</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。王杰等提出基于知识图谱和用户画像的金融产品推荐系统，利用知识图谱的语义关联增强用户特征的表达</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_Ref227262340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[17]</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6A09CF49">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在记忆机制研究方面，多项工作探索了如何在对话系统中实现长期记忆管理。Schikora等提出的面向生产环境的AI智能体可扩展长期记忆系统设计，支持多模态记忆的存储和检索</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_Ref227262413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[18]</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。Wang等提出的面向个性化AI智能体的真实记忆保留机制，解决了记忆冲突和信息衰减问题</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_Ref227262676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[19]</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。Liu等提出的基于事件驱动偏好和真实任务环境的个性化记忆智能体基准评测方法</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_Ref227262732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[20]</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。Kang等提出了AI智能体记忆操作系统架构，为大规模记忆的持久化管理和高效检索提供了系统级解决方案</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_Ref227262752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[21]</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Nofshin在AI个性化行为干预研究中指出，记忆机制对于实现持续性的行为跟踪和动态干预策略调整至关重要，可解释的用户模型是实现快速个性化响应的关键基础。这些研究为绿色低碳智能体的记忆架构设计提供了重要参考</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_Ref227263166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[22]</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156202AE">
      <w:pPr>
        <w:spacing w:line="440" w:lineRule="exact"/>
        <w:ind w:firstLine="420"/>
        <w:rPr>
          <w:rFonts w:ascii="Times New Roman" w:hAnsi="Times New Roman" w:eastAsia="宋体" w:cs="Times New Roman"/>
          <w:sz w:val="24"/>
          <w:szCs w:val="32"/>
        </w:rPr>
      </w:pPr>
      <w:r>
        <w:rPr>
          <w:rFonts w:ascii="宋体" w:hAnsi="宋体" w:eastAsia="宋体" w:cs="宋体"/>
          <w:sz w:val="24"/>
        </w:rPr>
        <w:t>深度学习技术在用户偏好建模领域的应用，驱动了推荐算法由单一维度向多维关联的演进。通过多样性约束机制的嵌入，可有效破解信息茧房效应下的内容同质化困境，提升标签推荐的覆盖广度</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_Ref227262329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[16]</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而知识图谱的引入，则通过语义拓扑结构的关联增强，实现了金融产品推荐场景下用户特征表征的深度细化</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_Ref227262340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[17]</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在图书资源配置中，个体画像与群体画像的协同映射展现出显著的精度优化潜能，弥补了单一画像维度的表征缺陷</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_Ref227262304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[14]</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从法学维度审视，用户画像与个性化推荐的运行逻辑与个人信息保护边界存在深层的法律规制关联</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_Ref227263215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[23]</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此外，可持续消费行为的影响机理可依托计划行为理论进行体系化解构</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_Ref227263232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[24]</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通过绿色消费意愿向行为转化路径的实证分析，揭示了消费者在特定社会心理结构下绿色消费行为的内在驱动与演化逻辑</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_Ref227263249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[25]</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_Ref227263279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[26]</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协同过滤方法通过分析用户-物品交互矩阵，挖掘用户的潜在偏好，在电商推荐系统中取得了显著效果。相关研究提出的多兴趣框架通过将用户表示拆分为多个兴趣向量，更好地捕捉用户偏好的多样性。开发的思维链偏好学习框架，通过引入推理过程增强推荐系统对用户深层偏好的理解。在绿色消费推荐领域的研究验证了，环保知识推荐需要考虑用户的认知水平和行为阶段，泛化的环保信息推送效果有限。研究发现，针对用户的具体生活场景（如出行方式、饮食习惯）提供定制化的绿色建议，比笼统的环保倡导更能促进行为改变。</w:t>
      </w:r>
    </w:p>
    <w:p w14:paraId="6C0D9AE9">
      <w:pPr>
        <w:spacing w:line="440" w:lineRule="exact"/>
        <w:ind w:firstLine="420"/>
        <w:rPr>
          <w:rFonts w:ascii="Times New Roman" w:hAnsi="Times New Roman" w:eastAsia="宋体" w:cs="Times New Roman"/>
          <w:sz w:val="24"/>
          <w:szCs w:val="32"/>
          <w:highlight w:val="none"/>
        </w:rPr>
      </w:pPr>
      <w:r>
        <w:rPr>
          <w:rFonts w:hint="eastAsia" w:ascii="Times New Roman" w:hAnsi="Times New Roman" w:eastAsia="宋体" w:cs="Times New Roman"/>
          <w:sz w:val="24"/>
          <w:szCs w:val="32"/>
        </w:rPr>
        <w:t>从整体来看，现有用户偏好建模研究以电商推荐等商业场景为主，对社会责任类应用关注不够。已有研究在多维标签体系和动态更新机制上积累了丰富经验，但针对绿色消费引导场景的特殊需求——如环境认知水平、行为阶段状态等维度——尚缺乏</w:t>
      </w:r>
      <w:r>
        <w:rPr>
          <w:rFonts w:hint="eastAsia" w:ascii="Times New Roman" w:hAnsi="Times New Roman" w:eastAsia="宋体" w:cs="Times New Roman"/>
          <w:sz w:val="24"/>
          <w:szCs w:val="32"/>
          <w:highlight w:val="none"/>
        </w:rPr>
        <w:t>系统性的画像框架设计。</w:t>
      </w:r>
      <w:bookmarkStart w:id="83" w:name="_GoBack"/>
      <w:bookmarkEnd w:id="83"/>
    </w:p>
    <w:p w14:paraId="60FCC458">
      <w:pPr>
        <w:spacing w:line="440" w:lineRule="exact"/>
        <w:rPr>
          <w:rFonts w:ascii="Times New Roman" w:hAnsi="Times New Roman" w:eastAsiaTheme="majorEastAsia" w:cstheme="majorBidi"/>
          <w:b/>
          <w:bCs/>
          <w:sz w:val="32"/>
          <w:szCs w:val="32"/>
        </w:rPr>
      </w:pPr>
      <w:r>
        <w:rPr>
          <w:rFonts w:hint="eastAsia" w:ascii="Times New Roman" w:hAnsi="Times New Roman" w:eastAsiaTheme="majorEastAsia" w:cstheme="majorBidi"/>
          <w:b/>
          <w:bCs/>
          <w:sz w:val="32"/>
          <w:szCs w:val="32"/>
        </w:rPr>
        <w:t xml:space="preserve">2.3 </w:t>
      </w:r>
      <w:bookmarkEnd w:id="5"/>
      <w:r>
        <w:rPr>
          <w:rFonts w:hint="eastAsia" w:ascii="Times New Roman" w:hAnsi="Times New Roman" w:eastAsiaTheme="majorEastAsia" w:cstheme="majorBidi"/>
          <w:b/>
          <w:bCs/>
          <w:sz w:val="32"/>
          <w:szCs w:val="32"/>
        </w:rPr>
        <w:t>绿色消费行为改变研究现状</w:t>
      </w:r>
    </w:p>
    <w:p w14:paraId="5C054CCB">
      <w:pPr>
        <w:spacing w:line="440" w:lineRule="exact"/>
        <w:ind w:firstLine="420"/>
        <w:rPr>
          <w:rFonts w:ascii="Times New Roman" w:hAnsi="Times New Roman" w:eastAsia="宋体" w:cs="Times New Roman"/>
          <w:sz w:val="24"/>
          <w:szCs w:val="32"/>
        </w:rPr>
      </w:pPr>
      <w:bookmarkStart w:id="6" w:name="_Toc27741"/>
      <w:r>
        <w:rPr>
          <w:rFonts w:hint="eastAsia" w:ascii="Times New Roman" w:hAnsi="Times New Roman" w:eastAsia="宋体" w:cs="Times New Roman"/>
          <w:sz w:val="24"/>
          <w:szCs w:val="32"/>
        </w:rPr>
        <w:t>绿色消费行为研究是环境心理学的重要分支，旨在理解消费者在环境友好型产品和服务选择中的决策机制及其影响因素。跨理论阶段模型（Transtheoretical Model, TTM）由系统提出，将行为改变划分为无意向、意向、准备、行动、维持五个连续阶段，是目前行为改变研究领域最具影响力的理论框架之一。</w:t>
      </w:r>
    </w:p>
    <w:p w14:paraId="525FE601">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在TTM应用研究方面，蒋琳莉等对稻农低碳生产行为的研究发现，"宣传推广-技能培训-激励政策"的组合干预策略能够有效促进农户从意向阶段向行动阶段转化</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_Ref227263301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[27]</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。Bamberg和</w:t>
      </w:r>
      <w:r>
        <w:rPr>
          <w:rFonts w:ascii="Times New Roman" w:hAnsi="Times New Roman" w:eastAsia="宋体" w:cs="Times New Roman"/>
          <w:sz w:val="24"/>
          <w:szCs w:val="32"/>
        </w:rPr>
        <w:t>Möser</w:t>
      </w:r>
      <w:r>
        <w:rPr>
          <w:rFonts w:hint="eastAsia" w:ascii="Times New Roman" w:hAnsi="Times New Roman" w:eastAsia="宋体" w:cs="Times New Roman"/>
          <w:sz w:val="24"/>
          <w:szCs w:val="32"/>
        </w:rPr>
        <w:t>的元分析研究综合考察了心理因素对亲环境行为的影响，发现态度、主观规范和感知行为控制是预测环境友好型行为的关键变量</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_Ref227263322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[28]</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。相关实验研究发现，经济激励与环境信息提示在不同行为阶段发挥差异化作用，意向阶段的个体对经济激励更为敏感，行动阶段的个体则更需要环境信息反馈</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_Ref227263402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[29]</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。Betzler在其可持续消费行为干预研究中系统综述了心理学理论在绿色消费促进中的应用，指出有效的行为干预需要在不同阶段采用差异化策略，且干预设计应充分考虑个体心理特征的异质性</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_Ref227263413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[30]</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4407A189">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在绿色消费意向与行为差距研究方面，张露等</w:t>
      </w:r>
      <w:r>
        <w:rPr>
          <w:rFonts w:hint="eastAsia" w:ascii="Times New Roman" w:hAnsi="Times New Roman" w:eastAsia="宋体" w:cs="Times New Roman"/>
          <w:sz w:val="24"/>
          <w:szCs w:val="32"/>
          <w:vertAlign w:val="superscript"/>
        </w:rPr>
        <w:t>[1]</w:t>
      </w:r>
      <w:r>
        <w:rPr>
          <w:rFonts w:hint="eastAsia" w:ascii="Times New Roman" w:hAnsi="Times New Roman" w:eastAsia="宋体" w:cs="Times New Roman"/>
          <w:sz w:val="24"/>
          <w:szCs w:val="32"/>
        </w:rPr>
        <w:t>通过情境实验发现，消费者对绿色产品的购买意向与实际购买行为之间存在显著差距，产品价格、绿色感知效用和购买便利性是影响转化的关键因素。White等的文献综述系统梳理了促进消费者可持续行为转变的干预策略，强调社会规范激活、便利条件创设和承诺机制设计的重要性</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_Ref227263426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[31]</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。杜松华等研究游戏化驱动绿色消费的效果，发现蚂蚁森林等数字化工具通过将低碳行为与社交激励相结合，有效促进了用户的持续性参与</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_Ref227263439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[32]</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73CCD132">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在低碳消费干预技术研究方面，研究者探索了多种技术手段在行为干预中的应用。Adanu等研究了面向气候知识的语义检索技术，为低碳知识的智能传播提供了技术方案</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_Ref227263452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[33]</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。Sehgal等通过随机对照实验比较了静态与对话式AI生成信息对结直肠癌筛查意愿的影响，发现对话式AI在提升用户参与度方面具有显著优势</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_Ref227263464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[34]</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13824F7F">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在社会规范与绿色消费研究方面，大量研究验证了社会因素对个体低碳行为具有重要影响。价值-信念-规范理论（Value-Belief-Norm Theory）系统阐述了环境价值观如何通过生态世界观感知和后果认知转化为环境行为意愿，为理解绿色消费行为的深层动机提供了框架。聚焦方法（Focusing+）研究指出，通过激活社会规范可以有效促进行为改变，当个体意识到他人的环保行为时，更有可能调整自己的行为。相关元分析研究的元分析研究发现，描述性规范（即他人实际做什么的信息）对绿色消费行为的促进作用比injunctive规范（即他人认为应该做什么的信息）更为显著。</w:t>
      </w:r>
      <w:bookmarkStart w:id="7" w:name="OLE_LINK1"/>
      <w:r>
        <w:rPr>
          <w:rFonts w:hint="eastAsia" w:ascii="Times New Roman" w:hAnsi="Times New Roman" w:eastAsia="宋体" w:cs="Times New Roman"/>
          <w:sz w:val="24"/>
          <w:szCs w:val="32"/>
        </w:rPr>
        <w:t>Enginkaya</w:t>
      </w:r>
      <w:bookmarkEnd w:id="7"/>
      <w:r>
        <w:rPr>
          <w:rFonts w:hint="eastAsia" w:ascii="Times New Roman" w:hAnsi="Times New Roman" w:eastAsia="宋体" w:cs="Times New Roman"/>
          <w:sz w:val="24"/>
          <w:szCs w:val="32"/>
        </w:rPr>
        <w:t>和</w:t>
      </w:r>
      <w:r>
        <w:rPr>
          <w:rFonts w:ascii="Times New Roman" w:hAnsi="Times New Roman" w:eastAsia="宋体" w:cs="Times New Roman"/>
          <w:kern w:val="0"/>
          <w:szCs w:val="21"/>
        </w:rPr>
        <w:t>Hayrun-Sağlam</w:t>
      </w:r>
      <w:r>
        <w:rPr>
          <w:rFonts w:hint="eastAsia" w:ascii="Times New Roman" w:hAnsi="Times New Roman" w:eastAsia="宋体" w:cs="Times New Roman"/>
          <w:sz w:val="24"/>
          <w:szCs w:val="32"/>
        </w:rPr>
        <w:t>通过对410名Y世代消费者的混合方法研究，构建了整合VBN理论、规范激活模型和计划行为理论的消费者可持续行为框架，验证了环境关注度通过感知消费者效能（PCE）中介变量对可持续消费行为的显著影响路径，指出消费者愧疚感和责任归因是激活低碳行为动机的关键心理机制</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_Ref227263510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[35]</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。在数字平台情境下，研究验证了，在线社会比较会通过上行比较效应和下行比较效应对绿色消费产生差异化影响，平台设计者需要考虑如何利用社会比较机制促进积极的环境行为。</w:t>
      </w:r>
    </w:p>
    <w:p w14:paraId="09307702">
      <w:pPr>
        <w:spacing w:line="440" w:lineRule="exact"/>
        <w:ind w:firstLine="420"/>
        <w:rPr>
          <w:rFonts w:ascii="Times New Roman" w:hAnsi="Times New Roman" w:eastAsia="宋体" w:cs="Times New Roman"/>
          <w:sz w:val="24"/>
          <w:szCs w:val="32"/>
        </w:rPr>
      </w:pPr>
      <w:r>
        <w:rPr>
          <w:rFonts w:ascii="宋体" w:hAnsi="宋体" w:eastAsia="宋体" w:cs="宋体"/>
          <w:sz w:val="24"/>
        </w:rPr>
        <w:t>在数字化行为干预工具的演进过程中，移动互联网与人工智能的深度耦合开辟了低碳干预的新路径。通过对家庭特征、城市活动轨迹及多区域消费投入产出模型的综合测度，可实现居民碳足迹的精准计量与时空分布特性的深度解析</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_Ref227263563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[36]</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_Ref227263575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[37]</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_Ref227263588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[38]</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在双碳目标的战略框架下，碳标识制度的法律功能定位与实现路径，辅以数据要素对绿色发展的逻辑赋能，共同构成了低碳治理的制度与技术底座</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_Ref227263602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[39]</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_Ref227263612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[40]</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从碳公平的内涵测度到特定群体——如高校学生与酒店顾客——绿色消费行为驱动因素的实证剖析，揭示了生态价值观与计划行为理论在预测个体低碳意向中的关键效用</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_Ref227263624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[41]</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_Ref227263640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[42]</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_Ref227263656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[43]</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_Ref227263668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[44]</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此外，旅游利益相关者间环境责任行为的交互影响机制，为跨场景干预提供了社会学视角</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_Ref227263675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[45]</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r>
        <w:rPr>
          <w:rFonts w:ascii="宋体" w:hAnsi="宋体" w:eastAsia="宋体" w:cs="宋体"/>
          <w:sz w:val="24"/>
        </w:rPr>
        <w:t>而在技术实现层面，依托细粒度知识图谱检索增强生成的提示学习方法，可显著提升碳足迹追踪应用的交互精度；通过实时反馈机制的闭环构建，该类移动应用能驱动用户在交通出行与饮食消费领域的碳排放实现显著的负向增长，验证了数字化干预对行为重塑的有效性</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_Ref227263702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[46]</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23524039">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综合研究发现，现有研究为绿色消费行为干预提供了丰富的理论基础和实践参考，但在以下方面仍存不足：RAG技术与行为改变理论的结合尚未充分探索，用户画像在绿色消费引导领域的应用研究较为缺乏，面向低碳领域的垂类知识库与智能问答系统集成研究亟待加强。</w:t>
      </w:r>
    </w:p>
    <w:bookmarkEnd w:id="6"/>
    <w:p w14:paraId="2576A2E6">
      <w:pPr>
        <w:rPr>
          <w:rFonts w:ascii="Times New Roman" w:hAnsi="Times New Roman" w:eastAsia="宋体" w:cs="Times New Roman"/>
          <w:b/>
          <w:kern w:val="44"/>
          <w:sz w:val="44"/>
          <w:szCs w:val="32"/>
        </w:rPr>
      </w:pPr>
      <w:r>
        <w:rPr>
          <w:rFonts w:hint="eastAsia" w:ascii="Times New Roman" w:hAnsi="Times New Roman" w:eastAsia="宋体" w:cs="Times New Roman"/>
          <w:b/>
          <w:kern w:val="44"/>
          <w:sz w:val="44"/>
          <w:szCs w:val="32"/>
        </w:rPr>
        <w:br w:type="page"/>
      </w:r>
    </w:p>
    <w:p w14:paraId="53542360">
      <w:pPr>
        <w:keepNext/>
        <w:keepLines/>
        <w:pageBreakBefore/>
        <w:spacing w:before="340" w:after="330" w:line="576" w:lineRule="auto"/>
        <w:outlineLvl w:val="0"/>
        <w:rPr>
          <w:rFonts w:ascii="Times New Roman" w:hAnsi="Times New Roman" w:eastAsia="宋体" w:cs="Times New Roman"/>
          <w:b/>
          <w:kern w:val="44"/>
          <w:sz w:val="44"/>
          <w:szCs w:val="32"/>
        </w:rPr>
      </w:pPr>
      <w:r>
        <w:rPr>
          <w:rFonts w:hint="eastAsia" w:ascii="Times New Roman" w:hAnsi="Times New Roman" w:eastAsia="宋体" w:cs="Times New Roman"/>
          <w:b/>
          <w:kern w:val="44"/>
          <w:sz w:val="44"/>
          <w:szCs w:val="32"/>
        </w:rPr>
        <w:t>3 研究目标及内容</w:t>
      </w:r>
    </w:p>
    <w:p w14:paraId="5DDE0133">
      <w:pPr>
        <w:keepNext/>
        <w:keepLines/>
        <w:spacing w:before="260" w:after="260" w:line="416" w:lineRule="auto"/>
        <w:outlineLvl w:val="1"/>
        <w:rPr>
          <w:rFonts w:ascii="Times New Roman" w:hAnsi="Times New Roman" w:eastAsiaTheme="majorEastAsia" w:cstheme="majorBidi"/>
          <w:b/>
          <w:bCs/>
          <w:sz w:val="32"/>
          <w:szCs w:val="32"/>
        </w:rPr>
      </w:pPr>
      <w:r>
        <w:rPr>
          <w:rFonts w:hint="eastAsia" w:ascii="Times New Roman" w:hAnsi="Times New Roman" w:eastAsiaTheme="majorEastAsia" w:cstheme="majorBidi"/>
          <w:b/>
          <w:bCs/>
          <w:sz w:val="32"/>
          <w:szCs w:val="32"/>
        </w:rPr>
        <w:t>3.1 研究目标及内容</w:t>
      </w:r>
      <w:bookmarkStart w:id="8" w:name="_Toc12231"/>
    </w:p>
    <w:p w14:paraId="28E0EDE0">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本文以国家双碳战略为背景，以促进公众低碳行为转变为目标，设计并实现一个基于消费者偏好建模的绿色低碳知识服务智能体。</w:t>
      </w:r>
    </w:p>
    <w:p w14:paraId="581276E0">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具体而言，本文研究目标包含以下五个层面。知识库构建层面，旨在设计并构建适合绿色低碳领域的垂类知识库架构，实现如政策文件、行业标准、学术研究和实操指南等多源知识的统一管理和动态更新，解决现有智能问答系统在绿色低碳领域知识专业性不足的问题。检索引擎层面，目标是开发基于混合检索的RAG对话引擎，结合稠密检索与稀疏检索各自的优势，为用户提供精准的专业知识问答服务，解决复杂查询下的知识召回质量问题。偏好建模层面，目标是设计融合工作记忆、短期记忆和长期记忆的三层记忆架构，实现用户偏好的动态学习与跟踪，解决现有系统个性化能力缺失和持续性跟踪缺位的问题。行为干预层面，目标是基于TTM理论设计分阶段行为干预策略，根据用户所处行为阶段提供差异化的知识推送和建议方案，实现"知识供给"与"行为引导"的双重目标融合。系统验证层面，目标是构建可运行的绿色低碳智能体原型系统，并通过用户实验验证其在促进低碳行为改变方面的有效性，为后续推广应用提供实证支撑。</w:t>
      </w:r>
    </w:p>
    <w:p w14:paraId="57675AAC">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第一章，绪论：介绍论文的研究背景，综述国内外检索增强生成技术、用户偏好建模和绿色消费行为改变领域的研究现状，阐述论文的研究目的及意义，介绍论文的研究内容及组织构架。本章第一节阐述全球气候变化和中国双碳战略的背景，分析居民消费碳排放的现状和行为转化的挑战；第二节论述现有智能问答系统在绿色低碳领域的局限性，阐明本文的研究价值；第三节系统梳理RAG技术、用户偏好建模和绿色消费行为改变三个领域的研究进展；第四节归纳研究空白，提出本文的研究问题和技术路线。</w:t>
      </w:r>
    </w:p>
    <w:p w14:paraId="330E5685">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第二章，相关理论研究与技术：总结归纳本文所需的理论基础，包括跨理论阶段模型、计划行为理论等行为改变理论，以及检索增强生成技术的原理与方法，为后续章节的系统设计与实现提供理论支撑。本章第一节详细介绍TTM理论的五个行为阶段、核心概念和应用方法；第二节阐述TPB理论的态度、主观规范和感知行为控制三要素及其对绿色消费研究的启示；第三节梳理RAG技术的发展历程、系统架构和技术方法，为本文的系统设计提供技术基础。</w:t>
      </w:r>
    </w:p>
    <w:p w14:paraId="481A0495">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第三章，绿色低碳知识库构建与RAG对话引擎设计：设计面向绿色低碳领域的知识库架构，实现政策文件、行业标准、学术研究和实操指南等多源知识的统一管理；开发基于稠密检索与稀疏检索相结合的混合RAG引擎，优化复杂查询下的知识召回质量。本章第一节分析绿色低碳知识的特点和知识库设计需求；第二三节详述知识抽取、组织和更新机制；第四五节阐述混合检索策略和RAG生成机制的具体设计。</w:t>
      </w:r>
    </w:p>
    <w:p w14:paraId="292EA0EC">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第四章，用户偏好建模与记忆系统设计：设计融合工作记忆、短期记忆和长期记忆的分层记忆架构；提出基于贝叶斯更新的动态用户画像更新算法，实现多源偏好信号的综合利用和渐进式学习；构建用户行为阶段判断模块，基于TTM理论识别用户所处行为阶段。本章第一节提出多维用户画像体系；第二三节详述三层记忆架构的设计和数据流转方式；第四五节阐述贝叶斯更新算法和行为阶段判断方法。</w:t>
      </w:r>
    </w:p>
    <w:p w14:paraId="7CE03A93">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第五章，绿色低碳智能体系统实现与实验验证：基于前述研究成果，构建完整的绿色低碳智能体原型系统；设计用户实验方案，通过实证研究验证系统在知识问答准确性、用户偏好学习有效性和行为改变促进效果方面的性能。本章第一节介绍系统的整体架构和功能模块；第二三节详述各模块的实现细节；第四五节通过用户实验验证系统性能，分析实验结果。</w:t>
      </w:r>
    </w:p>
    <w:p w14:paraId="41340620">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第六章，结论与展望：总结本文获取的主要结论，归纳本文的创新点，并对后续研究工作进行展望。本章第一节总结理论贡献和实践价值；第二节归纳三个创新点；第三节分析研究局限，展望后续研究方向。</w:t>
      </w:r>
    </w:p>
    <w:p w14:paraId="03DBC2AF">
      <w:pPr>
        <w:pStyle w:val="3"/>
        <w:keepNext/>
        <w:keepLines/>
        <w:adjustRightInd/>
        <w:spacing w:before="260" w:beforeLines="0" w:after="260" w:afterLines="0" w:line="416" w:lineRule="auto"/>
        <w:rPr>
          <w:rFonts w:eastAsiaTheme="majorEastAsia" w:cstheme="majorBidi"/>
          <w:b/>
          <w:bCs/>
          <w:sz w:val="32"/>
          <w:szCs w:val="32"/>
        </w:rPr>
      </w:pPr>
      <w:r>
        <w:rPr>
          <w:rFonts w:hint="eastAsia" w:eastAsiaTheme="majorEastAsia" w:cstheme="majorBidi"/>
          <w:b/>
          <w:bCs/>
          <w:sz w:val="32"/>
          <w:szCs w:val="32"/>
        </w:rPr>
        <w:t>3.2 研究框架</w:t>
      </w:r>
      <w:bookmarkEnd w:id="8"/>
    </w:p>
    <w:p w14:paraId="20C86AE0">
      <w:pPr>
        <w:spacing w:line="440" w:lineRule="exact"/>
        <w:ind w:firstLine="420"/>
      </w:pPr>
      <w:r>
        <w:rPr>
          <w:rFonts w:hint="eastAsia" w:ascii="Times New Roman" w:hAnsi="Times New Roman" w:eastAsia="宋体" w:cs="宋体"/>
          <w:sz w:val="24"/>
          <w:szCs w:val="32"/>
          <w:lang w:bidi="ar"/>
        </w:rPr>
        <w:t>本文技术路线图如下：</w:t>
      </w:r>
    </w:p>
    <w:p w14:paraId="43B8C8CD">
      <w:pPr>
        <w:pStyle w:val="11"/>
        <w:spacing w:line="240" w:lineRule="auto"/>
      </w:pPr>
    </w:p>
    <w:p w14:paraId="22FC2782">
      <w:pPr>
        <w:pStyle w:val="11"/>
        <w:spacing w:line="240" w:lineRule="auto"/>
        <w:jc w:val="center"/>
      </w:pPr>
    </w:p>
    <w:p w14:paraId="3E846132">
      <w:pPr>
        <w:pStyle w:val="11"/>
        <w:spacing w:line="240" w:lineRule="auto"/>
        <w:jc w:val="center"/>
      </w:pPr>
      <w:r>
        <w:rPr>
          <w:rFonts w:hint="eastAsia"/>
        </w:rPr>
        <w:drawing>
          <wp:inline distT="0" distB="0" distL="114300" distR="114300">
            <wp:extent cx="5268595" cy="3638550"/>
            <wp:effectExtent l="0" t="0" r="8255" b="0"/>
            <wp:docPr id="3" name="图片 3" descr="未命名绘图.drawi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未命名绘图.drawio(4)"/>
                    <pic:cNvPicPr>
                      <a:picLocks noChangeAspect="1"/>
                    </pic:cNvPicPr>
                  </pic:nvPicPr>
                  <pic:blipFill>
                    <a:blip r:embed="rId4"/>
                    <a:stretch>
                      <a:fillRect/>
                    </a:stretch>
                  </pic:blipFill>
                  <pic:spPr>
                    <a:xfrm>
                      <a:off x="0" y="0"/>
                      <a:ext cx="5268595" cy="3638550"/>
                    </a:xfrm>
                    <a:prstGeom prst="rect">
                      <a:avLst/>
                    </a:prstGeom>
                  </pic:spPr>
                </pic:pic>
              </a:graphicData>
            </a:graphic>
          </wp:inline>
        </w:drawing>
      </w:r>
    </w:p>
    <w:p w14:paraId="77919320">
      <w:pPr>
        <w:spacing w:line="440" w:lineRule="exact"/>
        <w:jc w:val="center"/>
        <w:rPr>
          <w:rFonts w:ascii="Times New Roman" w:hAnsi="Times New Roman" w:eastAsia="宋体" w:cs="Times New Roman"/>
          <w:b/>
          <w:kern w:val="44"/>
          <w:sz w:val="44"/>
          <w:szCs w:val="32"/>
        </w:rPr>
      </w:pPr>
      <w:r>
        <w:rPr>
          <w:rFonts w:hint="eastAsia" w:ascii="Times New Roman" w:hAnsi="Times New Roman" w:eastAsia="宋体" w:cs="宋体"/>
          <w:sz w:val="24"/>
          <w:szCs w:val="32"/>
          <w:lang w:bidi="ar"/>
        </w:rPr>
        <w:t>图</w:t>
      </w:r>
      <w:r>
        <w:rPr>
          <w:rFonts w:ascii="Times New Roman" w:hAnsi="Times New Roman" w:eastAsia="宋体" w:cs="Times New Roman"/>
          <w:sz w:val="24"/>
          <w:szCs w:val="32"/>
          <w:lang w:bidi="ar"/>
        </w:rPr>
        <w:t xml:space="preserve">3-1 </w:t>
      </w:r>
      <w:r>
        <w:rPr>
          <w:rFonts w:hint="eastAsia" w:ascii="Times New Roman" w:hAnsi="Times New Roman" w:eastAsia="宋体" w:cs="宋体"/>
          <w:sz w:val="24"/>
          <w:szCs w:val="32"/>
          <w:lang w:bidi="ar"/>
        </w:rPr>
        <w:t>技术路线图</w:t>
      </w:r>
      <w:bookmarkStart w:id="9" w:name="_Toc9431"/>
    </w:p>
    <w:p w14:paraId="26C63C45">
      <w:pPr>
        <w:keepNext/>
        <w:keepLines/>
        <w:pageBreakBefore/>
        <w:spacing w:before="340" w:after="330" w:line="576" w:lineRule="auto"/>
        <w:outlineLvl w:val="0"/>
        <w:rPr>
          <w:rFonts w:ascii="Times New Roman" w:hAnsi="Times New Roman" w:eastAsia="宋体" w:cs="Times New Roman"/>
          <w:b/>
          <w:kern w:val="44"/>
          <w:sz w:val="44"/>
          <w:szCs w:val="32"/>
        </w:rPr>
      </w:pPr>
      <w:bookmarkStart w:id="10" w:name="OLE_LINK2"/>
      <w:r>
        <w:rPr>
          <w:rFonts w:hint="eastAsia" w:ascii="Times New Roman" w:hAnsi="Times New Roman" w:eastAsia="宋体" w:cs="Times New Roman"/>
          <w:b/>
          <w:kern w:val="44"/>
          <w:sz w:val="44"/>
          <w:szCs w:val="32"/>
        </w:rPr>
        <w:t>4 研究理论和技术</w:t>
      </w:r>
    </w:p>
    <w:bookmarkEnd w:id="10"/>
    <w:p w14:paraId="1E02F078">
      <w:pPr>
        <w:pStyle w:val="3"/>
        <w:keepNext/>
        <w:keepLines/>
        <w:adjustRightInd/>
        <w:spacing w:before="260" w:beforeLines="0" w:after="260" w:afterLines="0" w:line="416" w:lineRule="auto"/>
        <w:rPr>
          <w:rFonts w:eastAsiaTheme="majorEastAsia" w:cstheme="majorBidi"/>
          <w:b/>
          <w:bCs/>
          <w:sz w:val="32"/>
          <w:szCs w:val="32"/>
        </w:rPr>
      </w:pPr>
      <w:r>
        <w:rPr>
          <w:rFonts w:hint="eastAsia" w:eastAsiaTheme="majorEastAsia" w:cstheme="majorBidi"/>
          <w:b/>
          <w:bCs/>
          <w:sz w:val="32"/>
          <w:szCs w:val="32"/>
        </w:rPr>
        <w:t xml:space="preserve"> 4.1 理论基础</w:t>
      </w:r>
      <w:bookmarkEnd w:id="9"/>
    </w:p>
    <w:p w14:paraId="71CFF76B">
      <w:pPr>
        <w:pStyle w:val="4"/>
        <w:keepNext/>
        <w:spacing w:before="156" w:after="156"/>
      </w:pPr>
      <w:bookmarkStart w:id="11" w:name="_Toc11113"/>
      <w:r>
        <w:t xml:space="preserve"> </w:t>
      </w:r>
      <w:r>
        <w:rPr>
          <w:rFonts w:hint="eastAsia" w:eastAsia="宋体"/>
          <w:b/>
          <w:bCs/>
          <w:sz w:val="24"/>
          <w:szCs w:val="32"/>
        </w:rPr>
        <w:t xml:space="preserve">4.1.1 </w:t>
      </w:r>
      <w:bookmarkEnd w:id="11"/>
      <w:r>
        <w:rPr>
          <w:rFonts w:hint="eastAsia" w:eastAsia="宋体"/>
          <w:b/>
          <w:bCs/>
          <w:sz w:val="24"/>
          <w:szCs w:val="32"/>
        </w:rPr>
        <w:t>跨理论阶段模型（TTM）</w:t>
      </w:r>
    </w:p>
    <w:p w14:paraId="5253BD2E">
      <w:pPr>
        <w:spacing w:line="440" w:lineRule="exact"/>
        <w:ind w:firstLine="420"/>
        <w:rPr>
          <w:rFonts w:ascii="Times New Roman" w:hAnsi="Times New Roman" w:eastAsia="宋体" w:cs="Times New Roman"/>
          <w:sz w:val="24"/>
          <w:szCs w:val="32"/>
        </w:rPr>
      </w:pPr>
      <w:bookmarkStart w:id="12" w:name="_Toc22421"/>
      <w:r>
        <w:rPr>
          <w:rFonts w:ascii="Times New Roman" w:hAnsi="Times New Roman" w:eastAsia="宋体" w:cs="Times New Roman"/>
          <w:sz w:val="24"/>
          <w:szCs w:val="32"/>
        </w:rPr>
        <w:t>跨理论阶段模型（Transtheoretical Model, TTM），又称行为转变阶段模型，由美国心理学家Prochaska和Velicer于1997年系统提出。该模型认为，个体从无行为改变意向到最终建立新行为，是一个动态的、分阶段的过程，而非简单的二元选择。这一理论打破了传统行为干预研究中将人群简单划分为"改变者"和"未改变者"的做法，为理解人类行为改变的复杂性提供了更为精细的分析框架</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_Ref227265066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[47]</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p>
    <w:p w14:paraId="718D6A8B">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TTM理论包含四个核心概念：行为改变阶段、决策平衡、自我效能和改变过程。行为改变阶段是TTM理论最核心的概念，将个体的行为改变历程划分为五个依次递进的阶段。前意向阶段是个体尚未意识到问题行为或尚未考虑改变的阶段，该阶段的个体通常对自身行为的负面影响缺乏认知。意向阶段是个体开始意识到问题并认真考虑改变，但尚未做出承诺采取行动的阶段。准备阶段是个体已经决定采取行动，并开始进行相关准备的阶段。行动阶段是个体已经将目标行为付诸实践，但行为尚不稳定、需要持续巩固的阶段。维持阶段是指个体的目标行为已经持续足够长时间、成为其生活常态的阶段。</w:t>
      </w:r>
    </w:p>
    <w:p w14:paraId="593D58B8">
      <w:pPr>
        <w:spacing w:line="440" w:lineRule="exact"/>
        <w:ind w:firstLine="420"/>
        <w:rPr>
          <w:rFonts w:ascii="Times New Roman" w:hAnsi="Times New Roman" w:eastAsia="宋体" w:cs="Times New Roman"/>
          <w:sz w:val="24"/>
          <w:szCs w:val="32"/>
        </w:rPr>
      </w:pPr>
      <w:r>
        <w:rPr>
          <w:rFonts w:ascii="宋体" w:hAnsi="宋体" w:eastAsia="宋体" w:cs="宋体"/>
          <w:sz w:val="24"/>
        </w:rPr>
        <w:t>跨理论模型（TTM）的核心应用价值体现为对差异化行为干预策略设计的理论指引。通过对住宅光伏采用行为的元分析可见，感知益处、行为意图及其前因变量构成了太阳能技术接受度的关键驱动要素</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_Ref227265081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[48]</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同时，针对亲环境行为心理驱动因素的系统性元分析进一步证实，个体态度、主观规范以及感知行为控制在行为转化路径中发挥着核心解释效能，为分阶段干预逻辑的构建提供了实证支撑</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_Ref227263322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[28]</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研究显示，同一干预策略在不同行为阶段的个体身上的效果可能截然不同。对于前意向阶段的个体，应采取意识唤醒策略，通过呈现碳排放数据、环境变化证据等信息激发对低碳行为重要性的认识。对于意向阶段的个体，应提供平衡的利弊分析，帮助深化认知、增强改变的内在动机。对于准备阶段的个体，应提供具体的行动方案和步骤指导。对于行动阶段的个体，应提供及时的正向反馈和困难应对支持。对于维持阶段的个体，应鼓励行为深化和领域拓展。</w:t>
      </w:r>
    </w:p>
    <w:p w14:paraId="21817F5C">
      <w:pPr>
        <w:pStyle w:val="4"/>
        <w:keepNext/>
        <w:spacing w:before="156" w:after="156"/>
      </w:pPr>
      <w:r>
        <w:t>4.1.2 计划行为理论（TPB）</w:t>
      </w:r>
      <w:bookmarkEnd w:id="12"/>
    </w:p>
    <w:p w14:paraId="7FFFB134">
      <w:pPr>
        <w:spacing w:line="440" w:lineRule="exact"/>
        <w:ind w:firstLine="420"/>
        <w:rPr>
          <w:rFonts w:ascii="Times New Roman" w:hAnsi="Times New Roman" w:eastAsia="宋体" w:cs="Times New Roman"/>
          <w:sz w:val="24"/>
          <w:szCs w:val="32"/>
        </w:rPr>
      </w:pPr>
      <w:bookmarkStart w:id="13" w:name="_Toc7005"/>
      <w:r>
        <w:rPr>
          <w:rFonts w:ascii="Times New Roman" w:hAnsi="Times New Roman" w:eastAsia="宋体" w:cs="Times New Roman"/>
          <w:sz w:val="24"/>
          <w:szCs w:val="32"/>
        </w:rPr>
        <w:t>计划行为理论（Theory of Planned Behavior, TPB）由Icek Ajzen于1991年提出，是社会心理学领域解释和预测人类行为最具影响力的理论框架之一。该理论的核心假设是：个体的行为意向是行为的直接决定因素，而行为意向又受到态度、主观规范和感知行为控制三个要素的影响</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_Ref227265294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[49]</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p>
    <w:p w14:paraId="0F3E0E5B">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态度是指个体对执行某一特定行为所持有的正面或负面评价，其形成受到行为信念和结果评估的双重影响。在绿色消费情境中，消费者对低碳产品或行为的态度受到其对环境效益、经济成本、健康影响等多维结果的主观评价影响。主观规范是指个体感知到的社会压力，即是否采取某一行为感知到的来自重要他人或社会群体的期望。研究显示，感知到的社会规范（如周围人是否重视低碳生活）对个体的绿色消费意向具有显著影响。感知行为控制是指个体感知到的执行某一行为的难易程度，反映了个体对自身能力、资源和机会的主观评估。在低碳消费情境中，消费者感知的控制因素包括经济能力（是否买得起绿色产品）、时间成本（是否有时间践行低碳行为）、技术条件（是否有条件实施节能措施）等。</w:t>
      </w:r>
    </w:p>
    <w:p w14:paraId="5AB97347">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TPB理论为绿色低碳智能体的用户画像设计提供了理论框架。在画像维度设计方面，态度维度反映用户对低碳行为的认知评价，主观规范维度反映社会环境的影响，感知行为控制维度反映用户在实施低碳行为时所感知到的约束和资源。在干预策略设计方面，TPB理论提示系统需要从三个维度入手促进行为改变：提升态度维度可通过知识普及和益处展示来实现，主观规范维度可通过社会比较和同伴激励来激活，感知行为控制维度可通过降低行动门槛和提供资源支持来改善。</w:t>
      </w:r>
    </w:p>
    <w:p w14:paraId="178849CE">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TPB理论在绿色消费领域的实证研究取得了丰富成果。对北美消费者绿色购买行为的元分析研究发现，态度对绿色购买意向的影响效应量在所有TPB变量中最为稳定，标准化回归系数约为0.45。主观规范的影响效应量相对较小但显著，标准化系数约为0.20，这表明社会压力对绿色消费决策的作用不如个人态度来得直接。感知行为控制的影响效应量在0.15-0.30之间波动，在低收入群体中效应更为明显。</w:t>
      </w:r>
    </w:p>
    <w:p w14:paraId="62842399">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TTM与TPB的整合为绿色消费干预提供了更完整的理论视角。TTM关注行为改变的时间动态性，TPB关注特定时点行为的认知前因，两者的结合有助于设计既考虑阶段性特征又聚焦认知因素的综合干预方案。TTM综合理论框架将TPB要素整合进改变过程模型，指出在不同行为阶段，态度、主观规范和感知行为控制的作用强度会随个体从前期准备向行动阶段演进而变化。</w:t>
      </w:r>
    </w:p>
    <w:p w14:paraId="02569487">
      <w:pPr>
        <w:pStyle w:val="4"/>
        <w:keepNext/>
        <w:spacing w:before="156" w:after="156"/>
      </w:pPr>
      <w:r>
        <w:t>4.1.3 详尽可能性模型（ELM）</w:t>
      </w:r>
      <w:bookmarkEnd w:id="13"/>
    </w:p>
    <w:p w14:paraId="4E8CC0C1">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详尽可能性模型（Elaboration Likelihood Model，ELM）由Petty和Caciopko（1986）年提出，是说服理论中最具影响力的框架之一。该模型描述了说服过程中的两条基本路径：核心路径（central route）和边缘路径（peripheral route）</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w:instrText>
      </w:r>
      <w:r>
        <w:rPr>
          <w:rFonts w:hint="eastAsia" w:ascii="Times New Roman" w:hAnsi="Times New Roman" w:eastAsia="宋体" w:cs="Times New Roman"/>
          <w:sz w:val="24"/>
          <w:szCs w:val="32"/>
        </w:rPr>
        <w:instrText xml:space="preserve">REF _Ref227265926 \r \h</w:instrText>
      </w:r>
      <w:r>
        <w:rPr>
          <w:rFonts w:ascii="Times New Roman" w:hAnsi="Times New Roman" w:eastAsia="宋体" w:cs="Times New Roman"/>
          <w:sz w:val="24"/>
          <w:szCs w:val="32"/>
        </w:rPr>
        <w:instrText xml:space="preserve">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[50]</w:t>
      </w:r>
      <w:r>
        <w:rPr>
          <w:rFonts w:ascii="Times New Roman" w:hAnsi="Times New Roman" w:eastAsia="宋体" w:cs="Times New Roman"/>
          <w:sz w:val="24"/>
          <w:szCs w:val="32"/>
        </w:rPr>
        <w:fldChar w:fldCharType="end"/>
      </w:r>
      <w:r>
        <w:rPr>
          <w:rFonts w:hint="eastAsia" w:ascii="Times New Roman" w:hAnsi="Times New Roman" w:eastAsia="宋体" w:cs="Times New Roman"/>
          <w:sz w:val="24"/>
          <w:szCs w:val="32"/>
        </w:rPr>
        <w:t>。</w:t>
      </w:r>
    </w:p>
    <w:p w14:paraId="08CB916C">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核心路径指受众积极思考信息内容，基于论点的质量和逻辑进行态度改变。这种改变基于深思熟虑，更为持久，且更有可能预测未来的行为。边缘路径指受众不深入分析信息内容，而是基于表面线索（如信息来源的可信度、信息的呈现方式、情感诉求等）进行态度改变。</w:t>
      </w:r>
    </w:p>
    <w:p w14:paraId="04969688">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这一理论对干预策略设计具有重要启示：详尽可能性模型为理解说服过程中的两条基本路径—核心路径和边缘路径—提供了理论框架，对干预策略设计具有重要启示。对于高介入度的用户（如已处于意向阶段的用户），应提供高质量的论证信息；对于低介入度的用户（如仍处于前意向阶段的用户），可以通过可信的信息源、情感化的呈现方式等边缘线索吸引注意。</w:t>
      </w:r>
    </w:p>
    <w:p w14:paraId="20199F06">
      <w:pPr>
        <w:pStyle w:val="3"/>
        <w:keepNext/>
        <w:keepLines/>
        <w:adjustRightInd/>
        <w:spacing w:before="260" w:beforeLines="0" w:after="260" w:afterLines="0" w:line="416" w:lineRule="auto"/>
        <w:rPr>
          <w:rFonts w:eastAsiaTheme="majorEastAsia" w:cstheme="majorBidi"/>
          <w:b/>
          <w:bCs/>
          <w:sz w:val="32"/>
          <w:szCs w:val="32"/>
        </w:rPr>
      </w:pPr>
      <w:bookmarkStart w:id="14" w:name="_Toc8016"/>
      <w:r>
        <w:rPr>
          <w:rFonts w:hint="eastAsia" w:eastAsiaTheme="majorEastAsia" w:cstheme="majorBidi"/>
          <w:b/>
          <w:bCs/>
          <w:sz w:val="32"/>
          <w:szCs w:val="32"/>
        </w:rPr>
        <w:t>4.2 技术方案</w:t>
      </w:r>
      <w:bookmarkEnd w:id="14"/>
    </w:p>
    <w:p w14:paraId="11F664D3">
      <w:pPr>
        <w:spacing w:line="440" w:lineRule="exact"/>
        <w:ind w:firstLine="420"/>
        <w:rPr>
          <w:rFonts w:ascii="Times New Roman" w:hAnsi="Times New Roman" w:eastAsia="宋体" w:cs="Times New Roman"/>
          <w:sz w:val="24"/>
          <w:szCs w:val="32"/>
        </w:rPr>
      </w:pPr>
      <w:bookmarkStart w:id="15" w:name="_Toc24814"/>
      <w:r>
        <w:rPr>
          <w:rFonts w:ascii="Times New Roman" w:hAnsi="Times New Roman" w:eastAsia="宋体" w:cs="Times New Roman"/>
          <w:sz w:val="24"/>
          <w:szCs w:val="32"/>
        </w:rPr>
        <w:t>本文采用理论分析与系统实现相结合的研究方法，技术路线分为五个阶段。</w:t>
      </w:r>
    </w:p>
    <w:p w14:paraId="3486BC9C">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第一阶段为文献调研阶段。通过系统检索CNKI、Web of Science、Google Scholar等数据库，全面收集RAG技术、用户偏好建模、行为改变理论和绿色消费领域的研究文献；运用文献计量分析和内容分析方法，梳理研究脉络、识别研究空白、确定创新方向。</w:t>
      </w:r>
    </w:p>
    <w:p w14:paraId="2FFE6ADD">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第二阶段为理论分析阶段。深入研究TTM、TPB等行为改变理论的核心概念和作用机制；分析绿色消费行为与通用消费行为的差异特征；结合用户画像理论和大语言模型记忆管理研究，确定本文的理论框架。</w:t>
      </w:r>
    </w:p>
    <w:p w14:paraId="4E5670FB">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第三阶段为系统设计阶段。基于理论分析结果，完成智能体的整体架构设计；设计绿色低碳知识库的知识组织方式和更新机制；制定混合检索策略和RAG生成机制；规划三层记忆架构的功能划分和数据流转方式；设计基于TTM的分阶段行为干预流程。</w:t>
      </w:r>
    </w:p>
    <w:p w14:paraId="65393F13">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第四阶段为系统开发阶段。构建绿色低碳知识库，完成知识的收集、清洗、标注和入库工作；开发混合检索模块，实现稠密检索与稀疏检索的结果融合；实现三层记忆架构，完成偏好提取、标签更新和画像维护功能；集成TTM行为干预模块，实现阶段识别和差异化响应生成；完成前端交互界面开发，实现系统整体集成与调试。</w:t>
      </w:r>
    </w:p>
    <w:p w14:paraId="190C7DF1">
      <w:pPr>
        <w:spacing w:line="440" w:lineRule="exact"/>
        <w:ind w:firstLine="420"/>
        <w:rPr>
          <w:rFonts w:hint="eastAsia" w:ascii="Times New Roman" w:hAnsi="Times New Roman" w:eastAsia="宋体" w:cs="Times New Roman"/>
          <w:sz w:val="24"/>
          <w:szCs w:val="32"/>
        </w:rPr>
      </w:pPr>
      <w:r>
        <w:rPr>
          <w:rFonts w:ascii="Times New Roman" w:hAnsi="Times New Roman" w:eastAsia="宋体" w:cs="Times New Roman"/>
          <w:sz w:val="24"/>
          <w:szCs w:val="32"/>
        </w:rPr>
        <w:t>第五阶段为实验验证阶段。设计用户实验方案，明确实验目的、假设、变量和测量方法；招募受试者开展用户实验，收集知识问答准确率、用户满意度、行为改变效果等数据；运用统计分析方法验证研究假设，评估系统性能，识别改进方向</w:t>
      </w:r>
      <w:r>
        <w:rPr>
          <w:rFonts w:hint="eastAsia" w:ascii="Times New Roman" w:hAnsi="Times New Roman" w:eastAsia="宋体" w:cs="Times New Roman"/>
          <w:sz w:val="24"/>
          <w:szCs w:val="32"/>
        </w:rPr>
        <w:t>。</w:t>
      </w:r>
    </w:p>
    <w:p w14:paraId="0348657E">
      <w:pPr>
        <w:pStyle w:val="4"/>
        <w:keepNext/>
        <w:spacing w:before="156" w:after="156"/>
      </w:pPr>
      <w:r>
        <w:t>4.2.</w:t>
      </w:r>
      <w:r>
        <w:rPr>
          <w:rFonts w:hint="eastAsia"/>
        </w:rPr>
        <w:t>1</w:t>
      </w:r>
      <w:r>
        <w:t xml:space="preserve"> </w:t>
      </w:r>
      <w:bookmarkEnd w:id="15"/>
      <w:r>
        <w:t>检索增强生成技术方法</w:t>
      </w:r>
    </w:p>
    <w:p w14:paraId="0B6A3FCF">
      <w:pPr>
        <w:spacing w:line="440" w:lineRule="exact"/>
        <w:ind w:firstLine="420"/>
        <w:rPr>
          <w:rFonts w:ascii="Times New Roman" w:hAnsi="Times New Roman" w:eastAsia="宋体" w:cs="Times New Roman"/>
          <w:sz w:val="24"/>
          <w:szCs w:val="32"/>
        </w:rPr>
      </w:pPr>
      <w:bookmarkStart w:id="16" w:name="_Toc28946"/>
      <w:r>
        <w:rPr>
          <w:rFonts w:ascii="Times New Roman" w:hAnsi="Times New Roman" w:eastAsia="宋体" w:cs="Times New Roman"/>
          <w:sz w:val="24"/>
          <w:szCs w:val="32"/>
        </w:rPr>
        <w:t>检索增强生成（Retrieval-Augmented Generation, RAG）技术是解决大语言模型知识局限性的重要技术范式。RAG系统的核心架构包含三个主要组件：检索器（Retriever）、生成器（Generator）和编排策略（Orchestration Strategy）。检索器负责从外部知识库中获取与查询相关的知识片段，生成器负责基于检索结果生成最终回复，编排策略负责协调检索和生成的过程，决定何时检索、检索什么、如何融合检索结果等关键问题。</w:t>
      </w:r>
    </w:p>
    <w:p w14:paraId="061EA20D">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在检索器技术方面，主流方法可分为稀疏检索和稠密检索两大类。稀疏检索以BM25算法为代表，基于词频和逆文档频率的统计模型计算查询与文档的相关性。BM25算法的优点在于计算效率高、可解释性强，对于包含明确关键词的查询具有较好的召回效果。其局限性在于无法捕捉语义层面的相似性，对于同义词和表达方式变化的情况处理能力有限。稠密检索采用深度学习模型将查询和文档编码为稠密向量，通过向量相似度匹配实现语义检索。双编码器架构是稠密检索的经典方法，查询和文档分别通过独立的编码器映射到向量空间，检索时计算查询向量与文档向量的点积或余弦相似度获取相关性分数。Lewis等提出的密集段落检索（DPR）方法在多个开放域问答基准上取得了优异效果，验证了稠密检索的有效性</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_Ref227255431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p>
    <w:p w14:paraId="603B7985">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混合检索策略旨在结合稀疏检索和稠密检索的优势。常见的融合方式包括结果级融合和分数级融合。结果级融合分别执行两种检索方法，然后按一定策略合并结果；分数级融合对两种检索方法的相似度分数进行加权求和得到综合分数。相关研究已较为成熟提出的Pseudo-Relevance Feedback方法通过多轮检索迭代优化检索结果。</w:t>
      </w:r>
    </w:p>
    <w:p w14:paraId="64B1C5B9">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在生成器技术方面，如何有效利用检索结果生成高质量回复是关键挑战。早期的串联式架构将检索结果直接拼接至语言模型输入，这种方式简单但难以处理大量检索结果。后续研究探索了注意力机制融合、选择性读取、结果重写等技术。Fusion-in-Decoder方法在解码器层面融合多文档信息，提出的Atlas模型结合此技术并引入检索增强的预训练策略，明显改善了模型在知识密集型任务上的表现。Ma等系统综述了LLM与知识图谱融合的问答系统研究，指出知识图谱的语义结构能够有效弥补向量检索在跨文档关系推理方面的不足，为复杂低碳问题的多跳推理提供了结构化知识表示基础</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_Ref227266008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[51]</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。CogGRAG框架通过对人类认知逻辑的模拟，依托树状思维导图实现复杂问题的多步任务分解，从而显著增强了知识图谱问答路径中推理链条的完整表征</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_Ref227266053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[52]</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。混合型RAG框架则通过分层检索算法与知识图谱合成技术的深度融合，提升了大语言模型在专业知识密集型任务中的推理精确度，为垂直领域知识问答提供了范式支撑</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_Ref227266068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[53]</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在AI驱动的行为干预优化领域，双智能体Bandit干预框架（DABBI）利用推荐智能体与推送智能体的协同演化机制，实现了干预时机与干预内容的耦合优化，在既定推送预算约束下达成了准最优干预效能。此类研究为绿色低碳智能体的动态干预策略构建提供了关键技术参照，即通过知识检索与干预策略的双智能体分离设计，并辅以强化学习机制，可实现不同行为演化阶段下推送策略配置的动态增益</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_Ref227266091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[54]</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p>
    <w:p w14:paraId="12FB3E6D">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编排策略决定了RAG系统的整体行为流程。Naive RAG遵循简单的"query → retrieve → read → generate"流程。Advanced RAG在检索前后引入优化步骤，包括查询扩展、查询改写、结果重排序等。Modular RAG将系统拆分为独立的功能模块，支持根据任务需求灵活组合。Self-RAG通过反思机制让模型自主判断何时需要检索以及检索结果的可用性。</w:t>
      </w:r>
    </w:p>
    <w:p w14:paraId="4B968482">
      <w:pPr>
        <w:pStyle w:val="4"/>
        <w:keepNext/>
        <w:spacing w:before="156" w:after="156"/>
      </w:pPr>
      <w:r>
        <w:t>4.2.</w:t>
      </w:r>
      <w:r>
        <w:rPr>
          <w:rFonts w:hint="eastAsia"/>
        </w:rPr>
        <w:t>2</w:t>
      </w:r>
      <w:r>
        <w:t xml:space="preserve"> </w:t>
      </w:r>
      <w:bookmarkEnd w:id="16"/>
      <w:r>
        <w:t>用户偏好建模与贝叶斯更新算法</w:t>
      </w:r>
    </w:p>
    <w:p w14:paraId="68664FCF">
      <w:pPr>
        <w:spacing w:line="440" w:lineRule="exact"/>
        <w:ind w:firstLine="420"/>
        <w:rPr>
          <w:rFonts w:ascii="Times New Roman" w:hAnsi="Times New Roman" w:eastAsia="宋体" w:cs="Times New Roman"/>
          <w:sz w:val="24"/>
          <w:szCs w:val="32"/>
        </w:rPr>
      </w:pPr>
      <w:bookmarkStart w:id="17" w:name="_Toc13354"/>
      <w:r>
        <w:rPr>
          <w:rFonts w:ascii="Times New Roman" w:hAnsi="Times New Roman" w:eastAsia="宋体" w:cs="Times New Roman"/>
          <w:sz w:val="24"/>
          <w:szCs w:val="32"/>
        </w:rPr>
        <w:t>用户偏好建模是个性化服务系统的核心技术，旨在通过收集和分析用户的多维特征，构建能够反映用户兴趣、偏好和行为的数字化表示。在绿色低碳智能体中，用户偏好建模需要解决两个核心问题：如何表示用户的多维特征以及如何动态更新用户偏好。</w:t>
      </w:r>
    </w:p>
    <w:p w14:paraId="38109736">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用户画像的构建需要结合绿色低碳领域的特殊性进行设计。本文提出包含五个核心维度的用户画像体系。第一维度为环境认知水平，反映用户对气候变化成因、环境影响和低碳生活必要性等问题的认知深度。第二维度为低碳知识储备，刻画用户在碳排放计算、绿色产品鉴别、低碳生活技巧等方面的知识掌握程度。第三维度为行为阶段状态，基于TTM理论判断用户当前所处的行为改变阶段。第四维度为持续行为表现，记录用户在日常生活中的实际低碳行为执行情况。第五维度为社交影响因子，反映社会规范、同伴影响等外部因素对用户决策的作用程度。</w:t>
      </w:r>
    </w:p>
    <w:p w14:paraId="6F85B261">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偏好动态更新是用户画像系统的重要挑战。传统方法多采用简单的加权平均或指数滑动窗口，存在更新不及时、噪声敏感等问题。本文提出基于贝叶斯更新的动态用户画像更新算法，充分利用先验知识和观测数据，实现更加鲁棒和精准的偏好估计。贝叶斯更新的核心思想是：结合用户的历史画像（先验分布）和当前观测（似然函数），计算更新后的画像分布（后验分布）。当系统观测到用户的显式反馈（如评分、点赞、跳过等）时，利用反馈的类型和强度调整对应维度的画像参数。当系统观测到用户的隐式行为信号（如问答主题分布变化、会话时长变化、回复长度变化等）时，通过行为推断模型将这些信号转化为偏好更新。</w:t>
      </w:r>
    </w:p>
    <w:p w14:paraId="7719232E">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三层记忆架构为偏好建模提供了信息存储和访问的基础。工作记忆采用会话上下文的形式，维护当前对话轮次中的用户查询、系统回复和相关知识片段，支持实时的信息交换。短期记忆存储跨会话的用户状态信息，包括近期偏好变化、活跃度指标和会话历史摘要等，通过衰减机制平衡时效性和稳定性。长期记忆持久化存储用户的关键特征和累计记录，包括基础画像、行为日志和交互历史等，支持长期偏好挖掘和个性化推荐。三层记忆之间的数据流转遵循特定规则：工作记忆在会话结束时将关键信息压缩摘要后转入短期记忆，短期记忆在积累一定时间后对低频信息进行遗忘并将有价值信息转入长期记忆，长期记忆在用户再次出现时将其中的相关记忆激活并恢复到短期记忆状态供系统使用。</w:t>
      </w:r>
    </w:p>
    <w:p w14:paraId="1A6783F0">
      <w:pPr>
        <w:pStyle w:val="4"/>
        <w:keepNext/>
        <w:spacing w:before="156" w:after="156"/>
      </w:pPr>
      <w:r>
        <w:t>4.2.</w:t>
      </w:r>
      <w:r>
        <w:rPr>
          <w:rFonts w:hint="eastAsia"/>
        </w:rPr>
        <w:t>3</w:t>
      </w:r>
      <w:r>
        <w:t xml:space="preserve"> </w:t>
      </w:r>
      <w:bookmarkEnd w:id="17"/>
      <w:r>
        <w:t>混合检索与结果融合技术</w:t>
      </w:r>
    </w:p>
    <w:p w14:paraId="103D5B24">
      <w:pPr>
        <w:spacing w:line="440" w:lineRule="exact"/>
        <w:ind w:firstLine="420"/>
        <w:rPr>
          <w:rFonts w:ascii="Times New Roman" w:hAnsi="Times New Roman" w:eastAsia="宋体" w:cs="Times New Roman"/>
          <w:sz w:val="24"/>
          <w:szCs w:val="32"/>
        </w:rPr>
      </w:pPr>
      <w:bookmarkStart w:id="18" w:name="_Toc27476"/>
      <w:r>
        <w:rPr>
          <w:rFonts w:ascii="Times New Roman" w:hAnsi="Times New Roman" w:eastAsia="宋体" w:cs="Times New Roman"/>
          <w:sz w:val="24"/>
          <w:szCs w:val="32"/>
        </w:rPr>
        <w:t>混合检索技术通过结合多种检索方法的优势，提升检索系统在不同查询类型下的整体性能。本文设计的混合检索策略整合稠密检索、稀疏检索和重排序模型，实现多层次、多维度的知识召回。</w:t>
      </w:r>
    </w:p>
    <w:p w14:paraId="1CDE3C76">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稠密检索模块采用预训练语言模型作为编码器，将查询和文档映射到低维稠密向量空间。考虑到绿色低碳领域知识的专业性，本文选用在中文语料上预训练的大语言模型作为基础编码器，并针对低碳领域术语进行微调，提升领域知识的编码质量。检索时，通过向量相似度搜索获取候选文档集合，并设置相似度阈值过滤低相关结果。</w:t>
      </w:r>
    </w:p>
    <w:p w14:paraId="14C2402E">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稀疏检索模块基于BM25算法实现，利用词频和逆文档频率计算查询词与文档的相关性得分。BM25的词项权重计算考虑了文档长度归一化和词频饱和效应，能够较好地处理不同长度的文档。对于包含精确低碳术语或政策文件编号的查询，稀疏检索模块能够提供精确匹配结果。</w:t>
      </w:r>
    </w:p>
    <w:p w14:paraId="7B24D8DC">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稠密检索和稀疏检索的结果融合采用分数级融合策略。设查询为q，文档为d，稠密检索分数为</w:t>
      </w:r>
      <w:r>
        <w:rPr>
          <w:rFonts w:ascii="Times New Roman" w:hAnsi="Times New Roman" w:eastAsia="宋体" w:cs="Times New Roman"/>
          <w:position w:val="-14"/>
          <w:sz w:val="24"/>
          <w:szCs w:val="32"/>
        </w:rPr>
        <w:object>
          <v:shape id="_x0000_i1025" o:spt="75" type="#_x0000_t75" style="height:19.9pt;width:76.9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宋体" w:cs="Times New Roman"/>
          <w:sz w:val="24"/>
          <w:szCs w:val="32"/>
        </w:rPr>
        <w:t>，稀疏检索分数为</w:t>
      </w:r>
      <w:r>
        <w:rPr>
          <w:rFonts w:ascii="Times New Roman" w:hAnsi="Times New Roman" w:eastAsia="宋体" w:cs="Times New Roman"/>
          <w:position w:val="-14"/>
          <w:sz w:val="24"/>
          <w:szCs w:val="32"/>
        </w:rPr>
        <w:object>
          <v:shape id="_x0000_i1026" o:spt="75" type="#_x0000_t75" style="height:19.9pt;width:82.1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宋体" w:cs="Times New Roman"/>
          <w:sz w:val="24"/>
          <w:szCs w:val="32"/>
        </w:rPr>
        <w:t>，则融合分数为：</w:t>
      </w:r>
      <w:r>
        <w:rPr>
          <w:rFonts w:ascii="Times New Roman" w:hAnsi="Times New Roman" w:eastAsia="宋体" w:cs="Times New Roman"/>
          <w:position w:val="-14"/>
          <w:sz w:val="24"/>
          <w:szCs w:val="32"/>
        </w:rPr>
        <w:object>
          <v:shape id="_x0000_i1027" o:spt="75" type="#_x0000_t75" style="height:19.9pt;width:328.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宋体" w:cs="Times New Roman"/>
          <w:sz w:val="24"/>
          <w:szCs w:val="32"/>
        </w:rPr>
        <w:t>。其中α为融合权重参数，通过实验验证确定其最优取值。的研究验证了，简单的线性融合在多数情况下能够取得接近甚至超过复杂融合策略的效果。</w:t>
      </w:r>
    </w:p>
    <w:p w14:paraId="4FA059F2">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重排序模块对初步融合结果进行二次优化。交叉编码器将查询和候选文档一起输入语言模型，输出细粒度的相关性分数，能够捕捉查询和文档之间的复杂交互关系。重排序阶段从候选集合中选取top-k结果进行精细化排序，明显改善最终检索结果的相关性。MonoBERT模型将查询-文档对拼接后输入预训练语言模型，通过回归输出得到相关性分数，在MS MARCO等检索基准上取得了state-of-the-art结果</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_Ref227255431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p>
    <w:p w14:paraId="55A773A7">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在融合权重优化方面，α参数的最优取值与查询类型密切相关。对于事实性查询（如"北京市碳排放补贴标准"），稀疏检索往往表现更好，α应设置较低值（如0.3）；对于概念性查询（如"如何过低碳生活"），稠密检索更能捕捉语义相关性，α应设置较高值（如0.7）。自适应融合策略根据查询特征动态调整α取值，能够进一步提升融合效果。本文通过分析查询的词频分布、实体密度和语义复杂度等特征，设计自适应的α调整机制。</w:t>
      </w:r>
    </w:p>
    <w:p w14:paraId="140CA63C">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在答案生成维度，RAG系统致力于检索结果的逻辑内化，以产出具备连贯性、准确性且契合行为引导目标的交互文本。双向Transformer架构的演进为预训练语言模型奠定了底座支撑，推动了自然语言处理任务的范式跃迁</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_Ref227266184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[55]</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。而TeaRAG框架等技术的提出，则在智能问答语境下实现了检索效能的深度优化</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_Ref227266200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[56]</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通过混合检索方法在科技文献匹配中的应用，以及大语言模型驱动下推荐系统的体系化革新，信息分发的精准度得到显著提升</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_Ref227266216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[57]</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_Ref227266238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[58]</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。为强化系统评估与交互逻辑，用户模拟器RecUserSim为对话推荐系统提供了方法论支撑</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_Ref227255525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[7]</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；同时，Web注意力引导与社区感知知识图谱个性化方法的融合，进一步增强了RAG系统在复杂语义环境下的表征能力</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_Ref227266355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[59]</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_Ref227266370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[60]</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。教育领域大语言模型对话系统EduChat的开发，实现了教学场景下特定语义理解与交互逻辑的深度整合</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_Ref227266385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[61]</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而深度自适应兴趣网络在上下文感知推荐中的应用，则实现了用户潜在偏好的动态捕捉与精准匹配</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_Ref227266415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[62]</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针对个性化对话场景，情景记忆推理方法的引入强化了对话生成的连贯性与情境一致性</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_Ref227266439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[63]</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。辅以图增强关联记忆方法GAAMA对知识关联性的提取，进一步优化了复杂信息的表征深度</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_Ref227266454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[64]</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w:t>
      </w:r>
      <w:r>
        <w:rPr>
          <w:rFonts w:ascii="宋体" w:hAnsi="宋体" w:eastAsia="宋体" w:cs="宋体"/>
          <w:sz w:val="24"/>
        </w:rPr>
        <w:t>在系统架构层面，AI智能体记忆操作系统的构建与具备上下文及时间敏感性的长期记忆机制研究，共同完善了智能体在长周期交互中的信息存取与时序处理能力</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_Ref227262752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[21]</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_Ref227266493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[65]</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。针对特定领域的推理需求，领域分区混合RAG技术在法律逻辑推演中表现出严密的论证潜力</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_Ref227266510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[66]</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。而知识图谱与向量RAG的有机整合则为金融数据的高效提取提供了结构化路径</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_Ref227266522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[67]</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。在推荐算法演进方面，基于分类引导的零样本推荐方法突破了对标注数据的依赖瓶颈</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_Ref227266540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[68]</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。同时，结合显式角色定义与对比学习的新闻推荐网络PerCoNet，通过多维度特征对比提升了内容分发的精准度</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_Ref227266554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[69]</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。此外，领域特定多模态知识图谱检索方法DSRAG的提出，扩展了跨模态信息的检索维度</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_Ref227266566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[70]</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。与之相呼应的基于知识图谱的检索增强生成技术，有效解决了情报问答中的事实幻觉与实时性挑战</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_Ref227266594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[71]</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。在专业知识服务领域，中医古籍方剂数据挖掘系统与审计知识智能问答系统的构建，分别论证了大规模预训练模型在传统医学传承与现代审计风控中的知识重组及自动化问答价值</w:t>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_Ref227266580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[72]</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fldChar w:fldCharType="begin"/>
      </w:r>
      <w:r>
        <w:rPr>
          <w:rFonts w:ascii="Times New Roman" w:hAnsi="Times New Roman" w:eastAsia="宋体" w:cs="Times New Roman"/>
          <w:sz w:val="24"/>
          <w:szCs w:val="32"/>
        </w:rPr>
        <w:instrText xml:space="preserve"> REF _Ref227266606 \r \h </w:instrText>
      </w:r>
      <w:r>
        <w:rPr>
          <w:rFonts w:ascii="Times New Roman" w:hAnsi="Times New Roman" w:eastAsia="宋体" w:cs="Times New Roman"/>
          <w:sz w:val="24"/>
          <w:szCs w:val="32"/>
        </w:rPr>
        <w:fldChar w:fldCharType="separate"/>
      </w:r>
      <w:r>
        <w:rPr>
          <w:rFonts w:ascii="Times New Roman" w:hAnsi="Times New Roman" w:eastAsia="宋体" w:cs="Times New Roman"/>
          <w:sz w:val="24"/>
          <w:szCs w:val="32"/>
          <w:vertAlign w:val="superscript"/>
        </w:rPr>
        <w:t>[73]</w:t>
      </w:r>
      <w:r>
        <w:rPr>
          <w:rFonts w:ascii="Times New Roman" w:hAnsi="Times New Roman" w:eastAsia="宋体" w:cs="Times New Roman"/>
          <w:sz w:val="24"/>
          <w:szCs w:val="32"/>
        </w:rPr>
        <w:fldChar w:fldCharType="end"/>
      </w:r>
      <w:r>
        <w:rPr>
          <w:rFonts w:ascii="Times New Roman" w:hAnsi="Times New Roman" w:eastAsia="宋体" w:cs="Times New Roman"/>
          <w:sz w:val="24"/>
          <w:szCs w:val="32"/>
        </w:rPr>
        <w:t>。生成器以检索到的知识片段为上下文输入，结合用户的查询意图和当前行为阶段信息，生成针对性的响应内容。系统采用提示工程方法，在生成提示中嵌入行为阶段标识和干预目标，引导模型生成既包含知识信息又具备引导价值的回复。对于前意向阶段用户，生成内容侧重问题感知和重要性认知；对于意向阶段用户，生成内容侧重动机激发和利弊分析；对于行动阶段用户，生成内容侧重方案推荐和资源提供。</w:t>
      </w:r>
    </w:p>
    <w:p w14:paraId="44521A19">
      <w:pPr>
        <w:keepNext/>
        <w:keepLines/>
        <w:pageBreakBefore/>
        <w:spacing w:before="340" w:after="330" w:line="576" w:lineRule="auto"/>
        <w:outlineLvl w:val="0"/>
        <w:rPr>
          <w:rFonts w:ascii="Times New Roman" w:hAnsi="Times New Roman" w:eastAsia="宋体" w:cs="Times New Roman"/>
          <w:b/>
          <w:kern w:val="44"/>
          <w:sz w:val="44"/>
          <w:szCs w:val="32"/>
        </w:rPr>
      </w:pPr>
      <w:r>
        <w:rPr>
          <w:rFonts w:hint="eastAsia" w:ascii="Times New Roman" w:hAnsi="Times New Roman" w:eastAsia="宋体" w:cs="Times New Roman"/>
          <w:b/>
          <w:kern w:val="44"/>
          <w:sz w:val="44"/>
          <w:szCs w:val="32"/>
        </w:rPr>
        <w:t>5 特色与创新点</w:t>
      </w:r>
    </w:p>
    <w:bookmarkEnd w:id="18"/>
    <w:p w14:paraId="1CC003CE">
      <w:pPr>
        <w:spacing w:line="440" w:lineRule="exact"/>
        <w:ind w:firstLine="420"/>
        <w:rPr>
          <w:rFonts w:ascii="Times New Roman" w:hAnsi="Times New Roman" w:eastAsia="宋体" w:cs="Times New Roman"/>
          <w:sz w:val="24"/>
          <w:szCs w:val="32"/>
        </w:rPr>
      </w:pPr>
      <w:bookmarkStart w:id="19" w:name="_Toc31856"/>
      <w:r>
        <w:rPr>
          <w:rFonts w:hint="eastAsia" w:ascii="Times New Roman" w:hAnsi="Times New Roman" w:eastAsia="宋体" w:cs="Times New Roman"/>
          <w:sz w:val="24"/>
          <w:szCs w:val="32"/>
        </w:rPr>
        <w:t>本文创新点如下：</w:t>
      </w:r>
    </w:p>
    <w:p w14:paraId="0D5EBDB2">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①创新性融合跨理论阶段模型（TTM）与检索增强生成（RAG）技术，设计TTM-RAG低碳行为引导智能体架构。针对现有RAG侧重知识准确性、忽视行为引导的空白，根据用户TTM不同行为阶段，动态调整知识检索与响应生成策略，实现知识供给与行为引导的双重目标，是行为改变理论与RAG技术的首次深度整合。</w:t>
      </w:r>
    </w:p>
    <w:p w14:paraId="06A01090">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②构建长短期记忆融合的动态用户画像更新机制及分层记忆架构。针对现有记忆机制不足及电商画像不适配低碳场景的问题，设计适配低碳场景的多维用户画像体系，提出贝叶斯更新算法，综合显式与隐式反馈实现动态调整；通过工作、短期、长期三层记忆，为个性化服务提供持久支撑。</w:t>
      </w:r>
    </w:p>
    <w:p w14:paraId="45A80EF2">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③设计绿色低碳领域垂类知识库架构，支持多源知识统一管理与动态更新。结合低碳知识多元、时效强、交叉性的特点，整合多类型知识资源，设计基于碳排放因子库的多维度索引结构，构建半自动化更新机制，为低碳智能问答提供专业化知识支撑。</w:t>
      </w:r>
    </w:p>
    <w:p w14:paraId="5B524150">
      <w:pPr>
        <w:spacing w:line="440" w:lineRule="exact"/>
        <w:ind w:firstLine="420"/>
        <w:rPr>
          <w:rFonts w:ascii="Times New Roman" w:hAnsi="Times New Roman" w:eastAsia="宋体" w:cs="Times New Roman"/>
          <w:sz w:val="24"/>
          <w:szCs w:val="32"/>
        </w:rPr>
      </w:pPr>
    </w:p>
    <w:p w14:paraId="7DA08D60">
      <w:pPr>
        <w:keepNext/>
        <w:keepLines/>
        <w:pageBreakBefore/>
        <w:spacing w:before="340" w:after="330" w:line="576" w:lineRule="auto"/>
        <w:outlineLvl w:val="0"/>
        <w:rPr>
          <w:rFonts w:ascii="Times New Roman" w:hAnsi="Times New Roman" w:eastAsia="宋体" w:cs="Times New Roman"/>
          <w:b/>
          <w:kern w:val="44"/>
          <w:sz w:val="44"/>
          <w:szCs w:val="32"/>
        </w:rPr>
      </w:pPr>
      <w:r>
        <w:rPr>
          <w:rFonts w:hint="eastAsia" w:ascii="Times New Roman" w:hAnsi="Times New Roman" w:eastAsia="宋体" w:cs="Times New Roman"/>
          <w:b/>
          <w:kern w:val="44"/>
          <w:sz w:val="44"/>
          <w:szCs w:val="32"/>
        </w:rPr>
        <w:t>6 进度安排</w:t>
      </w:r>
    </w:p>
    <w:tbl>
      <w:tblPr>
        <w:tblStyle w:val="19"/>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4"/>
        <w:gridCol w:w="4396"/>
        <w:gridCol w:w="2777"/>
        <w:gridCol w:w="1055"/>
      </w:tblGrid>
      <w:tr w14:paraId="1C70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44" w:type="dxa"/>
          </w:tcPr>
          <w:p w14:paraId="135C8A9F">
            <w:pPr>
              <w:spacing w:line="440" w:lineRule="exact"/>
              <w:rPr>
                <w:rFonts w:ascii="Times New Roman" w:hAnsi="Times New Roman" w:eastAsia="宋体" w:cs="Times New Roman"/>
                <w:sz w:val="24"/>
                <w:szCs w:val="32"/>
              </w:rPr>
            </w:pPr>
            <w:r>
              <w:rPr>
                <w:rFonts w:hint="eastAsia" w:ascii="Times New Roman" w:hAnsi="Times New Roman" w:eastAsia="宋体" w:cs="Times New Roman"/>
                <w:sz w:val="24"/>
                <w:szCs w:val="32"/>
              </w:rPr>
              <w:t>序号</w:t>
            </w:r>
          </w:p>
        </w:tc>
        <w:tc>
          <w:tcPr>
            <w:tcW w:w="4396" w:type="dxa"/>
          </w:tcPr>
          <w:p w14:paraId="603EBB38">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毕业设计（论文）各阶段内容</w:t>
            </w:r>
          </w:p>
        </w:tc>
        <w:tc>
          <w:tcPr>
            <w:tcW w:w="2777" w:type="dxa"/>
          </w:tcPr>
          <w:p w14:paraId="61A13BCB">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时间安排</w:t>
            </w:r>
          </w:p>
        </w:tc>
        <w:tc>
          <w:tcPr>
            <w:tcW w:w="1055" w:type="dxa"/>
          </w:tcPr>
          <w:p w14:paraId="017FBC88">
            <w:pPr>
              <w:spacing w:line="440" w:lineRule="exact"/>
              <w:rPr>
                <w:rFonts w:ascii="Times New Roman" w:hAnsi="Times New Roman" w:eastAsia="宋体" w:cs="Times New Roman"/>
                <w:sz w:val="24"/>
                <w:szCs w:val="32"/>
              </w:rPr>
            </w:pPr>
            <w:r>
              <w:rPr>
                <w:rFonts w:hint="eastAsia" w:ascii="Times New Roman" w:hAnsi="Times New Roman" w:eastAsia="宋体" w:cs="Times New Roman"/>
                <w:sz w:val="24"/>
                <w:szCs w:val="32"/>
              </w:rPr>
              <w:t>备注</w:t>
            </w:r>
          </w:p>
        </w:tc>
      </w:tr>
      <w:tr w14:paraId="1ECE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1E7DED10">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1</w:t>
            </w:r>
          </w:p>
        </w:tc>
        <w:tc>
          <w:tcPr>
            <w:tcW w:w="4396" w:type="dxa"/>
            <w:vAlign w:val="center"/>
          </w:tcPr>
          <w:p w14:paraId="5FFC3386">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查看资料，阅读文献</w:t>
            </w:r>
          </w:p>
        </w:tc>
        <w:tc>
          <w:tcPr>
            <w:tcW w:w="2777" w:type="dxa"/>
            <w:vAlign w:val="center"/>
          </w:tcPr>
          <w:p w14:paraId="6951806B">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.01-202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.0</w:t>
            </w:r>
            <w:r>
              <w:rPr>
                <w:rFonts w:hint="eastAsia" w:ascii="Times New Roman" w:hAnsi="Times New Roman" w:eastAsia="宋体" w:cs="Times New Roman"/>
                <w:sz w:val="24"/>
                <w:szCs w:val="32"/>
              </w:rPr>
              <w:t>5</w:t>
            </w:r>
          </w:p>
        </w:tc>
        <w:tc>
          <w:tcPr>
            <w:tcW w:w="1055" w:type="dxa"/>
            <w:vAlign w:val="center"/>
          </w:tcPr>
          <w:p w14:paraId="76B87E35">
            <w:pPr>
              <w:spacing w:line="440" w:lineRule="exact"/>
              <w:ind w:firstLine="420"/>
              <w:rPr>
                <w:rFonts w:ascii="Times New Roman" w:hAnsi="Times New Roman" w:eastAsia="宋体" w:cs="Times New Roman"/>
                <w:sz w:val="24"/>
                <w:szCs w:val="32"/>
              </w:rPr>
            </w:pPr>
          </w:p>
        </w:tc>
      </w:tr>
      <w:tr w14:paraId="5DF6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783639B8">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w:t>
            </w:r>
          </w:p>
        </w:tc>
        <w:tc>
          <w:tcPr>
            <w:tcW w:w="4396" w:type="dxa"/>
            <w:vAlign w:val="center"/>
          </w:tcPr>
          <w:p w14:paraId="53513371">
            <w:pPr>
              <w:spacing w:line="440" w:lineRule="exact"/>
              <w:ind w:firstLine="420"/>
              <w:rPr>
                <w:rFonts w:ascii="Times New Roman" w:hAnsi="Times New Roman" w:eastAsia="宋体" w:cs="Times New Roman"/>
                <w:sz w:val="24"/>
                <w:szCs w:val="32"/>
              </w:rPr>
            </w:pPr>
            <w:r>
              <w:rPr>
                <w:rFonts w:ascii="宋体" w:hAnsi="宋体" w:eastAsia="宋体" w:cs="宋体"/>
                <w:sz w:val="24"/>
              </w:rPr>
              <w:t>绿色低碳智能体与消费者偏好研究现状分析</w:t>
            </w:r>
          </w:p>
        </w:tc>
        <w:tc>
          <w:tcPr>
            <w:tcW w:w="2777" w:type="dxa"/>
            <w:vAlign w:val="center"/>
          </w:tcPr>
          <w:p w14:paraId="6D2F4998">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.06-202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.07</w:t>
            </w:r>
          </w:p>
        </w:tc>
        <w:tc>
          <w:tcPr>
            <w:tcW w:w="1055" w:type="dxa"/>
            <w:vAlign w:val="center"/>
          </w:tcPr>
          <w:p w14:paraId="4A273A5D">
            <w:pPr>
              <w:spacing w:line="440" w:lineRule="exact"/>
              <w:ind w:firstLine="420"/>
              <w:rPr>
                <w:rFonts w:ascii="Times New Roman" w:hAnsi="Times New Roman" w:eastAsia="宋体" w:cs="Times New Roman"/>
                <w:sz w:val="24"/>
                <w:szCs w:val="32"/>
              </w:rPr>
            </w:pPr>
          </w:p>
        </w:tc>
      </w:tr>
      <w:tr w14:paraId="4E20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626B59C3">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3</w:t>
            </w:r>
          </w:p>
        </w:tc>
        <w:tc>
          <w:tcPr>
            <w:tcW w:w="4396" w:type="dxa"/>
            <w:vAlign w:val="center"/>
          </w:tcPr>
          <w:p w14:paraId="4B5F6CA0">
            <w:pPr>
              <w:spacing w:line="440" w:lineRule="exact"/>
              <w:ind w:firstLine="420"/>
              <w:rPr>
                <w:rFonts w:ascii="Times New Roman" w:hAnsi="Times New Roman" w:eastAsia="宋体" w:cs="Times New Roman"/>
                <w:sz w:val="24"/>
                <w:szCs w:val="32"/>
              </w:rPr>
            </w:pPr>
            <w:r>
              <w:rPr>
                <w:rFonts w:ascii="宋体" w:hAnsi="宋体" w:eastAsia="宋体" w:cs="宋体"/>
                <w:sz w:val="24"/>
              </w:rPr>
              <w:t>基于消费者偏好建模的绿色低碳智能体构建</w:t>
            </w:r>
          </w:p>
        </w:tc>
        <w:tc>
          <w:tcPr>
            <w:tcW w:w="2777" w:type="dxa"/>
            <w:vAlign w:val="center"/>
          </w:tcPr>
          <w:p w14:paraId="26D70759">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.08-202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.09</w:t>
            </w:r>
          </w:p>
        </w:tc>
        <w:tc>
          <w:tcPr>
            <w:tcW w:w="1055" w:type="dxa"/>
            <w:vAlign w:val="center"/>
          </w:tcPr>
          <w:p w14:paraId="2241B747">
            <w:pPr>
              <w:spacing w:line="440" w:lineRule="exact"/>
              <w:ind w:firstLine="420"/>
              <w:rPr>
                <w:rFonts w:ascii="Times New Roman" w:hAnsi="Times New Roman" w:eastAsia="宋体" w:cs="Times New Roman"/>
                <w:sz w:val="24"/>
                <w:szCs w:val="32"/>
              </w:rPr>
            </w:pPr>
          </w:p>
        </w:tc>
      </w:tr>
      <w:tr w14:paraId="39F7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5E267C1B">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4</w:t>
            </w:r>
          </w:p>
        </w:tc>
        <w:tc>
          <w:tcPr>
            <w:tcW w:w="4396" w:type="dxa"/>
            <w:vAlign w:val="center"/>
          </w:tcPr>
          <w:p w14:paraId="0573F8EB">
            <w:pPr>
              <w:spacing w:line="440" w:lineRule="exact"/>
              <w:ind w:firstLine="420"/>
              <w:rPr>
                <w:rFonts w:ascii="Times New Roman" w:hAnsi="Times New Roman" w:eastAsia="宋体" w:cs="Times New Roman"/>
                <w:sz w:val="24"/>
                <w:szCs w:val="32"/>
              </w:rPr>
            </w:pPr>
            <w:r>
              <w:rPr>
                <w:rFonts w:ascii="宋体" w:hAnsi="宋体" w:eastAsia="宋体" w:cs="宋体"/>
                <w:sz w:val="24"/>
              </w:rPr>
              <w:t>绿色低碳智能体实验验证与效果分析</w:t>
            </w:r>
          </w:p>
        </w:tc>
        <w:tc>
          <w:tcPr>
            <w:tcW w:w="2777" w:type="dxa"/>
            <w:vAlign w:val="center"/>
          </w:tcPr>
          <w:p w14:paraId="4D21126E">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.10-202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.10</w:t>
            </w:r>
          </w:p>
        </w:tc>
        <w:tc>
          <w:tcPr>
            <w:tcW w:w="1055" w:type="dxa"/>
            <w:vAlign w:val="center"/>
          </w:tcPr>
          <w:p w14:paraId="08CCF59C">
            <w:pPr>
              <w:spacing w:line="440" w:lineRule="exact"/>
              <w:ind w:firstLine="420"/>
              <w:rPr>
                <w:rFonts w:ascii="Times New Roman" w:hAnsi="Times New Roman" w:eastAsia="宋体" w:cs="Times New Roman"/>
                <w:sz w:val="24"/>
                <w:szCs w:val="32"/>
              </w:rPr>
            </w:pPr>
          </w:p>
        </w:tc>
      </w:tr>
      <w:tr w14:paraId="07C2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54E7FC03">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5</w:t>
            </w:r>
          </w:p>
        </w:tc>
        <w:tc>
          <w:tcPr>
            <w:tcW w:w="4396" w:type="dxa"/>
            <w:vAlign w:val="center"/>
          </w:tcPr>
          <w:p w14:paraId="62BBED9B">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撰写毕业论文</w:t>
            </w:r>
          </w:p>
        </w:tc>
        <w:tc>
          <w:tcPr>
            <w:tcW w:w="2777" w:type="dxa"/>
            <w:vAlign w:val="center"/>
          </w:tcPr>
          <w:p w14:paraId="5E975070">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.11-202</w:t>
            </w:r>
            <w:r>
              <w:rPr>
                <w:rFonts w:hint="eastAsia" w:ascii="Times New Roman" w:hAnsi="Times New Roman" w:eastAsia="宋体" w:cs="Times New Roman"/>
                <w:sz w:val="24"/>
                <w:szCs w:val="32"/>
              </w:rPr>
              <w:t>6</w:t>
            </w:r>
            <w:r>
              <w:rPr>
                <w:rFonts w:ascii="Times New Roman" w:hAnsi="Times New Roman" w:eastAsia="宋体" w:cs="Times New Roman"/>
                <w:sz w:val="24"/>
                <w:szCs w:val="32"/>
              </w:rPr>
              <w:t>.12</w:t>
            </w:r>
          </w:p>
        </w:tc>
        <w:tc>
          <w:tcPr>
            <w:tcW w:w="1055" w:type="dxa"/>
            <w:vAlign w:val="center"/>
          </w:tcPr>
          <w:p w14:paraId="6DF5BF90">
            <w:pPr>
              <w:spacing w:line="440" w:lineRule="exact"/>
              <w:ind w:firstLine="420"/>
              <w:rPr>
                <w:rFonts w:ascii="Times New Roman" w:hAnsi="Times New Roman" w:eastAsia="宋体" w:cs="Times New Roman"/>
                <w:sz w:val="24"/>
                <w:szCs w:val="32"/>
              </w:rPr>
            </w:pPr>
          </w:p>
        </w:tc>
      </w:tr>
      <w:tr w14:paraId="061C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4" w:type="dxa"/>
            <w:vAlign w:val="center"/>
          </w:tcPr>
          <w:p w14:paraId="5A205CD8">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6</w:t>
            </w:r>
          </w:p>
        </w:tc>
        <w:tc>
          <w:tcPr>
            <w:tcW w:w="4396" w:type="dxa"/>
            <w:vAlign w:val="center"/>
          </w:tcPr>
          <w:p w14:paraId="2696B385">
            <w:pPr>
              <w:spacing w:line="440" w:lineRule="exact"/>
              <w:ind w:firstLine="420"/>
              <w:rPr>
                <w:rFonts w:ascii="Times New Roman" w:hAnsi="Times New Roman" w:eastAsia="宋体" w:cs="Times New Roman"/>
                <w:sz w:val="24"/>
                <w:szCs w:val="32"/>
              </w:rPr>
            </w:pPr>
            <w:r>
              <w:rPr>
                <w:rFonts w:hint="eastAsia" w:ascii="Times New Roman" w:hAnsi="Times New Roman" w:eastAsia="宋体" w:cs="Times New Roman"/>
                <w:sz w:val="24"/>
                <w:szCs w:val="32"/>
              </w:rPr>
              <w:t>修改毕业论文</w:t>
            </w:r>
          </w:p>
        </w:tc>
        <w:tc>
          <w:tcPr>
            <w:tcW w:w="2777" w:type="dxa"/>
            <w:vAlign w:val="center"/>
          </w:tcPr>
          <w:p w14:paraId="7E71C21D">
            <w:pPr>
              <w:spacing w:line="440" w:lineRule="exact"/>
              <w:ind w:firstLine="420"/>
              <w:rPr>
                <w:rFonts w:ascii="Times New Roman" w:hAnsi="Times New Roman" w:eastAsia="宋体" w:cs="Times New Roman"/>
                <w:sz w:val="24"/>
                <w:szCs w:val="32"/>
              </w:rPr>
            </w:pPr>
            <w:r>
              <w:rPr>
                <w:rFonts w:ascii="Times New Roman" w:hAnsi="Times New Roman" w:eastAsia="宋体" w:cs="Times New Roman"/>
                <w:sz w:val="24"/>
                <w:szCs w:val="32"/>
              </w:rPr>
              <w:t>202</w:t>
            </w:r>
            <w:r>
              <w:rPr>
                <w:rFonts w:hint="eastAsia" w:ascii="Times New Roman" w:hAnsi="Times New Roman" w:eastAsia="宋体" w:cs="Times New Roman"/>
                <w:sz w:val="24"/>
                <w:szCs w:val="32"/>
              </w:rPr>
              <w:t>7</w:t>
            </w:r>
            <w:r>
              <w:rPr>
                <w:rFonts w:ascii="Times New Roman" w:hAnsi="Times New Roman" w:eastAsia="宋体" w:cs="Times New Roman"/>
                <w:sz w:val="24"/>
                <w:szCs w:val="32"/>
              </w:rPr>
              <w:t>.01-202</w:t>
            </w:r>
            <w:r>
              <w:rPr>
                <w:rFonts w:hint="eastAsia" w:ascii="Times New Roman" w:hAnsi="Times New Roman" w:eastAsia="宋体" w:cs="Times New Roman"/>
                <w:sz w:val="24"/>
                <w:szCs w:val="32"/>
              </w:rPr>
              <w:t>7</w:t>
            </w:r>
            <w:r>
              <w:rPr>
                <w:rFonts w:ascii="Times New Roman" w:hAnsi="Times New Roman" w:eastAsia="宋体" w:cs="Times New Roman"/>
                <w:sz w:val="24"/>
                <w:szCs w:val="32"/>
              </w:rPr>
              <w:t>.02</w:t>
            </w:r>
          </w:p>
        </w:tc>
        <w:tc>
          <w:tcPr>
            <w:tcW w:w="1055" w:type="dxa"/>
            <w:vAlign w:val="center"/>
          </w:tcPr>
          <w:p w14:paraId="6D30D9B4">
            <w:pPr>
              <w:spacing w:line="440" w:lineRule="exact"/>
              <w:ind w:firstLine="420"/>
              <w:rPr>
                <w:rFonts w:ascii="Times New Roman" w:hAnsi="Times New Roman" w:eastAsia="宋体" w:cs="Times New Roman"/>
                <w:sz w:val="24"/>
                <w:szCs w:val="32"/>
              </w:rPr>
            </w:pPr>
          </w:p>
        </w:tc>
      </w:tr>
    </w:tbl>
    <w:p w14:paraId="1857042D">
      <w:pPr>
        <w:pStyle w:val="2"/>
        <w:keepNext/>
      </w:pPr>
    </w:p>
    <w:bookmarkEnd w:id="19"/>
    <w:p w14:paraId="037AA095">
      <w:pPr>
        <w:widowControl/>
        <w:jc w:val="left"/>
      </w:pPr>
      <w:r>
        <w:br w:type="page"/>
      </w:r>
    </w:p>
    <w:p w14:paraId="0EDB9150">
      <w:pPr>
        <w:keepNext/>
        <w:keepLines/>
        <w:pageBreakBefore/>
        <w:spacing w:before="340" w:after="330" w:line="576" w:lineRule="auto"/>
        <w:outlineLvl w:val="0"/>
        <w:rPr>
          <w:rFonts w:ascii="Times New Roman" w:hAnsi="Times New Roman" w:eastAsia="宋体" w:cs="Times New Roman"/>
          <w:b/>
          <w:kern w:val="44"/>
          <w:sz w:val="44"/>
          <w:szCs w:val="44"/>
        </w:rPr>
      </w:pPr>
      <w:r>
        <w:rPr>
          <w:rFonts w:hint="eastAsia" w:ascii="Times New Roman" w:hAnsi="Times New Roman" w:eastAsia="宋体" w:cs="Times New Roman"/>
          <w:b/>
          <w:kern w:val="44"/>
          <w:sz w:val="44"/>
          <w:szCs w:val="44"/>
        </w:rPr>
        <w:t xml:space="preserve">7 </w:t>
      </w:r>
      <w:r>
        <w:rPr>
          <w:rFonts w:hint="eastAsia" w:ascii="宋体" w:hAnsi="宋体" w:eastAsia="宋体" w:cs="Times New Roman"/>
          <w:b/>
          <w:kern w:val="44"/>
          <w:sz w:val="44"/>
          <w:szCs w:val="44"/>
        </w:rPr>
        <w:t>论文目录</w:t>
      </w:r>
    </w:p>
    <w:p w14:paraId="437970BB">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第1章 绪论</w:t>
      </w:r>
    </w:p>
    <w:p w14:paraId="24E69505">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1.1 研究背景 </w:t>
      </w:r>
    </w:p>
    <w:p w14:paraId="3CEFA78D">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1.2 研究意义 </w:t>
      </w:r>
    </w:p>
    <w:p w14:paraId="50FB91AE">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1.2.1 理论意义 </w:t>
      </w:r>
    </w:p>
    <w:p w14:paraId="5E10A8A9">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1.2.2 实践意义 </w:t>
      </w:r>
    </w:p>
    <w:p w14:paraId="40233D2D">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1.3 国内外研究现状 </w:t>
      </w:r>
    </w:p>
    <w:p w14:paraId="6AD28185">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1.3.1 </w:t>
      </w:r>
      <w:r>
        <w:rPr>
          <w:rFonts w:ascii="宋体" w:hAnsi="宋体" w:eastAsia="宋体" w:cs="宋体"/>
          <w:sz w:val="24"/>
          <w:szCs w:val="24"/>
        </w:rPr>
        <w:t>检索增强生成技术研究现状</w:t>
      </w:r>
    </w:p>
    <w:p w14:paraId="22724CB1">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1.3.2 </w:t>
      </w:r>
      <w:r>
        <w:rPr>
          <w:rFonts w:hint="eastAsia" w:ascii="宋体" w:hAnsi="宋体" w:eastAsia="宋体" w:cs="宋体"/>
          <w:sz w:val="24"/>
          <w:szCs w:val="24"/>
          <w:lang w:val="en-US" w:eastAsia="zh-CN"/>
        </w:rPr>
        <w:t>用户</w:t>
      </w:r>
      <w:r>
        <w:rPr>
          <w:rFonts w:ascii="宋体" w:hAnsi="宋体" w:eastAsia="宋体" w:cs="宋体"/>
          <w:sz w:val="24"/>
          <w:szCs w:val="24"/>
        </w:rPr>
        <w:t>偏好建模与记忆机制研究现状</w:t>
      </w:r>
    </w:p>
    <w:p w14:paraId="14CCD9CA">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1.3.3 </w:t>
      </w:r>
      <w:r>
        <w:rPr>
          <w:rFonts w:ascii="宋体" w:hAnsi="宋体" w:eastAsia="宋体" w:cs="宋体"/>
          <w:sz w:val="24"/>
          <w:szCs w:val="24"/>
        </w:rPr>
        <w:t>绿色消费行为干预研究现状</w:t>
      </w:r>
    </w:p>
    <w:p w14:paraId="4B9715CC">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1.3.4 当前研究述评 </w:t>
      </w:r>
    </w:p>
    <w:p w14:paraId="7E2C01A1">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1.4 主要研究内容与研究目标 </w:t>
      </w:r>
    </w:p>
    <w:p w14:paraId="79478B79">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1.5 技术路线与研究方法</w:t>
      </w:r>
    </w:p>
    <w:p w14:paraId="48BEA940">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第2章 相关理论研究与技术基础</w:t>
      </w:r>
    </w:p>
    <w:p w14:paraId="556FE5AC">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2.1 行为改变理论基础 </w:t>
      </w:r>
    </w:p>
    <w:p w14:paraId="6E906BEB">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2.1.1 </w:t>
      </w:r>
      <w:r>
        <w:rPr>
          <w:rFonts w:ascii="宋体" w:hAnsi="宋体" w:eastAsia="宋体" w:cs="宋体"/>
          <w:sz w:val="24"/>
          <w:szCs w:val="24"/>
        </w:rPr>
        <w:t>跨理论阶段模型</w:t>
      </w:r>
    </w:p>
    <w:p w14:paraId="4AE36154">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2.1.2 </w:t>
      </w:r>
      <w:r>
        <w:rPr>
          <w:rFonts w:ascii="宋体" w:hAnsi="宋体" w:eastAsia="宋体" w:cs="宋体"/>
          <w:sz w:val="24"/>
          <w:szCs w:val="24"/>
        </w:rPr>
        <w:t>计划行为理论</w:t>
      </w:r>
    </w:p>
    <w:p w14:paraId="17948C3A">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2.1.3 </w:t>
      </w:r>
      <w:r>
        <w:rPr>
          <w:rFonts w:ascii="宋体" w:hAnsi="宋体" w:eastAsia="宋体" w:cs="宋体"/>
          <w:sz w:val="24"/>
          <w:szCs w:val="24"/>
        </w:rPr>
        <w:t>详尽可能性模型</w:t>
      </w:r>
    </w:p>
    <w:p w14:paraId="38D4553A">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2.2 </w:t>
      </w:r>
      <w:r>
        <w:rPr>
          <w:rFonts w:ascii="宋体" w:hAnsi="宋体" w:eastAsia="宋体" w:cs="宋体"/>
          <w:sz w:val="24"/>
          <w:szCs w:val="24"/>
        </w:rPr>
        <w:t>检索增强生成技术原理</w:t>
      </w:r>
    </w:p>
    <w:p w14:paraId="40B4FCC8">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2.2.1 </w:t>
      </w:r>
      <w:r>
        <w:rPr>
          <w:rFonts w:ascii="宋体" w:hAnsi="宋体" w:eastAsia="宋体" w:cs="宋体"/>
          <w:sz w:val="24"/>
          <w:szCs w:val="24"/>
        </w:rPr>
        <w:t>向量数据库与混合检索机制</w:t>
      </w:r>
    </w:p>
    <w:p w14:paraId="7080C09E">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2.2.2 </w:t>
      </w:r>
      <w:r>
        <w:rPr>
          <w:rFonts w:ascii="宋体" w:hAnsi="宋体" w:eastAsia="宋体" w:cs="宋体"/>
          <w:sz w:val="24"/>
          <w:szCs w:val="24"/>
        </w:rPr>
        <w:t>大语言模型与生成策略</w:t>
      </w:r>
    </w:p>
    <w:p w14:paraId="166A564D">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2.3 用户建模与记忆管理技术 </w:t>
      </w:r>
    </w:p>
    <w:p w14:paraId="087D86D7">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2.3.1 三层记忆架构理论 </w:t>
      </w:r>
    </w:p>
    <w:p w14:paraId="52AAA8CA">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2.3.2 动态用户画像更新技术 </w:t>
      </w:r>
    </w:p>
    <w:p w14:paraId="222B1BAB">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第3章 </w:t>
      </w:r>
      <w:r>
        <w:rPr>
          <w:rFonts w:ascii="宋体" w:hAnsi="宋体" w:eastAsia="宋体" w:cs="宋体"/>
          <w:sz w:val="24"/>
          <w:szCs w:val="24"/>
        </w:rPr>
        <w:t>绿色低碳知识库构建与RAG对话引擎设计</w:t>
      </w:r>
    </w:p>
    <w:p w14:paraId="76DAE85C">
      <w:pPr>
        <w:spacing w:line="440" w:lineRule="exact"/>
        <w:ind w:firstLine="240" w:firstLineChars="100"/>
        <w:rPr>
          <w:rFonts w:ascii="宋体" w:hAnsi="宋体" w:eastAsia="宋体" w:cs="宋体"/>
          <w:sz w:val="24"/>
          <w:szCs w:val="24"/>
        </w:rPr>
      </w:pPr>
      <w:r>
        <w:rPr>
          <w:rFonts w:hint="eastAsia" w:ascii="Times New Roman" w:hAnsi="Times New Roman" w:eastAsia="宋体" w:cs="Times New Roman"/>
          <w:sz w:val="24"/>
          <w:szCs w:val="32"/>
        </w:rPr>
        <w:t xml:space="preserve">3.1 </w:t>
      </w:r>
      <w:r>
        <w:rPr>
          <w:rFonts w:ascii="宋体" w:hAnsi="宋体" w:eastAsia="宋体" w:cs="宋体"/>
          <w:sz w:val="24"/>
          <w:szCs w:val="24"/>
        </w:rPr>
        <w:t>绿色低碳领域知识需求分析</w:t>
      </w:r>
    </w:p>
    <w:p w14:paraId="78116C3F">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3.2 </w:t>
      </w:r>
      <w:r>
        <w:rPr>
          <w:rFonts w:ascii="宋体" w:hAnsi="宋体" w:eastAsia="宋体" w:cs="宋体"/>
          <w:sz w:val="24"/>
          <w:szCs w:val="24"/>
        </w:rPr>
        <w:t>多源低碳知识库构建</w:t>
      </w:r>
    </w:p>
    <w:p w14:paraId="2506EC58">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3.2.1 </w:t>
      </w:r>
      <w:r>
        <w:rPr>
          <w:rFonts w:ascii="宋体" w:hAnsi="宋体" w:eastAsia="宋体" w:cs="宋体"/>
          <w:sz w:val="24"/>
          <w:szCs w:val="24"/>
        </w:rPr>
        <w:t>数据源采集与预处理</w:t>
      </w:r>
    </w:p>
    <w:p w14:paraId="7B2836F7">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3.2.2 </w:t>
      </w:r>
      <w:r>
        <w:rPr>
          <w:rFonts w:ascii="宋体" w:hAnsi="宋体" w:eastAsia="宋体" w:cs="宋体"/>
          <w:sz w:val="24"/>
          <w:szCs w:val="24"/>
        </w:rPr>
        <w:t>知识向量化与存储方案设计</w:t>
      </w:r>
    </w:p>
    <w:p w14:paraId="50D194AB">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3.3 </w:t>
      </w:r>
      <w:r>
        <w:rPr>
          <w:rFonts w:ascii="宋体" w:hAnsi="宋体" w:eastAsia="宋体" w:cs="宋体"/>
          <w:sz w:val="24"/>
          <w:szCs w:val="24"/>
        </w:rPr>
        <w:t>基于混合检索的对话引擎开发</w:t>
      </w:r>
    </w:p>
    <w:p w14:paraId="6F0C7146">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3.3.1 </w:t>
      </w:r>
      <w:r>
        <w:rPr>
          <w:rFonts w:ascii="宋体" w:hAnsi="宋体" w:eastAsia="宋体" w:cs="宋体"/>
          <w:sz w:val="24"/>
          <w:szCs w:val="24"/>
        </w:rPr>
        <w:t>稠密与稀疏检索的融合策略</w:t>
      </w:r>
    </w:p>
    <w:p w14:paraId="4CA1AD9F">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3.3.2 </w:t>
      </w:r>
      <w:r>
        <w:rPr>
          <w:rFonts w:ascii="宋体" w:hAnsi="宋体" w:eastAsia="宋体" w:cs="宋体"/>
          <w:sz w:val="24"/>
          <w:szCs w:val="24"/>
        </w:rPr>
        <w:t>复杂查询下的重排序优化</w:t>
      </w:r>
    </w:p>
    <w:p w14:paraId="026463EB">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第4章 </w:t>
      </w:r>
      <w:r>
        <w:rPr>
          <w:rFonts w:ascii="宋体" w:hAnsi="宋体" w:eastAsia="宋体" w:cs="宋体"/>
          <w:sz w:val="24"/>
          <w:szCs w:val="24"/>
        </w:rPr>
        <w:t>基于消费者偏好的多维记忆系统与行为干预机制设计</w:t>
      </w:r>
    </w:p>
    <w:p w14:paraId="6059CF90">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4.1 </w:t>
      </w:r>
      <w:r>
        <w:rPr>
          <w:rFonts w:ascii="宋体" w:hAnsi="宋体" w:eastAsia="宋体" w:cs="宋体"/>
          <w:sz w:val="24"/>
          <w:szCs w:val="24"/>
        </w:rPr>
        <w:t>基于行为理论的用户画像体系</w:t>
      </w:r>
    </w:p>
    <w:p w14:paraId="22E44738">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4.1.1 </w:t>
      </w:r>
      <w:r>
        <w:rPr>
          <w:rFonts w:ascii="宋体" w:hAnsi="宋体" w:eastAsia="宋体" w:cs="宋体"/>
          <w:sz w:val="24"/>
          <w:szCs w:val="24"/>
        </w:rPr>
        <w:t>用户偏好维度提取</w:t>
      </w:r>
    </w:p>
    <w:p w14:paraId="7AEE3EEE">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4.1.2 </w:t>
      </w:r>
      <w:r>
        <w:rPr>
          <w:rFonts w:ascii="宋体" w:hAnsi="宋体" w:eastAsia="宋体" w:cs="宋体"/>
          <w:sz w:val="24"/>
          <w:szCs w:val="24"/>
        </w:rPr>
        <w:t>行为阶段初始识别</w:t>
      </w:r>
    </w:p>
    <w:p w14:paraId="20F133AA">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4.2 三层记忆架构的设计与实现 </w:t>
      </w:r>
    </w:p>
    <w:p w14:paraId="5CB569F9">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4.2.1 </w:t>
      </w:r>
      <w:r>
        <w:rPr>
          <w:rFonts w:ascii="宋体" w:hAnsi="宋体" w:eastAsia="宋体" w:cs="宋体"/>
          <w:sz w:val="24"/>
          <w:szCs w:val="24"/>
        </w:rPr>
        <w:t>三层记忆架构协同机制设计</w:t>
      </w:r>
    </w:p>
    <w:p w14:paraId="1FFAAFDA">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4.2.2 </w:t>
      </w:r>
      <w:r>
        <w:rPr>
          <w:rFonts w:ascii="宋体" w:hAnsi="宋体" w:eastAsia="宋体" w:cs="宋体"/>
          <w:sz w:val="24"/>
          <w:szCs w:val="24"/>
        </w:rPr>
        <w:t>基于贝叶斯更新的动态学习算法</w:t>
      </w:r>
    </w:p>
    <w:p w14:paraId="6F38F0EB">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4.3 </w:t>
      </w:r>
      <w:r>
        <w:rPr>
          <w:rFonts w:ascii="宋体" w:hAnsi="宋体" w:eastAsia="宋体" w:cs="宋体"/>
          <w:sz w:val="24"/>
          <w:szCs w:val="24"/>
        </w:rPr>
        <w:t>分阶段行为干预机制设计</w:t>
      </w:r>
      <w:r>
        <w:rPr>
          <w:rFonts w:hint="eastAsia" w:ascii="Times New Roman" w:hAnsi="Times New Roman" w:eastAsia="宋体" w:cs="Times New Roman"/>
          <w:sz w:val="24"/>
          <w:szCs w:val="32"/>
        </w:rPr>
        <w:t xml:space="preserve"> </w:t>
      </w:r>
    </w:p>
    <w:p w14:paraId="7331B4F7">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4.3.1 </w:t>
      </w:r>
      <w:r>
        <w:rPr>
          <w:rFonts w:ascii="宋体" w:hAnsi="宋体" w:eastAsia="宋体" w:cs="宋体"/>
          <w:sz w:val="24"/>
          <w:szCs w:val="24"/>
        </w:rPr>
        <w:t>行为转化路径映射</w:t>
      </w:r>
    </w:p>
    <w:p w14:paraId="108A2604">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4.3.2 </w:t>
      </w:r>
      <w:r>
        <w:rPr>
          <w:rFonts w:ascii="宋体" w:hAnsi="宋体" w:eastAsia="宋体" w:cs="宋体"/>
          <w:sz w:val="24"/>
          <w:szCs w:val="24"/>
        </w:rPr>
        <w:t>差异化对话引导策略</w:t>
      </w:r>
    </w:p>
    <w:p w14:paraId="4048464D">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第5章 绿</w:t>
      </w:r>
      <w:r>
        <w:rPr>
          <w:rFonts w:ascii="宋体" w:hAnsi="宋体" w:eastAsia="宋体" w:cs="宋体"/>
          <w:sz w:val="24"/>
          <w:szCs w:val="24"/>
        </w:rPr>
        <w:t>绿色低碳智能体原型系统实现与实验验证</w:t>
      </w:r>
    </w:p>
    <w:p w14:paraId="2FBDCE11">
      <w:pPr>
        <w:spacing w:line="440" w:lineRule="exact"/>
        <w:ind w:firstLine="657" w:firstLineChars="274"/>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5.1 系统整体架构与功能模块实现 </w:t>
      </w:r>
    </w:p>
    <w:p w14:paraId="1F9730B4">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5.2 实验设计与数据准备 </w:t>
      </w:r>
    </w:p>
    <w:p w14:paraId="06342AA8">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5.2.1 受试者招募与实验流程设计</w:t>
      </w:r>
    </w:p>
    <w:p w14:paraId="1A552A87">
      <w:pPr>
        <w:spacing w:line="440" w:lineRule="exact"/>
        <w:ind w:firstLine="480" w:firstLineChars="2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5.2.2 评估指标体系设定 </w:t>
      </w:r>
    </w:p>
    <w:p w14:paraId="504D390F">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5.3 实验结果分析 </w:t>
      </w:r>
    </w:p>
    <w:p w14:paraId="49C8370A">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5.3.1 </w:t>
      </w:r>
      <w:r>
        <w:rPr>
          <w:rFonts w:ascii="宋体" w:hAnsi="宋体" w:eastAsia="宋体" w:cs="宋体"/>
          <w:sz w:val="24"/>
          <w:szCs w:val="24"/>
        </w:rPr>
        <w:t>知识问答准确性验证</w:t>
      </w:r>
    </w:p>
    <w:p w14:paraId="46D7FDD6">
      <w:pPr>
        <w:spacing w:line="440" w:lineRule="exact"/>
        <w:ind w:firstLine="480" w:firstLineChars="200"/>
        <w:rPr>
          <w:rFonts w:ascii="宋体" w:hAnsi="宋体" w:eastAsia="宋体" w:cs="宋体"/>
          <w:sz w:val="24"/>
          <w:szCs w:val="24"/>
        </w:rPr>
      </w:pPr>
      <w:r>
        <w:rPr>
          <w:rFonts w:hint="eastAsia" w:ascii="Times New Roman" w:hAnsi="Times New Roman" w:eastAsia="宋体" w:cs="Times New Roman"/>
          <w:sz w:val="24"/>
          <w:szCs w:val="32"/>
        </w:rPr>
        <w:t xml:space="preserve">5.3.2 </w:t>
      </w:r>
      <w:r>
        <w:rPr>
          <w:rFonts w:ascii="宋体" w:hAnsi="宋体" w:eastAsia="宋体" w:cs="宋体"/>
          <w:sz w:val="24"/>
          <w:szCs w:val="24"/>
        </w:rPr>
        <w:t>用户偏好学习效果验证</w:t>
      </w:r>
    </w:p>
    <w:p w14:paraId="250C0E03">
      <w:pPr>
        <w:spacing w:line="440" w:lineRule="exact"/>
        <w:ind w:firstLine="480" w:firstLineChars="200"/>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 xml:space="preserve">5.3.3 </w:t>
      </w:r>
      <w:r>
        <w:rPr>
          <w:rFonts w:hint="eastAsia" w:ascii="Times New Roman" w:hAnsi="Times New Roman" w:eastAsia="宋体" w:cs="Times New Roman"/>
          <w:sz w:val="24"/>
          <w:szCs w:val="32"/>
        </w:rPr>
        <w:t>分阶段干预对行为改变的有效性分析</w:t>
      </w:r>
    </w:p>
    <w:p w14:paraId="6731CD50">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5.4 </w:t>
      </w:r>
      <w:r>
        <w:rPr>
          <w:rFonts w:ascii="宋体" w:hAnsi="宋体" w:eastAsia="宋体" w:cs="宋体"/>
          <w:sz w:val="24"/>
          <w:szCs w:val="24"/>
        </w:rPr>
        <w:t>系统不足与优化方向</w:t>
      </w:r>
    </w:p>
    <w:p w14:paraId="61635777">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第6章 结论与展望 </w:t>
      </w:r>
    </w:p>
    <w:p w14:paraId="3B1F66D8">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6.1 主要研究工作总结</w:t>
      </w:r>
    </w:p>
    <w:p w14:paraId="3EB9348D">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6.2 创新点归纳 </w:t>
      </w:r>
    </w:p>
    <w:p w14:paraId="6221D505">
      <w:pPr>
        <w:spacing w:line="440" w:lineRule="exact"/>
        <w:ind w:firstLine="240" w:firstLineChars="10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 xml:space="preserve">6.3 研究局限与未来展望 </w:t>
      </w:r>
    </w:p>
    <w:p w14:paraId="46F60BD0">
      <w:pPr>
        <w:spacing w:line="440" w:lineRule="exact"/>
        <w:ind w:firstLine="0"/>
        <w:rPr>
          <w:rFonts w:hint="eastAsia" w:ascii="Times New Roman" w:hAnsi="Times New Roman" w:eastAsia="宋体" w:cs="Times New Roman"/>
          <w:sz w:val="24"/>
          <w:szCs w:val="32"/>
        </w:rPr>
      </w:pPr>
      <w:r>
        <w:rPr>
          <w:rFonts w:hint="eastAsia" w:ascii="Times New Roman" w:hAnsi="Times New Roman" w:eastAsia="宋体" w:cs="Times New Roman"/>
          <w:sz w:val="24"/>
          <w:szCs w:val="32"/>
        </w:rPr>
        <w:t>参考文献</w:t>
      </w:r>
    </w:p>
    <w:p w14:paraId="583A787A">
      <w:r>
        <w:br w:type="page"/>
      </w:r>
    </w:p>
    <w:p w14:paraId="562CD26F">
      <w:pPr>
        <w:keepNext/>
        <w:keepLines/>
        <w:pageBreakBefore/>
        <w:spacing w:before="340" w:after="330" w:line="576" w:lineRule="auto"/>
        <w:outlineLvl w:val="0"/>
        <w:rPr>
          <w:rFonts w:ascii="Times New Roman" w:hAnsi="Times New Roman" w:eastAsia="宋体" w:cs="Times New Roman"/>
          <w:b/>
          <w:kern w:val="44"/>
          <w:sz w:val="44"/>
          <w:szCs w:val="32"/>
        </w:rPr>
      </w:pPr>
      <w:r>
        <w:rPr>
          <w:rFonts w:ascii="Times New Roman" w:hAnsi="Times New Roman" w:eastAsia="宋体" w:cs="Times New Roman"/>
          <w:b/>
          <w:kern w:val="44"/>
          <w:sz w:val="44"/>
          <w:szCs w:val="32"/>
        </w:rPr>
        <w:t>参考文献</w:t>
      </w:r>
    </w:p>
    <w:p w14:paraId="1091DEAB">
      <w:pPr>
        <w:pStyle w:val="36"/>
        <w:numPr>
          <w:ilvl w:val="0"/>
          <w:numId w:val="1"/>
        </w:numPr>
        <w:rPr>
          <w:rFonts w:ascii="Times New Roman" w:hAnsi="Times New Roman" w:eastAsia="宋体" w:cs="Times New Roman"/>
          <w:kern w:val="0"/>
          <w:szCs w:val="21"/>
        </w:rPr>
      </w:pPr>
      <w:bookmarkStart w:id="20" w:name="_Ref227255358"/>
      <w:r>
        <w:rPr>
          <w:rFonts w:ascii="Times New Roman" w:hAnsi="Times New Roman" w:eastAsia="宋体" w:cs="Times New Roman"/>
          <w:kern w:val="0"/>
          <w:szCs w:val="21"/>
        </w:rPr>
        <w:t>张露,帅传敏,刘洋.消费者绿色消费行为的心理归因及干预策略分析——基于计划行为理论与情境实验数据的实证研究[J].中国地质大学学报(社会科学版),2013,13(05):49-55+139.</w:t>
      </w:r>
    </w:p>
    <w:bookmarkEnd w:id="20"/>
    <w:p w14:paraId="471800A4">
      <w:pPr>
        <w:pStyle w:val="36"/>
        <w:numPr>
          <w:ilvl w:val="0"/>
          <w:numId w:val="1"/>
        </w:numPr>
        <w:rPr>
          <w:rFonts w:ascii="Times New Roman" w:hAnsi="Times New Roman" w:eastAsia="宋体" w:cs="Times New Roman"/>
          <w:kern w:val="0"/>
          <w:szCs w:val="21"/>
        </w:rPr>
      </w:pPr>
      <w:bookmarkStart w:id="21" w:name="_Ref227255382"/>
      <w:r>
        <w:rPr>
          <w:rFonts w:ascii="Times New Roman" w:hAnsi="Times New Roman" w:eastAsia="宋体" w:cs="Times New Roman"/>
          <w:kern w:val="0"/>
          <w:szCs w:val="21"/>
        </w:rPr>
        <w:t>陈凯,李华晶.低碳消费行为影响因素及干预策略分析[J].中国科技论坛,2012,(09):42-47.</w:t>
      </w:r>
    </w:p>
    <w:bookmarkEnd w:id="21"/>
    <w:p w14:paraId="7EDD6818">
      <w:pPr>
        <w:pStyle w:val="36"/>
        <w:numPr>
          <w:ilvl w:val="0"/>
          <w:numId w:val="1"/>
        </w:numPr>
        <w:rPr>
          <w:rFonts w:ascii="Times New Roman" w:hAnsi="Times New Roman" w:eastAsia="宋体" w:cs="Times New Roman"/>
          <w:kern w:val="0"/>
          <w:szCs w:val="21"/>
        </w:rPr>
      </w:pPr>
      <w:bookmarkStart w:id="22" w:name="_Ref227255431"/>
      <w:r>
        <w:rPr>
          <w:rFonts w:ascii="Times New Roman" w:hAnsi="Times New Roman" w:eastAsia="宋体" w:cs="Times New Roman"/>
          <w:kern w:val="0"/>
          <w:szCs w:val="21"/>
        </w:rPr>
        <w:t>Wang J M, Li Y Q. Soft economic incentives and soft behavioral interventions on the public’s green purchasing behaviour-the evidence from China[J]. Psychology Research and Behavior Management, 2022: 2477-2499.</w:t>
      </w:r>
    </w:p>
    <w:p w14:paraId="0EEF5CBA">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秦董洪,孔令儒,白凤波,等.基于大语言模型的开放域对话系统综述[J].计算机工程与应用,2026,62(06):70-95.</w:t>
      </w:r>
    </w:p>
    <w:bookmarkEnd w:id="22"/>
    <w:p w14:paraId="0FC516BA">
      <w:pPr>
        <w:pStyle w:val="36"/>
        <w:numPr>
          <w:ilvl w:val="0"/>
          <w:numId w:val="1"/>
        </w:numPr>
        <w:rPr>
          <w:rFonts w:ascii="Times New Roman" w:hAnsi="Times New Roman" w:eastAsia="宋体" w:cs="Times New Roman"/>
          <w:kern w:val="0"/>
          <w:szCs w:val="21"/>
        </w:rPr>
      </w:pPr>
      <w:bookmarkStart w:id="23" w:name="_Ref227255525"/>
      <w:r>
        <w:rPr>
          <w:rFonts w:ascii="Times New Roman" w:hAnsi="Times New Roman" w:eastAsia="宋体" w:cs="Times New Roman"/>
          <w:kern w:val="0"/>
          <w:szCs w:val="21"/>
        </w:rPr>
        <w:t>Lewis P, Perez E, Piktus A, et al. Retrieval-augmented generation for knowledge-intensive nlp tasks[J]. Advances in neural information processing systems, 2020, 33: 9459-9474.</w:t>
      </w:r>
    </w:p>
    <w:p w14:paraId="1705982B">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海佳丽,汪润,袁良志,等.基于检索增强的中医药标准知识问答系统构建探索与实践[J].数据分析与知识发现,2025,9(07):165-174.</w:t>
      </w:r>
    </w:p>
    <w:bookmarkEnd w:id="23"/>
    <w:p w14:paraId="4CAB5EBF">
      <w:pPr>
        <w:pStyle w:val="36"/>
        <w:numPr>
          <w:ilvl w:val="0"/>
          <w:numId w:val="1"/>
        </w:numPr>
        <w:rPr>
          <w:rFonts w:ascii="Times New Roman" w:hAnsi="Times New Roman" w:eastAsia="宋体" w:cs="Times New Roman"/>
          <w:kern w:val="0"/>
          <w:szCs w:val="21"/>
        </w:rPr>
      </w:pPr>
      <w:bookmarkStart w:id="24" w:name="_Ref227262130"/>
      <w:r>
        <w:rPr>
          <w:rFonts w:ascii="Times New Roman" w:hAnsi="Times New Roman" w:eastAsia="宋体" w:cs="Times New Roman"/>
          <w:kern w:val="0"/>
          <w:szCs w:val="21"/>
        </w:rPr>
        <w:t>Chen L, Dai Q, Zhang Z, et al. Recusersim: A realistic and diverse user simulator for evaluating conversational recommender systems[C]//Companion Proceedings of the ACM on Web Conference 2025. 2025: 133-142.</w:t>
      </w:r>
    </w:p>
    <w:p w14:paraId="655E96E8">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任海玉,刘建平,王健,等.基于大语言模型的智能问答系统研究综述[J].计算机工程与应用,2025,61(07):1-24.</w:t>
      </w:r>
    </w:p>
    <w:bookmarkEnd w:id="24"/>
    <w:p w14:paraId="78D03418">
      <w:pPr>
        <w:pStyle w:val="36"/>
        <w:numPr>
          <w:ilvl w:val="0"/>
          <w:numId w:val="1"/>
        </w:numPr>
        <w:rPr>
          <w:rFonts w:ascii="Times New Roman" w:hAnsi="Times New Roman" w:eastAsia="宋体" w:cs="Times New Roman"/>
          <w:kern w:val="0"/>
          <w:szCs w:val="21"/>
        </w:rPr>
      </w:pPr>
      <w:bookmarkStart w:id="25" w:name="_Ref227262151"/>
      <w:r>
        <w:rPr>
          <w:rFonts w:ascii="Times New Roman" w:hAnsi="Times New Roman" w:eastAsia="宋体" w:cs="Times New Roman"/>
          <w:kern w:val="0"/>
          <w:szCs w:val="21"/>
        </w:rPr>
        <w:t>张浩然,郝文宁,靳大尉,等.DF-RAG:基于查询重写和知识选择的检索增强生成方法[J].计算机科学,2025,52(11):30-39.</w:t>
      </w:r>
    </w:p>
    <w:bookmarkEnd w:id="25"/>
    <w:p w14:paraId="666B798C">
      <w:pPr>
        <w:pStyle w:val="36"/>
        <w:numPr>
          <w:ilvl w:val="0"/>
          <w:numId w:val="1"/>
        </w:numPr>
        <w:rPr>
          <w:rFonts w:ascii="Times New Roman" w:hAnsi="Times New Roman" w:eastAsia="宋体" w:cs="Times New Roman"/>
          <w:kern w:val="0"/>
          <w:szCs w:val="21"/>
        </w:rPr>
      </w:pPr>
      <w:bookmarkStart w:id="26" w:name="_Ref227262201"/>
      <w:r>
        <w:rPr>
          <w:rFonts w:ascii="Times New Roman" w:hAnsi="Times New Roman" w:eastAsia="宋体" w:cs="Times New Roman"/>
          <w:kern w:val="0"/>
          <w:szCs w:val="21"/>
        </w:rPr>
        <w:t>王合庆,魏杰,景红雨,等.Meta-RAG:基于元数据驱动的电力领域检索增强生成框架[J].计算机工程,2026,52(02):383-392.</w:t>
      </w:r>
    </w:p>
    <w:p w14:paraId="4422E160">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赵雅慧, 刘芳霖, 罗琳. 大数据背景下的用户画像研究综述：知识体系与研究展望[J]. 情报理论与实践, 2023, 46(5): 1-12. doi: 10.131</w:t>
      </w:r>
      <w:bookmarkEnd w:id="26"/>
    </w:p>
    <w:p w14:paraId="092D00D6">
      <w:pPr>
        <w:pStyle w:val="36"/>
        <w:numPr>
          <w:ilvl w:val="0"/>
          <w:numId w:val="1"/>
        </w:numPr>
        <w:rPr>
          <w:rFonts w:ascii="Times New Roman" w:hAnsi="Times New Roman" w:eastAsia="宋体" w:cs="Times New Roman"/>
          <w:kern w:val="0"/>
          <w:szCs w:val="21"/>
        </w:rPr>
      </w:pPr>
      <w:bookmarkStart w:id="27" w:name="_Ref227262241"/>
      <w:r>
        <w:rPr>
          <w:rFonts w:ascii="Times New Roman" w:hAnsi="Times New Roman" w:eastAsia="宋体" w:cs="Times New Roman"/>
          <w:kern w:val="0"/>
          <w:szCs w:val="21"/>
        </w:rPr>
        <w:t>刘海鸥, 姚苏梅, 黄文娜, 等. 基于用户画像的图书馆大数据知识服务情境化推荐[J]. 情报理论与实践, 2018, 41(9): 75-80. doi: 10.163</w:t>
      </w:r>
      <w:bookmarkEnd w:id="27"/>
    </w:p>
    <w:p w14:paraId="1E85C6DE">
      <w:pPr>
        <w:pStyle w:val="36"/>
        <w:numPr>
          <w:ilvl w:val="0"/>
          <w:numId w:val="1"/>
        </w:numPr>
        <w:rPr>
          <w:rFonts w:ascii="Times New Roman" w:hAnsi="Times New Roman" w:eastAsia="宋体" w:cs="Times New Roman"/>
          <w:kern w:val="0"/>
          <w:szCs w:val="21"/>
        </w:rPr>
      </w:pPr>
      <w:bookmarkStart w:id="28" w:name="_Ref227262304"/>
      <w:r>
        <w:rPr>
          <w:rFonts w:ascii="Times New Roman" w:hAnsi="Times New Roman" w:eastAsia="宋体" w:cs="Times New Roman"/>
          <w:kern w:val="0"/>
          <w:szCs w:val="21"/>
        </w:rPr>
        <w:t>张玉洁,董政,孟祥武.个性化广告推荐系统及其应用研究[J].计算机学报,2021,44(03):531-563.</w:t>
      </w:r>
    </w:p>
    <w:bookmarkEnd w:id="28"/>
    <w:p w14:paraId="0D2B042D">
      <w:pPr>
        <w:pStyle w:val="36"/>
        <w:numPr>
          <w:ilvl w:val="0"/>
          <w:numId w:val="1"/>
        </w:numPr>
        <w:rPr>
          <w:rFonts w:ascii="Times New Roman" w:hAnsi="Times New Roman" w:eastAsia="宋体" w:cs="Times New Roman"/>
          <w:kern w:val="0"/>
          <w:szCs w:val="21"/>
        </w:rPr>
      </w:pPr>
      <w:bookmarkStart w:id="29" w:name="_Ref227262316"/>
      <w:r>
        <w:rPr>
          <w:rFonts w:ascii="Times New Roman" w:hAnsi="Times New Roman" w:eastAsia="宋体" w:cs="Times New Roman"/>
          <w:kern w:val="0"/>
          <w:szCs w:val="21"/>
        </w:rPr>
        <w:t>何娟.基于用户个人及群体画像相结合的图书个性化推荐应用研究[J].情报理论与实践,2019,42(01):129-133+160.</w:t>
      </w:r>
    </w:p>
    <w:bookmarkEnd w:id="29"/>
    <w:p w14:paraId="464BD770">
      <w:pPr>
        <w:pStyle w:val="36"/>
        <w:numPr>
          <w:ilvl w:val="0"/>
          <w:numId w:val="1"/>
        </w:numPr>
        <w:rPr>
          <w:rFonts w:ascii="Times New Roman" w:hAnsi="Times New Roman" w:eastAsia="宋体" w:cs="Times New Roman"/>
          <w:kern w:val="0"/>
          <w:szCs w:val="21"/>
        </w:rPr>
      </w:pPr>
      <w:bookmarkStart w:id="30" w:name="_Ref227262329"/>
      <w:r>
        <w:rPr>
          <w:rFonts w:ascii="Times New Roman" w:hAnsi="Times New Roman" w:eastAsia="宋体" w:cs="Times New Roman"/>
          <w:kern w:val="0"/>
          <w:szCs w:val="21"/>
        </w:rPr>
        <w:t>于兴尚,王迎胜.面向精准化服务的图书馆用户画像模型构建[J].图书情报工作,2019,63(22):41-48.</w:t>
      </w:r>
    </w:p>
    <w:bookmarkEnd w:id="30"/>
    <w:p w14:paraId="6694BA27">
      <w:pPr>
        <w:pStyle w:val="36"/>
        <w:numPr>
          <w:ilvl w:val="0"/>
          <w:numId w:val="1"/>
        </w:numPr>
        <w:rPr>
          <w:rFonts w:ascii="Times New Roman" w:hAnsi="Times New Roman" w:eastAsia="宋体" w:cs="Times New Roman"/>
          <w:kern w:val="0"/>
          <w:szCs w:val="21"/>
        </w:rPr>
      </w:pPr>
      <w:bookmarkStart w:id="31" w:name="_Ref227262340"/>
      <w:r>
        <w:rPr>
          <w:rFonts w:ascii="Times New Roman" w:hAnsi="Times New Roman" w:eastAsia="宋体" w:cs="Times New Roman"/>
          <w:kern w:val="0"/>
          <w:szCs w:val="21"/>
        </w:rPr>
        <w:t>刘海鸥,李凯,何旭涛,等.面向信息茧房的用户画像多样化标签推荐[J].图书馆,2022,(03):83-89.</w:t>
      </w:r>
    </w:p>
    <w:bookmarkEnd w:id="31"/>
    <w:p w14:paraId="72B65B88">
      <w:pPr>
        <w:pStyle w:val="36"/>
        <w:numPr>
          <w:ilvl w:val="0"/>
          <w:numId w:val="1"/>
        </w:numPr>
        <w:rPr>
          <w:rFonts w:ascii="Times New Roman" w:hAnsi="Times New Roman" w:eastAsia="宋体" w:cs="Times New Roman"/>
          <w:kern w:val="0"/>
          <w:szCs w:val="21"/>
        </w:rPr>
      </w:pPr>
      <w:bookmarkStart w:id="32" w:name="_Ref227262413"/>
      <w:r>
        <w:rPr>
          <w:rFonts w:ascii="Times New Roman" w:hAnsi="Times New Roman" w:eastAsia="宋体" w:cs="Times New Roman"/>
          <w:kern w:val="0"/>
          <w:szCs w:val="21"/>
        </w:rPr>
        <w:t>王杰,谢忠局,赵建涛,等.基于知识图谱和用户画像的金融产品推荐系统[J].计算机应用,2022,42(S1):43-47.</w:t>
      </w:r>
    </w:p>
    <w:bookmarkEnd w:id="32"/>
    <w:p w14:paraId="58E269CA">
      <w:pPr>
        <w:pStyle w:val="36"/>
        <w:numPr>
          <w:ilvl w:val="0"/>
          <w:numId w:val="1"/>
        </w:numPr>
        <w:rPr>
          <w:rFonts w:ascii="Times New Roman" w:hAnsi="Times New Roman" w:eastAsia="宋体" w:cs="Times New Roman"/>
          <w:kern w:val="0"/>
          <w:szCs w:val="21"/>
        </w:rPr>
      </w:pPr>
      <w:bookmarkStart w:id="33" w:name="_Ref227262676"/>
      <w:r>
        <w:rPr>
          <w:rFonts w:ascii="Times New Roman" w:hAnsi="Times New Roman" w:eastAsia="宋体" w:cs="Times New Roman"/>
          <w:kern w:val="0"/>
          <w:szCs w:val="21"/>
        </w:rPr>
        <w:t>Chhikara P, Khant D, Aryan S, et al. Mem0: Building production-ready ai agents with scalable long-term memory[J]. arXiv preprint arXiv:2504.19413, 2025.</w:t>
      </w:r>
    </w:p>
    <w:bookmarkEnd w:id="33"/>
    <w:p w14:paraId="01014E1E">
      <w:pPr>
        <w:pStyle w:val="36"/>
        <w:numPr>
          <w:ilvl w:val="0"/>
          <w:numId w:val="1"/>
        </w:numPr>
        <w:rPr>
          <w:rFonts w:ascii="Times New Roman" w:hAnsi="Times New Roman" w:eastAsia="宋体" w:cs="Times New Roman"/>
          <w:kern w:val="0"/>
          <w:szCs w:val="21"/>
        </w:rPr>
      </w:pPr>
      <w:bookmarkStart w:id="34" w:name="_Ref227262732"/>
      <w:r>
        <w:rPr>
          <w:rFonts w:ascii="Times New Roman" w:hAnsi="Times New Roman" w:eastAsia="宋体" w:cs="Times New Roman"/>
          <w:kern w:val="0"/>
          <w:szCs w:val="21"/>
        </w:rPr>
        <w:t>Wang S, Yu E, Love O, et al. MemMachine: A Ground-Truth-Preserving Memory System for Personalized AI Agents[J]. arXiv preprint arXiv:2604.04853, 2026.</w:t>
      </w:r>
    </w:p>
    <w:bookmarkEnd w:id="34"/>
    <w:p w14:paraId="2A1E7F4F">
      <w:pPr>
        <w:pStyle w:val="36"/>
        <w:numPr>
          <w:ilvl w:val="0"/>
          <w:numId w:val="1"/>
        </w:numPr>
        <w:rPr>
          <w:rFonts w:ascii="Times New Roman" w:hAnsi="Times New Roman" w:eastAsia="宋体" w:cs="Times New Roman"/>
          <w:kern w:val="0"/>
          <w:szCs w:val="21"/>
        </w:rPr>
      </w:pPr>
      <w:bookmarkStart w:id="35" w:name="_Ref227262752"/>
      <w:r>
        <w:rPr>
          <w:rFonts w:ascii="Times New Roman" w:hAnsi="Times New Roman" w:eastAsia="宋体" w:cs="Times New Roman"/>
          <w:kern w:val="0"/>
          <w:szCs w:val="21"/>
        </w:rPr>
        <w:t>Liu S, Zhu J, Shu L, et al. PERMA: Benchmarking Personalized Memory Agents via Event-Driven Preference and Realistic Task Environments[J]. arXiv preprint arXiv:2603.23231, 2026.</w:t>
      </w:r>
    </w:p>
    <w:bookmarkEnd w:id="35"/>
    <w:p w14:paraId="6F06CC32">
      <w:pPr>
        <w:pStyle w:val="36"/>
        <w:numPr>
          <w:ilvl w:val="0"/>
          <w:numId w:val="1"/>
        </w:numPr>
        <w:rPr>
          <w:rFonts w:ascii="Times New Roman" w:hAnsi="Times New Roman" w:eastAsia="宋体" w:cs="Times New Roman"/>
          <w:kern w:val="0"/>
          <w:szCs w:val="21"/>
        </w:rPr>
      </w:pPr>
      <w:bookmarkStart w:id="36" w:name="_Ref227263166"/>
      <w:r>
        <w:rPr>
          <w:rFonts w:ascii="Times New Roman" w:hAnsi="Times New Roman" w:eastAsia="宋体" w:cs="Times New Roman"/>
          <w:kern w:val="0"/>
          <w:szCs w:val="21"/>
        </w:rPr>
        <w:t>Kang J, Ji M, Zhao Z, et al. Memory os of ai agent[C]//Proceedings of the 2025 Conference on Empirical Methods in Natural Language Processing. 2025: 25972-25981.</w:t>
      </w:r>
    </w:p>
    <w:bookmarkEnd w:id="36"/>
    <w:p w14:paraId="72D47EFA">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Nofshin E. Leveraging Interpretable Human Models to Personalize AI Interventions for Behavior Change[C]//Proceedings of the 23rd International Conference on Autonomous Agents and Multiagent Systems. 2024: 2761-2763.</w:t>
      </w:r>
    </w:p>
    <w:p w14:paraId="5D183920">
      <w:pPr>
        <w:pStyle w:val="36"/>
        <w:numPr>
          <w:ilvl w:val="0"/>
          <w:numId w:val="1"/>
        </w:numPr>
        <w:rPr>
          <w:rFonts w:ascii="Times New Roman" w:hAnsi="Times New Roman" w:eastAsia="宋体" w:cs="Times New Roman"/>
          <w:kern w:val="0"/>
          <w:szCs w:val="21"/>
        </w:rPr>
      </w:pPr>
      <w:bookmarkStart w:id="37" w:name="_Ref227263232"/>
      <w:r>
        <w:rPr>
          <w:rFonts w:ascii="Times New Roman" w:hAnsi="Times New Roman" w:eastAsia="宋体" w:cs="Times New Roman"/>
          <w:kern w:val="0"/>
          <w:szCs w:val="21"/>
        </w:rPr>
        <w:t>丁晓东.用户画像、个性化推荐与个人信息保护[J].环球法律评论,2019,41(05):82-96.</w:t>
      </w:r>
    </w:p>
    <w:bookmarkEnd w:id="37"/>
    <w:p w14:paraId="055467A8">
      <w:pPr>
        <w:pStyle w:val="36"/>
        <w:numPr>
          <w:ilvl w:val="0"/>
          <w:numId w:val="1"/>
        </w:numPr>
        <w:rPr>
          <w:rFonts w:ascii="Times New Roman" w:hAnsi="Times New Roman" w:eastAsia="宋体" w:cs="Times New Roman"/>
          <w:kern w:val="0"/>
          <w:szCs w:val="21"/>
        </w:rPr>
      </w:pPr>
      <w:bookmarkStart w:id="38" w:name="_Ref227263249"/>
      <w:r>
        <w:rPr>
          <w:rFonts w:ascii="Times New Roman" w:hAnsi="Times New Roman" w:eastAsia="宋体" w:cs="Times New Roman"/>
          <w:kern w:val="0"/>
          <w:szCs w:val="21"/>
        </w:rPr>
        <w:t>杨智,杨婷.可持续消费研究述评[J].经济纵横,2009,(02):120-122.</w:t>
      </w:r>
    </w:p>
    <w:bookmarkEnd w:id="38"/>
    <w:p w14:paraId="12194225">
      <w:pPr>
        <w:pStyle w:val="36"/>
        <w:numPr>
          <w:ilvl w:val="0"/>
          <w:numId w:val="1"/>
        </w:numPr>
        <w:rPr>
          <w:rFonts w:ascii="Times New Roman" w:hAnsi="Times New Roman" w:eastAsia="宋体" w:cs="Times New Roman"/>
          <w:kern w:val="0"/>
          <w:szCs w:val="21"/>
        </w:rPr>
      </w:pPr>
      <w:bookmarkStart w:id="39" w:name="_Ref227263279"/>
      <w:r>
        <w:rPr>
          <w:rFonts w:ascii="Times New Roman" w:hAnsi="Times New Roman" w:eastAsia="宋体" w:cs="Times New Roman"/>
          <w:kern w:val="0"/>
          <w:szCs w:val="21"/>
        </w:rPr>
        <w:t>劳可夫,吴佳.基于Ajzen计划行为理论的绿色消费行为的影响机制[J].财经科学,2013,(02):91-100.</w:t>
      </w:r>
    </w:p>
    <w:bookmarkEnd w:id="39"/>
    <w:p w14:paraId="6E0B3C10">
      <w:pPr>
        <w:pStyle w:val="36"/>
        <w:numPr>
          <w:ilvl w:val="0"/>
          <w:numId w:val="1"/>
        </w:numPr>
        <w:rPr>
          <w:rFonts w:ascii="Times New Roman" w:hAnsi="Times New Roman" w:eastAsia="宋体" w:cs="Times New Roman"/>
          <w:kern w:val="0"/>
          <w:szCs w:val="21"/>
        </w:rPr>
      </w:pPr>
      <w:bookmarkStart w:id="40" w:name="_Ref227263301"/>
      <w:r>
        <w:rPr>
          <w:rFonts w:ascii="Times New Roman" w:hAnsi="Times New Roman" w:eastAsia="宋体" w:cs="Times New Roman"/>
          <w:kern w:val="0"/>
          <w:szCs w:val="21"/>
        </w:rPr>
        <w:t>刘宇伟.计划行为理论和中国消费者绿色消费行为[J].中国流通经济,2008,(08):66-69.</w:t>
      </w:r>
    </w:p>
    <w:bookmarkEnd w:id="40"/>
    <w:p w14:paraId="400C1B9D">
      <w:pPr>
        <w:pStyle w:val="36"/>
        <w:numPr>
          <w:ilvl w:val="0"/>
          <w:numId w:val="1"/>
        </w:numPr>
        <w:rPr>
          <w:rFonts w:ascii="Times New Roman" w:hAnsi="Times New Roman" w:eastAsia="宋体" w:cs="Times New Roman"/>
          <w:kern w:val="0"/>
          <w:szCs w:val="21"/>
        </w:rPr>
      </w:pPr>
      <w:bookmarkStart w:id="41" w:name="_Ref227263322"/>
      <w:r>
        <w:rPr>
          <w:rFonts w:hint="eastAsia" w:ascii="Times New Roman" w:hAnsi="Times New Roman" w:eastAsia="宋体" w:cs="Times New Roman"/>
          <w:kern w:val="0"/>
          <w:szCs w:val="21"/>
        </w:rPr>
        <w:t>蒋琳莉,黄好钦,张俊飚,等.稻农低碳生产行为的双路径干预策略研究——基于50余万字深度访谈资料的扎根分析[J].世界农业,2022,(01):76-86.</w:t>
      </w:r>
    </w:p>
    <w:bookmarkEnd w:id="41"/>
    <w:p w14:paraId="2B8C1BCC">
      <w:pPr>
        <w:pStyle w:val="36"/>
        <w:numPr>
          <w:ilvl w:val="0"/>
          <w:numId w:val="1"/>
        </w:numPr>
        <w:rPr>
          <w:rFonts w:ascii="Times New Roman" w:hAnsi="Times New Roman" w:eastAsia="宋体" w:cs="Times New Roman"/>
          <w:kern w:val="0"/>
          <w:szCs w:val="21"/>
        </w:rPr>
      </w:pPr>
      <w:bookmarkStart w:id="42" w:name="_Ref227263402"/>
      <w:r>
        <w:rPr>
          <w:rFonts w:ascii="Times New Roman" w:hAnsi="Times New Roman" w:eastAsia="宋体" w:cs="Times New Roman"/>
          <w:kern w:val="0"/>
          <w:szCs w:val="21"/>
        </w:rPr>
        <w:t>Bamberg S, Möser G. Twenty years after Hines, Hungerford, and Tomera: A new meta-analysis of psycho-social determinants of pro-environmental behaviour[J]. Journal of environmental psychology, 2007, 27(1): 14-25.</w:t>
      </w:r>
    </w:p>
    <w:bookmarkEnd w:id="42"/>
    <w:p w14:paraId="391318B5">
      <w:pPr>
        <w:pStyle w:val="36"/>
        <w:numPr>
          <w:ilvl w:val="0"/>
          <w:numId w:val="1"/>
        </w:numPr>
        <w:rPr>
          <w:rFonts w:ascii="Times New Roman" w:hAnsi="Times New Roman" w:eastAsia="宋体" w:cs="Times New Roman"/>
          <w:kern w:val="0"/>
          <w:szCs w:val="21"/>
        </w:rPr>
      </w:pPr>
      <w:r>
        <w:rPr>
          <w:rFonts w:hint="eastAsia" w:ascii="Times New Roman" w:hAnsi="Times New Roman" w:eastAsia="宋体" w:cs="Times New Roman"/>
          <w:kern w:val="0"/>
          <w:szCs w:val="21"/>
        </w:rPr>
        <w:t>Steinhorst J, Klöckner C A, MATTHIES E. Saving electricity – For the money or the environment? Risks of limiting pro-environmental spillover when using monetary framing[J]. Journal of Environmental Psychology, 2015, 43: 125-135.</w:t>
      </w:r>
    </w:p>
    <w:p w14:paraId="2CA7A90D">
      <w:pPr>
        <w:pStyle w:val="36"/>
        <w:numPr>
          <w:ilvl w:val="0"/>
          <w:numId w:val="1"/>
        </w:numPr>
        <w:rPr>
          <w:rFonts w:ascii="Times New Roman" w:hAnsi="Times New Roman" w:eastAsia="宋体" w:cs="Times New Roman"/>
          <w:kern w:val="0"/>
          <w:szCs w:val="21"/>
        </w:rPr>
      </w:pPr>
      <w:bookmarkStart w:id="43" w:name="_Ref227263426"/>
      <w:r>
        <w:rPr>
          <w:rFonts w:ascii="Times New Roman" w:hAnsi="Times New Roman" w:eastAsia="宋体" w:cs="Times New Roman"/>
          <w:kern w:val="0"/>
          <w:szCs w:val="21"/>
        </w:rPr>
        <w:t>Betzler S. Towards a Broader Understanding of Sustainable Consumption: Applying Psychological Insights for Evidence-Based Interventions[J]. 2024.</w:t>
      </w:r>
    </w:p>
    <w:bookmarkEnd w:id="43"/>
    <w:p w14:paraId="370D34A2">
      <w:pPr>
        <w:pStyle w:val="36"/>
        <w:numPr>
          <w:ilvl w:val="0"/>
          <w:numId w:val="1"/>
        </w:numPr>
        <w:rPr>
          <w:rFonts w:ascii="Times New Roman" w:hAnsi="Times New Roman" w:eastAsia="宋体" w:cs="Times New Roman"/>
          <w:kern w:val="0"/>
          <w:szCs w:val="21"/>
        </w:rPr>
      </w:pPr>
      <w:bookmarkStart w:id="44" w:name="_Ref227263452"/>
      <w:r>
        <w:rPr>
          <w:rFonts w:ascii="Times New Roman" w:hAnsi="Times New Roman" w:eastAsia="宋体" w:cs="Times New Roman"/>
          <w:kern w:val="0"/>
          <w:szCs w:val="21"/>
        </w:rPr>
        <w:t>White K, Habib R, Hardisty D J. How to SHIFT consumer behaviors to be more sustainable: A literature review and guiding framework[J]. Journal of marketing, 2019, 83(3): 22-49.</w:t>
      </w:r>
    </w:p>
    <w:p w14:paraId="10A90DAF">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杜松华,徐嘉泓,张德鹏,等.游戏化如何驱动电商用户绿色消费行为——基于蚂蚁森林的网络民族志研究[J].南开管理评论,2022,25(02):191-204.</w:t>
      </w:r>
    </w:p>
    <w:bookmarkEnd w:id="44"/>
    <w:p w14:paraId="407EBC74">
      <w:pPr>
        <w:pStyle w:val="36"/>
        <w:numPr>
          <w:ilvl w:val="0"/>
          <w:numId w:val="1"/>
        </w:numPr>
        <w:rPr>
          <w:rFonts w:ascii="Times New Roman" w:hAnsi="Times New Roman" w:eastAsia="宋体" w:cs="Times New Roman"/>
          <w:kern w:val="0"/>
          <w:szCs w:val="21"/>
        </w:rPr>
      </w:pPr>
      <w:bookmarkStart w:id="45" w:name="_Ref227263464"/>
      <w:r>
        <w:rPr>
          <w:rFonts w:ascii="Times New Roman" w:hAnsi="Times New Roman" w:eastAsia="宋体" w:cs="Times New Roman"/>
          <w:kern w:val="0"/>
          <w:szCs w:val="21"/>
        </w:rPr>
        <w:t>Adamu M, Zhang Q, Pan H, et al. Querying Climate Knowledge: Semantic Retrieval for Scientific Discovery[J]. arXiv preprint arXiv:2509.10087, 2025.</w:t>
      </w:r>
    </w:p>
    <w:bookmarkEnd w:id="45"/>
    <w:p w14:paraId="59108BBA">
      <w:pPr>
        <w:pStyle w:val="36"/>
        <w:numPr>
          <w:ilvl w:val="0"/>
          <w:numId w:val="1"/>
        </w:numPr>
        <w:rPr>
          <w:rFonts w:ascii="Times New Roman" w:hAnsi="Times New Roman" w:eastAsia="宋体" w:cs="Times New Roman"/>
          <w:kern w:val="0"/>
          <w:szCs w:val="21"/>
        </w:rPr>
      </w:pPr>
      <w:bookmarkStart w:id="46" w:name="_Ref227263510"/>
      <w:r>
        <w:rPr>
          <w:rFonts w:ascii="Times New Roman" w:hAnsi="Times New Roman" w:eastAsia="宋体" w:cs="Times New Roman"/>
          <w:kern w:val="0"/>
          <w:szCs w:val="21"/>
        </w:rPr>
        <w:t>Sehgal N K R, Tonneau M, Tan A, et al. Effect of Static vs. Conversational AI-Generated Messages on Colorectal Cancer Screening Intent: a Randomized Controlled Trial[J]. arXiv preprint arXiv:2507.08211, 2025.</w:t>
      </w:r>
    </w:p>
    <w:bookmarkEnd w:id="46"/>
    <w:p w14:paraId="6ACD3363">
      <w:pPr>
        <w:pStyle w:val="36"/>
        <w:numPr>
          <w:ilvl w:val="0"/>
          <w:numId w:val="1"/>
        </w:numPr>
        <w:rPr>
          <w:rFonts w:ascii="Times New Roman" w:hAnsi="Times New Roman" w:eastAsia="宋体" w:cs="Times New Roman"/>
          <w:kern w:val="0"/>
          <w:szCs w:val="21"/>
        </w:rPr>
      </w:pPr>
      <w:bookmarkStart w:id="47" w:name="_Ref227263575"/>
      <w:r>
        <w:rPr>
          <w:rFonts w:ascii="Times New Roman" w:hAnsi="Times New Roman" w:eastAsia="宋体" w:cs="Times New Roman"/>
          <w:kern w:val="0"/>
          <w:szCs w:val="21"/>
        </w:rPr>
        <w:t>Enginkaya E, Hayrun Sağlam M. Navigating Sustainability: The Role of Consumer Psychology in Shaping Sustainable Behavior[J]. Sage Open, 2025, 15(4): 21582440251376481.</w:t>
      </w:r>
    </w:p>
    <w:p w14:paraId="5D394E7B">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杨凯童,吴军,米志付,等.基于家庭特征视角的中国居民碳足迹评估[J/OL].中国管理科学,1-15[2026-04-17].</w:t>
      </w:r>
    </w:p>
    <w:bookmarkEnd w:id="47"/>
    <w:p w14:paraId="7A84A5B6">
      <w:pPr>
        <w:pStyle w:val="36"/>
        <w:numPr>
          <w:ilvl w:val="0"/>
          <w:numId w:val="1"/>
        </w:numPr>
        <w:rPr>
          <w:rFonts w:ascii="Times New Roman" w:hAnsi="Times New Roman" w:eastAsia="宋体" w:cs="Times New Roman"/>
          <w:kern w:val="0"/>
          <w:szCs w:val="21"/>
        </w:rPr>
      </w:pPr>
      <w:bookmarkStart w:id="48" w:name="_Ref227263588"/>
      <w:r>
        <w:rPr>
          <w:rFonts w:ascii="Times New Roman" w:hAnsi="Times New Roman" w:eastAsia="宋体" w:cs="Times New Roman"/>
          <w:kern w:val="0"/>
          <w:szCs w:val="21"/>
        </w:rPr>
        <w:t>刘红光,范晓梅,刘卫东.城市活动碳足迹计量及其对城市规划的启示——以北京市为例[J].城市规划,2012,36(10):45-50.</w:t>
      </w:r>
    </w:p>
    <w:bookmarkEnd w:id="48"/>
    <w:p w14:paraId="4DD63FF0">
      <w:pPr>
        <w:pStyle w:val="36"/>
        <w:numPr>
          <w:ilvl w:val="0"/>
          <w:numId w:val="1"/>
        </w:numPr>
        <w:rPr>
          <w:rFonts w:ascii="Times New Roman" w:hAnsi="Times New Roman" w:eastAsia="宋体" w:cs="Times New Roman"/>
          <w:kern w:val="0"/>
          <w:szCs w:val="21"/>
        </w:rPr>
      </w:pPr>
      <w:bookmarkStart w:id="49" w:name="_Ref227263602"/>
      <w:r>
        <w:rPr>
          <w:rFonts w:ascii="Times New Roman" w:hAnsi="Times New Roman" w:eastAsia="宋体" w:cs="Times New Roman"/>
          <w:kern w:val="0"/>
          <w:szCs w:val="21"/>
        </w:rPr>
        <w:t>姚亮,刘晶茹,王如松,等.基于多区域投入产出(MRIO)的中国区域居民消费碳足迹分析[J].环境科学学报,2013,33(07):2050-2058.</w:t>
      </w:r>
    </w:p>
    <w:bookmarkEnd w:id="49"/>
    <w:p w14:paraId="2F5FA7BD">
      <w:pPr>
        <w:pStyle w:val="36"/>
        <w:numPr>
          <w:ilvl w:val="0"/>
          <w:numId w:val="1"/>
        </w:numPr>
        <w:rPr>
          <w:rFonts w:ascii="Times New Roman" w:hAnsi="Times New Roman" w:eastAsia="宋体" w:cs="Times New Roman"/>
          <w:kern w:val="0"/>
          <w:szCs w:val="21"/>
        </w:rPr>
      </w:pPr>
      <w:bookmarkStart w:id="50" w:name="_Ref227263612"/>
      <w:r>
        <w:rPr>
          <w:rFonts w:ascii="Times New Roman" w:hAnsi="Times New Roman" w:eastAsia="宋体" w:cs="Times New Roman"/>
          <w:kern w:val="0"/>
          <w:szCs w:val="21"/>
        </w:rPr>
        <w:t>王文熹.“双碳”目标下碳标识制度的功能定位及其实现路径[J].西南金融,2024,(09):54-66.</w:t>
      </w:r>
    </w:p>
    <w:bookmarkEnd w:id="50"/>
    <w:p w14:paraId="03B2D76E">
      <w:pPr>
        <w:pStyle w:val="36"/>
        <w:numPr>
          <w:ilvl w:val="0"/>
          <w:numId w:val="1"/>
        </w:numPr>
        <w:rPr>
          <w:rFonts w:ascii="Times New Roman" w:hAnsi="Times New Roman" w:eastAsia="宋体" w:cs="Times New Roman"/>
          <w:kern w:val="0"/>
          <w:szCs w:val="21"/>
        </w:rPr>
      </w:pPr>
      <w:bookmarkStart w:id="51" w:name="_Ref227263624"/>
      <w:r>
        <w:rPr>
          <w:rFonts w:ascii="Times New Roman" w:hAnsi="Times New Roman" w:eastAsia="宋体" w:cs="Times New Roman"/>
          <w:kern w:val="0"/>
          <w:szCs w:val="21"/>
        </w:rPr>
        <w:t>孙明茜.数据要素赋能绿色低碳发展的理论逻辑与实践路径[J].西南金融,2025,(02):44-55.</w:t>
      </w:r>
    </w:p>
    <w:bookmarkEnd w:id="51"/>
    <w:p w14:paraId="7EFF3B4C">
      <w:pPr>
        <w:pStyle w:val="36"/>
        <w:numPr>
          <w:ilvl w:val="0"/>
          <w:numId w:val="1"/>
        </w:numPr>
        <w:rPr>
          <w:rFonts w:ascii="Times New Roman" w:hAnsi="Times New Roman" w:eastAsia="宋体" w:cs="Times New Roman"/>
          <w:kern w:val="0"/>
          <w:szCs w:val="21"/>
        </w:rPr>
      </w:pPr>
      <w:bookmarkStart w:id="52" w:name="_Ref227263640"/>
      <w:r>
        <w:rPr>
          <w:rFonts w:ascii="Times New Roman" w:hAnsi="Times New Roman" w:eastAsia="宋体" w:cs="Times New Roman"/>
          <w:kern w:val="0"/>
          <w:szCs w:val="21"/>
        </w:rPr>
        <w:t>夏克郁,陈迎.基于消费的碳公平：内涵、测度与政策含义[J].消费经济,2024,40(02):51-62.</w:t>
      </w:r>
    </w:p>
    <w:bookmarkEnd w:id="52"/>
    <w:p w14:paraId="2092D67C">
      <w:pPr>
        <w:pStyle w:val="36"/>
        <w:numPr>
          <w:ilvl w:val="0"/>
          <w:numId w:val="1"/>
        </w:numPr>
        <w:rPr>
          <w:rFonts w:ascii="Times New Roman" w:hAnsi="Times New Roman" w:eastAsia="宋体" w:cs="Times New Roman"/>
          <w:kern w:val="0"/>
          <w:szCs w:val="21"/>
        </w:rPr>
      </w:pPr>
      <w:bookmarkStart w:id="53" w:name="_Ref227263656"/>
      <w:r>
        <w:rPr>
          <w:rFonts w:ascii="Times New Roman" w:hAnsi="Times New Roman" w:eastAsia="宋体" w:cs="Times New Roman"/>
          <w:kern w:val="0"/>
          <w:szCs w:val="21"/>
        </w:rPr>
        <w:t>马晓旭.基于结构方程模型的大学生低碳消费行为影响因素研究——以扬州大学学生为例[J].消费经济,2015,31(06):87-91.</w:t>
      </w:r>
    </w:p>
    <w:bookmarkEnd w:id="53"/>
    <w:p w14:paraId="3C3B20E6">
      <w:pPr>
        <w:pStyle w:val="36"/>
        <w:numPr>
          <w:ilvl w:val="0"/>
          <w:numId w:val="1"/>
        </w:numPr>
        <w:rPr>
          <w:rFonts w:ascii="Times New Roman" w:hAnsi="Times New Roman" w:eastAsia="宋体" w:cs="Times New Roman"/>
          <w:kern w:val="0"/>
          <w:szCs w:val="21"/>
        </w:rPr>
      </w:pPr>
      <w:bookmarkStart w:id="54" w:name="_Ref227263668"/>
      <w:r>
        <w:rPr>
          <w:rFonts w:ascii="Times New Roman" w:hAnsi="Times New Roman" w:eastAsia="宋体" w:cs="Times New Roman"/>
          <w:kern w:val="0"/>
          <w:szCs w:val="21"/>
        </w:rPr>
        <w:t>肖轶楠.基于计划行为理论的酒店顾客绿色消费行为影响因素实证研究[J].干旱区资源与环境,2016,30(12):204-207.</w:t>
      </w:r>
    </w:p>
    <w:bookmarkEnd w:id="54"/>
    <w:p w14:paraId="4369E6D4">
      <w:pPr>
        <w:pStyle w:val="36"/>
        <w:numPr>
          <w:ilvl w:val="0"/>
          <w:numId w:val="1"/>
        </w:numPr>
        <w:rPr>
          <w:rFonts w:ascii="Times New Roman" w:hAnsi="Times New Roman" w:eastAsia="宋体" w:cs="Times New Roman"/>
          <w:kern w:val="0"/>
          <w:szCs w:val="21"/>
        </w:rPr>
      </w:pPr>
      <w:bookmarkStart w:id="55" w:name="_Ref227263675"/>
      <w:r>
        <w:rPr>
          <w:rFonts w:ascii="Times New Roman" w:hAnsi="Times New Roman" w:eastAsia="宋体" w:cs="Times New Roman"/>
          <w:kern w:val="0"/>
          <w:szCs w:val="21"/>
        </w:rPr>
        <w:t>李玲.整合生态价值观与计划行为理论预测顾客绿色饭店消费意向[J].生态经济,2016,32(07):153-157.</w:t>
      </w:r>
    </w:p>
    <w:bookmarkEnd w:id="55"/>
    <w:p w14:paraId="50C93399">
      <w:pPr>
        <w:pStyle w:val="36"/>
        <w:numPr>
          <w:ilvl w:val="0"/>
          <w:numId w:val="1"/>
        </w:numPr>
        <w:rPr>
          <w:rFonts w:ascii="Times New Roman" w:hAnsi="Times New Roman" w:eastAsia="宋体" w:cs="Times New Roman"/>
          <w:kern w:val="0"/>
          <w:szCs w:val="21"/>
        </w:rPr>
      </w:pPr>
      <w:bookmarkStart w:id="56" w:name="_Ref227263702"/>
      <w:r>
        <w:rPr>
          <w:rFonts w:ascii="Times New Roman" w:hAnsi="Times New Roman" w:eastAsia="宋体" w:cs="Times New Roman"/>
          <w:kern w:val="0"/>
          <w:szCs w:val="21"/>
        </w:rPr>
        <w:t>杨阿莉,陈新如,辜友骞,等.旅游利益相关者低碳环境责任行为及相互影响研究——基于动态演化博弈的分析[J].西北师范大学学报(自然科学版),2024,60(05):68-78.</w:t>
      </w:r>
    </w:p>
    <w:bookmarkEnd w:id="56"/>
    <w:p w14:paraId="51CD5397">
      <w:pPr>
        <w:pStyle w:val="36"/>
        <w:numPr>
          <w:ilvl w:val="0"/>
          <w:numId w:val="1"/>
        </w:numPr>
        <w:rPr>
          <w:rFonts w:ascii="Times New Roman" w:hAnsi="Times New Roman" w:eastAsia="宋体" w:cs="Times New Roman"/>
          <w:kern w:val="0"/>
          <w:szCs w:val="21"/>
        </w:rPr>
      </w:pPr>
      <w:bookmarkStart w:id="57" w:name="_Ref227265066"/>
      <w:bookmarkStart w:id="58" w:name="_Ref227264067"/>
      <w:r>
        <w:rPr>
          <w:rFonts w:ascii="Times New Roman" w:hAnsi="Times New Roman" w:eastAsia="宋体" w:cs="Times New Roman"/>
          <w:kern w:val="0"/>
          <w:szCs w:val="21"/>
        </w:rPr>
        <w:t>孟序阳,王昊,李远清,等.基于细粒度知识图谱检索增强生成的提示学习研究[J].数据分析与知识发现,2025,9(09):1-12.</w:t>
      </w:r>
    </w:p>
    <w:bookmarkEnd w:id="57"/>
    <w:p w14:paraId="4D0CADFB">
      <w:pPr>
        <w:pStyle w:val="36"/>
        <w:numPr>
          <w:ilvl w:val="0"/>
          <w:numId w:val="1"/>
        </w:numPr>
        <w:rPr>
          <w:rFonts w:ascii="Times New Roman" w:hAnsi="Times New Roman" w:eastAsia="宋体" w:cs="Times New Roman"/>
          <w:kern w:val="0"/>
          <w:szCs w:val="21"/>
        </w:rPr>
      </w:pPr>
      <w:bookmarkStart w:id="59" w:name="_Ref227265081"/>
      <w:r>
        <w:rPr>
          <w:rFonts w:ascii="Times New Roman" w:hAnsi="Times New Roman" w:eastAsia="宋体" w:cs="Times New Roman"/>
          <w:kern w:val="0"/>
          <w:szCs w:val="21"/>
        </w:rPr>
        <w:t>Prochaska J O, Velicer W F. The transtheoretical model of health behavior change[J]. American journal of health promotion, 1997, 12(1): 38-48.</w:t>
      </w:r>
    </w:p>
    <w:bookmarkEnd w:id="58"/>
    <w:bookmarkEnd w:id="59"/>
    <w:p w14:paraId="7A7B6620">
      <w:pPr>
        <w:pStyle w:val="36"/>
        <w:numPr>
          <w:ilvl w:val="0"/>
          <w:numId w:val="1"/>
        </w:numPr>
        <w:rPr>
          <w:rFonts w:ascii="Times New Roman" w:hAnsi="Times New Roman" w:eastAsia="宋体" w:cs="Times New Roman"/>
          <w:kern w:val="0"/>
          <w:szCs w:val="21"/>
        </w:rPr>
      </w:pPr>
      <w:bookmarkStart w:id="60" w:name="_Ref227265294"/>
      <w:r>
        <w:rPr>
          <w:rFonts w:ascii="Times New Roman" w:hAnsi="Times New Roman" w:eastAsia="宋体" w:cs="Times New Roman"/>
          <w:kern w:val="0"/>
          <w:szCs w:val="21"/>
        </w:rPr>
        <w:t>Schulte E, Scheller F, Sloot D, et al. A meta-analysis of residential PV adoption: the important role of perceived benefits, intentions and antecedents in solar energy acceptance[J]. Energy Research &amp; Social Science, 2022, 84: 102339.</w:t>
      </w:r>
    </w:p>
    <w:bookmarkEnd w:id="60"/>
    <w:p w14:paraId="6B09C1B3">
      <w:pPr>
        <w:pStyle w:val="36"/>
        <w:numPr>
          <w:ilvl w:val="0"/>
          <w:numId w:val="1"/>
        </w:numPr>
        <w:rPr>
          <w:rFonts w:ascii="Times New Roman" w:hAnsi="Times New Roman" w:eastAsia="宋体" w:cs="Times New Roman"/>
          <w:kern w:val="0"/>
          <w:szCs w:val="21"/>
        </w:rPr>
      </w:pPr>
      <w:bookmarkStart w:id="61" w:name="_Ref227265926"/>
      <w:r>
        <w:rPr>
          <w:rFonts w:ascii="Times New Roman" w:hAnsi="Times New Roman" w:eastAsia="宋体" w:cs="Times New Roman"/>
          <w:kern w:val="0"/>
          <w:szCs w:val="21"/>
        </w:rPr>
        <w:t>Ajzen I. The theory of planned behavior[J]. Organizational behavior and human decision processes, 1991, 50(2): 179-211.</w:t>
      </w:r>
    </w:p>
    <w:bookmarkEnd w:id="61"/>
    <w:p w14:paraId="7058D567">
      <w:pPr>
        <w:pStyle w:val="36"/>
        <w:numPr>
          <w:ilvl w:val="0"/>
          <w:numId w:val="1"/>
        </w:numPr>
        <w:rPr>
          <w:rFonts w:ascii="Times New Roman" w:hAnsi="Times New Roman" w:eastAsia="宋体" w:cs="Times New Roman"/>
          <w:kern w:val="0"/>
          <w:szCs w:val="21"/>
        </w:rPr>
      </w:pPr>
      <w:bookmarkStart w:id="62" w:name="_Ref227266008"/>
      <w:r>
        <w:rPr>
          <w:rFonts w:ascii="Times New Roman" w:hAnsi="Times New Roman" w:eastAsia="宋体" w:cs="Times New Roman"/>
          <w:kern w:val="0"/>
          <w:szCs w:val="21"/>
        </w:rPr>
        <w:t>Petty R E, Cacioppo J T. The elaboration likelihood model of persuasion[M]//Advances in experimental social psychology. Academic Press, 1986, 19: 123-205.</w:t>
      </w:r>
    </w:p>
    <w:bookmarkEnd w:id="62"/>
    <w:p w14:paraId="1AFFC77B">
      <w:pPr>
        <w:pStyle w:val="36"/>
        <w:numPr>
          <w:ilvl w:val="0"/>
          <w:numId w:val="1"/>
        </w:numPr>
        <w:rPr>
          <w:rFonts w:ascii="Times New Roman" w:hAnsi="Times New Roman" w:eastAsia="宋体" w:cs="Times New Roman"/>
          <w:kern w:val="0"/>
          <w:szCs w:val="21"/>
        </w:rPr>
      </w:pPr>
      <w:bookmarkStart w:id="63" w:name="_Ref227266053"/>
      <w:r>
        <w:rPr>
          <w:rFonts w:ascii="Times New Roman" w:hAnsi="Times New Roman" w:eastAsia="宋体" w:cs="Times New Roman"/>
          <w:kern w:val="0"/>
          <w:szCs w:val="21"/>
        </w:rPr>
        <w:t>Ma C, Chen Y, Wu T, et al. Unifying Large Language Models and Knowledge Graphs for Question Answering: Recent Advances and Opportunities[C]//EDBT. 2025: 1174-1177.</w:t>
      </w:r>
    </w:p>
    <w:bookmarkEnd w:id="63"/>
    <w:p w14:paraId="61948549">
      <w:pPr>
        <w:pStyle w:val="36"/>
        <w:numPr>
          <w:ilvl w:val="0"/>
          <w:numId w:val="1"/>
        </w:numPr>
        <w:rPr>
          <w:rFonts w:ascii="Times New Roman" w:hAnsi="Times New Roman" w:eastAsia="宋体" w:cs="Times New Roman"/>
          <w:kern w:val="0"/>
          <w:szCs w:val="21"/>
        </w:rPr>
      </w:pPr>
      <w:bookmarkStart w:id="64" w:name="_Ref227266068"/>
      <w:r>
        <w:rPr>
          <w:rFonts w:ascii="Times New Roman" w:hAnsi="Times New Roman" w:eastAsia="宋体" w:cs="Times New Roman"/>
          <w:kern w:val="0"/>
          <w:szCs w:val="21"/>
        </w:rPr>
        <w:t>Cheng Y, Zhao Y, Zhu J, et al. Human cognition inspired rag with knowledge graph for complex problem solving[C]//Proceedings of the AAAI Conference on Artificial Intelligence. 2026, 40(36): 30386-30394.</w:t>
      </w:r>
    </w:p>
    <w:bookmarkEnd w:id="64"/>
    <w:p w14:paraId="19CA25ED">
      <w:pPr>
        <w:pStyle w:val="36"/>
        <w:numPr>
          <w:ilvl w:val="0"/>
          <w:numId w:val="1"/>
        </w:numPr>
        <w:rPr>
          <w:rFonts w:ascii="Times New Roman" w:hAnsi="Times New Roman" w:eastAsia="宋体" w:cs="Times New Roman"/>
          <w:kern w:val="0"/>
          <w:szCs w:val="21"/>
        </w:rPr>
      </w:pPr>
      <w:bookmarkStart w:id="65" w:name="_Ref227266091"/>
      <w:r>
        <w:rPr>
          <w:rFonts w:ascii="Times New Roman" w:hAnsi="Times New Roman" w:eastAsia="宋体" w:cs="Times New Roman"/>
          <w:kern w:val="0"/>
          <w:szCs w:val="21"/>
        </w:rPr>
        <w:t>Aggarwal V. Empowering Large Language Model Reasoning: Hybridizing Layered Retrieval Augmented Generation and Knowledge Graph Synthesis[J]. Int. J. High Sch. Res, 2024, 6: 80-92.</w:t>
      </w:r>
    </w:p>
    <w:bookmarkEnd w:id="65"/>
    <w:p w14:paraId="7B1DB7DB">
      <w:pPr>
        <w:pStyle w:val="36"/>
        <w:numPr>
          <w:ilvl w:val="0"/>
          <w:numId w:val="1"/>
        </w:numPr>
        <w:rPr>
          <w:rFonts w:ascii="Times New Roman" w:hAnsi="Times New Roman" w:eastAsia="宋体" w:cs="Times New Roman"/>
          <w:kern w:val="0"/>
          <w:szCs w:val="21"/>
        </w:rPr>
      </w:pPr>
      <w:bookmarkStart w:id="66" w:name="_Ref227266184"/>
      <w:r>
        <w:rPr>
          <w:rFonts w:ascii="Times New Roman" w:hAnsi="Times New Roman" w:eastAsia="宋体" w:cs="Times New Roman"/>
          <w:kern w:val="0"/>
          <w:szCs w:val="21"/>
        </w:rPr>
        <w:t>Keyvanshokooh E, Gan K, Guo Y, et al. Learning when to nudge: A dual-agent bandit framework for behavioral interventions[J]. Available at SSRN 5909422, 2025.</w:t>
      </w:r>
    </w:p>
    <w:bookmarkEnd w:id="66"/>
    <w:p w14:paraId="3E2346B1">
      <w:pPr>
        <w:pStyle w:val="36"/>
        <w:numPr>
          <w:ilvl w:val="0"/>
          <w:numId w:val="1"/>
        </w:numPr>
        <w:rPr>
          <w:rFonts w:ascii="Times New Roman" w:hAnsi="Times New Roman" w:eastAsia="宋体" w:cs="Times New Roman"/>
          <w:kern w:val="0"/>
          <w:szCs w:val="21"/>
        </w:rPr>
      </w:pPr>
      <w:bookmarkStart w:id="67" w:name="_Ref227266200"/>
      <w:r>
        <w:rPr>
          <w:rFonts w:ascii="Times New Roman" w:hAnsi="Times New Roman" w:eastAsia="宋体" w:cs="Times New Roman"/>
          <w:kern w:val="0"/>
          <w:szCs w:val="21"/>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bookmarkEnd w:id="67"/>
    <w:p w14:paraId="6A5BD122">
      <w:pPr>
        <w:pStyle w:val="36"/>
        <w:numPr>
          <w:ilvl w:val="0"/>
          <w:numId w:val="1"/>
        </w:numPr>
        <w:rPr>
          <w:rFonts w:ascii="Times New Roman" w:hAnsi="Times New Roman" w:eastAsia="宋体" w:cs="Times New Roman"/>
          <w:kern w:val="0"/>
          <w:szCs w:val="21"/>
        </w:rPr>
      </w:pPr>
      <w:bookmarkStart w:id="68" w:name="_Ref227266216"/>
      <w:r>
        <w:rPr>
          <w:rFonts w:ascii="Times New Roman" w:hAnsi="Times New Roman" w:eastAsia="宋体" w:cs="Times New Roman"/>
          <w:kern w:val="0"/>
          <w:szCs w:val="21"/>
        </w:rPr>
        <w:t>Zhang C, Wang Y, Xu D, et al. TeaRAG: A Token-Efficient Agentic Retrieval-Augmented Generation Framework[J]. arXiv preprint arXiv:2511.05385, 2025.</w:t>
      </w:r>
    </w:p>
    <w:bookmarkEnd w:id="68"/>
    <w:p w14:paraId="5F730793">
      <w:pPr>
        <w:pStyle w:val="36"/>
        <w:numPr>
          <w:ilvl w:val="0"/>
          <w:numId w:val="1"/>
        </w:numPr>
        <w:rPr>
          <w:rFonts w:ascii="Times New Roman" w:hAnsi="Times New Roman" w:eastAsia="宋体" w:cs="Times New Roman"/>
          <w:kern w:val="0"/>
          <w:szCs w:val="21"/>
        </w:rPr>
      </w:pPr>
      <w:bookmarkStart w:id="69" w:name="_Ref227266238"/>
      <w:r>
        <w:rPr>
          <w:rFonts w:ascii="Times New Roman" w:hAnsi="Times New Roman" w:eastAsia="宋体" w:cs="Times New Roman"/>
          <w:kern w:val="0"/>
          <w:szCs w:val="21"/>
        </w:rPr>
        <w:t>Sager P J, Kamaraj A, Grewe B F, et al. Deep Retrieval at CheckThat! 2025: identifying scientific papers from implicit social media mentions via hybrid retrieval and re-ranking[J]. arXiv preprint arXiv:2505.23250, 2025.</w:t>
      </w:r>
    </w:p>
    <w:bookmarkEnd w:id="69"/>
    <w:p w14:paraId="5AF686C4">
      <w:pPr>
        <w:pStyle w:val="36"/>
        <w:numPr>
          <w:ilvl w:val="0"/>
          <w:numId w:val="1"/>
        </w:numPr>
        <w:rPr>
          <w:rFonts w:ascii="Times New Roman" w:hAnsi="Times New Roman" w:eastAsia="宋体" w:cs="Times New Roman"/>
          <w:kern w:val="0"/>
          <w:szCs w:val="21"/>
        </w:rPr>
      </w:pPr>
      <w:bookmarkStart w:id="70" w:name="_Ref227266355"/>
      <w:r>
        <w:rPr>
          <w:rFonts w:ascii="Times New Roman" w:hAnsi="Times New Roman" w:eastAsia="宋体" w:cs="Times New Roman"/>
          <w:kern w:val="0"/>
          <w:szCs w:val="21"/>
        </w:rPr>
        <w:t>Zhao Z, Fan W, Li J, et al. Recommender systems in the era of large language models (llms)[J]. IEEE Transactions on Knowledge and Data Engineering, 2024, 36(11): 6889-6907.</w:t>
      </w:r>
    </w:p>
    <w:bookmarkEnd w:id="70"/>
    <w:p w14:paraId="3E9CEA6A">
      <w:pPr>
        <w:pStyle w:val="36"/>
        <w:numPr>
          <w:ilvl w:val="0"/>
          <w:numId w:val="1"/>
        </w:numPr>
        <w:rPr>
          <w:rFonts w:ascii="Times New Roman" w:hAnsi="Times New Roman" w:eastAsia="宋体" w:cs="Times New Roman"/>
          <w:kern w:val="0"/>
          <w:szCs w:val="21"/>
        </w:rPr>
      </w:pPr>
      <w:bookmarkStart w:id="71" w:name="_Ref227266370"/>
      <w:r>
        <w:rPr>
          <w:rFonts w:ascii="Times New Roman" w:hAnsi="Times New Roman" w:eastAsia="宋体" w:cs="Times New Roman"/>
          <w:kern w:val="0"/>
          <w:szCs w:val="21"/>
        </w:rPr>
        <w:t>Zhao Z, Ding Y, Fan W, et al. WebRec: Enhancing LLM-based Recommendations with Attention-guided RAG from Web[J]. arXiv preprint arXiv:2511.14182, 2025.</w:t>
      </w:r>
    </w:p>
    <w:bookmarkEnd w:id="71"/>
    <w:p w14:paraId="24D9BCDA">
      <w:pPr>
        <w:pStyle w:val="36"/>
        <w:numPr>
          <w:ilvl w:val="0"/>
          <w:numId w:val="1"/>
        </w:numPr>
        <w:rPr>
          <w:rFonts w:ascii="Times New Roman" w:hAnsi="Times New Roman" w:eastAsia="宋体" w:cs="Times New Roman"/>
          <w:kern w:val="0"/>
          <w:szCs w:val="21"/>
        </w:rPr>
      </w:pPr>
      <w:bookmarkStart w:id="72" w:name="_Ref227266385"/>
      <w:r>
        <w:rPr>
          <w:rFonts w:ascii="Times New Roman" w:hAnsi="Times New Roman" w:eastAsia="宋体" w:cs="Times New Roman"/>
          <w:kern w:val="0"/>
          <w:szCs w:val="21"/>
        </w:rPr>
        <w:t>Liang S, Zhang Y, Guo Y. PersonaAgent with GraphRAG: Community-Aware Knowledge Graphs for Personalized LLM[J]. arXiv preprint arXiv:2511.17467, 2025.</w:t>
      </w:r>
    </w:p>
    <w:bookmarkEnd w:id="72"/>
    <w:p w14:paraId="502EB097">
      <w:pPr>
        <w:pStyle w:val="36"/>
        <w:numPr>
          <w:ilvl w:val="0"/>
          <w:numId w:val="1"/>
        </w:numPr>
        <w:rPr>
          <w:rFonts w:ascii="Times New Roman" w:hAnsi="Times New Roman" w:eastAsia="宋体" w:cs="Times New Roman"/>
          <w:kern w:val="0"/>
          <w:szCs w:val="21"/>
        </w:rPr>
      </w:pPr>
      <w:bookmarkStart w:id="73" w:name="_Ref227266415"/>
      <w:r>
        <w:rPr>
          <w:rFonts w:ascii="Times New Roman" w:hAnsi="Times New Roman" w:eastAsia="宋体" w:cs="Times New Roman"/>
          <w:kern w:val="0"/>
          <w:szCs w:val="21"/>
        </w:rPr>
        <w:t>Dan Y, Lei Z, Gu Y, et al. Educhat: A large language model-based conversational agent for intelligent education[C]//China Conference on Knowledge Graph and Semantic Computing. Singapore: Springer Nature Singapore, 2024: 297-308.</w:t>
      </w:r>
    </w:p>
    <w:bookmarkEnd w:id="73"/>
    <w:p w14:paraId="2A396FF1">
      <w:pPr>
        <w:pStyle w:val="36"/>
        <w:numPr>
          <w:ilvl w:val="0"/>
          <w:numId w:val="1"/>
        </w:numPr>
        <w:rPr>
          <w:rFonts w:ascii="Times New Roman" w:hAnsi="Times New Roman" w:eastAsia="宋体" w:cs="Times New Roman"/>
          <w:kern w:val="0"/>
          <w:szCs w:val="21"/>
        </w:rPr>
      </w:pPr>
      <w:bookmarkStart w:id="74" w:name="_Ref227266439"/>
      <w:r>
        <w:rPr>
          <w:rFonts w:ascii="Times New Roman" w:hAnsi="Times New Roman" w:eastAsia="宋体" w:cs="Times New Roman"/>
          <w:kern w:val="0"/>
          <w:szCs w:val="21"/>
        </w:rPr>
        <w:t>Huang S, Yang H, Yao Y. Deep adaptive interest network: Personalized recommendation with context-aware learning (2024)[J]. arXiv preprint arXiv:2409.02425.</w:t>
      </w:r>
    </w:p>
    <w:bookmarkEnd w:id="74"/>
    <w:p w14:paraId="78883748">
      <w:pPr>
        <w:pStyle w:val="36"/>
        <w:numPr>
          <w:ilvl w:val="0"/>
          <w:numId w:val="1"/>
        </w:numPr>
        <w:rPr>
          <w:rFonts w:ascii="Times New Roman" w:hAnsi="Times New Roman" w:eastAsia="宋体" w:cs="Times New Roman"/>
          <w:kern w:val="0"/>
          <w:szCs w:val="21"/>
        </w:rPr>
      </w:pPr>
      <w:bookmarkStart w:id="75" w:name="_Ref227266454"/>
      <w:r>
        <w:rPr>
          <w:rFonts w:ascii="Times New Roman" w:hAnsi="Times New Roman" w:eastAsia="宋体" w:cs="Times New Roman"/>
          <w:kern w:val="0"/>
          <w:szCs w:val="21"/>
        </w:rPr>
        <w:t>Kim S, Lee Y, Kim S, et al. Pre-storage reasoning for episodic memory: Shifting inference burden to memory for personalized dialogue[J]. arXiv preprint arXiv:2509.10852, 2025.</w:t>
      </w:r>
    </w:p>
    <w:bookmarkEnd w:id="75"/>
    <w:p w14:paraId="1CBDB0FB">
      <w:pPr>
        <w:pStyle w:val="36"/>
        <w:numPr>
          <w:ilvl w:val="0"/>
          <w:numId w:val="1"/>
        </w:numPr>
        <w:rPr>
          <w:rFonts w:ascii="Times New Roman" w:hAnsi="Times New Roman" w:eastAsia="宋体" w:cs="Times New Roman"/>
          <w:kern w:val="0"/>
          <w:szCs w:val="21"/>
        </w:rPr>
      </w:pPr>
      <w:bookmarkStart w:id="76" w:name="_Ref227266493"/>
      <w:r>
        <w:rPr>
          <w:rFonts w:ascii="Times New Roman" w:hAnsi="Times New Roman" w:eastAsia="宋体" w:cs="Times New Roman"/>
          <w:kern w:val="0"/>
          <w:szCs w:val="21"/>
        </w:rPr>
        <w:t>Paul S K, Sharma S, Sareen N. GAAMA: Graph Augmented Associative Memory for Agents[J]. arXiv preprint arXiv:2603.27910, 2026.</w:t>
      </w:r>
    </w:p>
    <w:bookmarkEnd w:id="76"/>
    <w:p w14:paraId="343B4F59">
      <w:pPr>
        <w:pStyle w:val="36"/>
        <w:numPr>
          <w:ilvl w:val="0"/>
          <w:numId w:val="1"/>
        </w:numPr>
        <w:rPr>
          <w:rFonts w:ascii="Times New Roman" w:hAnsi="Times New Roman" w:eastAsia="宋体" w:cs="Times New Roman"/>
          <w:kern w:val="0"/>
          <w:szCs w:val="21"/>
        </w:rPr>
      </w:pPr>
      <w:bookmarkStart w:id="77" w:name="_Ref227266510"/>
      <w:r>
        <w:rPr>
          <w:rFonts w:ascii="Times New Roman" w:hAnsi="Times New Roman" w:eastAsia="宋体" w:cs="Times New Roman"/>
          <w:kern w:val="0"/>
          <w:szCs w:val="21"/>
        </w:rPr>
        <w:t>Alonso N, Figliolia T, Ndirango A, et al. Toward conversational agents with context and time sensitive long-term memory[J]. arXiv preprint arXiv:2406.00057, 2024.</w:t>
      </w:r>
    </w:p>
    <w:bookmarkEnd w:id="77"/>
    <w:p w14:paraId="625FCBB7">
      <w:pPr>
        <w:pStyle w:val="36"/>
        <w:numPr>
          <w:ilvl w:val="0"/>
          <w:numId w:val="1"/>
        </w:numPr>
        <w:rPr>
          <w:rFonts w:ascii="Times New Roman" w:hAnsi="Times New Roman" w:eastAsia="宋体" w:cs="Times New Roman"/>
          <w:kern w:val="0"/>
          <w:szCs w:val="21"/>
        </w:rPr>
      </w:pPr>
      <w:bookmarkStart w:id="78" w:name="_Ref227266522"/>
      <w:r>
        <w:rPr>
          <w:rFonts w:ascii="Times New Roman" w:hAnsi="Times New Roman" w:eastAsia="宋体" w:cs="Times New Roman"/>
          <w:kern w:val="0"/>
          <w:szCs w:val="21"/>
        </w:rPr>
        <w:t>Goel R, Kumar S P, Agrawal A, et al. Domain-Partitioned Hybrid RAG for Legal Reasoning: Toward Modular and Explainable Legal AI for India[J]. arXiv preprint arXiv:2602.23371, 2025.</w:t>
      </w:r>
    </w:p>
    <w:bookmarkEnd w:id="78"/>
    <w:p w14:paraId="10172923">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Sarmah B, Mehta D, Hall B, et al. Hybridrag: Integrating knowledge graphs and vector retrieval augmented generation for efficient information extraction[C]//Proceedings of the 5th ACM International Conference on AI in Finance. 2024: 608-616.</w:t>
      </w:r>
    </w:p>
    <w:p w14:paraId="6391EEA4">
      <w:pPr>
        <w:pStyle w:val="36"/>
        <w:numPr>
          <w:ilvl w:val="0"/>
          <w:numId w:val="1"/>
        </w:numPr>
        <w:rPr>
          <w:rFonts w:ascii="Times New Roman" w:hAnsi="Times New Roman" w:eastAsia="宋体" w:cs="Times New Roman"/>
          <w:kern w:val="0"/>
          <w:szCs w:val="21"/>
        </w:rPr>
      </w:pPr>
      <w:bookmarkStart w:id="79" w:name="_Ref227266554"/>
      <w:r>
        <w:rPr>
          <w:rFonts w:ascii="Times New Roman" w:hAnsi="Times New Roman" w:eastAsia="宋体" w:cs="Times New Roman"/>
          <w:kern w:val="0"/>
          <w:szCs w:val="21"/>
        </w:rPr>
        <w:t>Liang Y, Yang L, Wang C, et al. Taxonomy-guided zero-shot recommendations with llms[C]//Proceedings of the 31st International Conference on Computational Linguistics. 2025: 1520-1530.</w:t>
      </w:r>
    </w:p>
    <w:bookmarkEnd w:id="79"/>
    <w:p w14:paraId="707CFBFE">
      <w:pPr>
        <w:pStyle w:val="36"/>
        <w:numPr>
          <w:ilvl w:val="0"/>
          <w:numId w:val="1"/>
        </w:numPr>
        <w:rPr>
          <w:rFonts w:ascii="Times New Roman" w:hAnsi="Times New Roman" w:eastAsia="宋体" w:cs="Times New Roman"/>
          <w:kern w:val="0"/>
          <w:szCs w:val="21"/>
        </w:rPr>
      </w:pPr>
      <w:bookmarkStart w:id="80" w:name="_Ref227266566"/>
      <w:r>
        <w:rPr>
          <w:rFonts w:ascii="Times New Roman" w:hAnsi="Times New Roman" w:eastAsia="宋体" w:cs="Times New Roman"/>
          <w:kern w:val="0"/>
          <w:szCs w:val="21"/>
        </w:rPr>
        <w:t>Liu R, Yin B, Cao Z, et al. Perconet: News recommendation with explicit persona and contrastive learning[J]. arXiv preprint arXiv:2304.07923, 2023.</w:t>
      </w:r>
    </w:p>
    <w:bookmarkEnd w:id="80"/>
    <w:p w14:paraId="05DC2721">
      <w:pPr>
        <w:pStyle w:val="36"/>
        <w:numPr>
          <w:ilvl w:val="0"/>
          <w:numId w:val="1"/>
        </w:numPr>
        <w:rPr>
          <w:rFonts w:ascii="Times New Roman" w:hAnsi="Times New Roman" w:eastAsia="宋体" w:cs="Times New Roman"/>
          <w:kern w:val="0"/>
          <w:szCs w:val="21"/>
        </w:rPr>
      </w:pPr>
      <w:bookmarkStart w:id="81" w:name="_Ref227266580"/>
      <w:r>
        <w:rPr>
          <w:rFonts w:ascii="Times New Roman" w:hAnsi="Times New Roman" w:eastAsia="宋体" w:cs="Times New Roman"/>
          <w:kern w:val="0"/>
          <w:szCs w:val="21"/>
        </w:rPr>
        <w:t>Yang M, Ren Y, Opoku D O, et al. DSRAG: A Domain-Specific Retrieval Framework Based on Document-Derived Multimodal Knowledge Graph[C]//International Conference on Web Information Systems and Applications. Singapore: Springer Nature Singapore, 2025: 523-530.</w:t>
      </w:r>
    </w:p>
    <w:p w14:paraId="69D5C72C">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成志宇,陈星霖,王菁,等.一种基于知识图谱的检索增强生成情报问答技术[J].计算机科学,2025,52(01):87-93.</w:t>
      </w:r>
    </w:p>
    <w:bookmarkEnd w:id="81"/>
    <w:p w14:paraId="4946C6F0">
      <w:pPr>
        <w:pStyle w:val="36"/>
        <w:numPr>
          <w:ilvl w:val="0"/>
          <w:numId w:val="1"/>
        </w:numPr>
        <w:rPr>
          <w:rFonts w:ascii="Times New Roman" w:hAnsi="Times New Roman" w:eastAsia="宋体" w:cs="Times New Roman"/>
          <w:kern w:val="0"/>
          <w:szCs w:val="21"/>
        </w:rPr>
      </w:pPr>
      <w:bookmarkStart w:id="82" w:name="_Ref227266606"/>
      <w:r>
        <w:rPr>
          <w:rFonts w:ascii="Times New Roman" w:hAnsi="Times New Roman" w:eastAsia="宋体" w:cs="Times New Roman"/>
          <w:kern w:val="0"/>
          <w:szCs w:val="21"/>
        </w:rPr>
        <w:t>李明,罗晓兰,朱邦贤.中医古籍方剂数据挖掘与知识问答系统构建[J].图书馆论坛,2025,45(04):49-59.</w:t>
      </w:r>
    </w:p>
    <w:bookmarkEnd w:id="82"/>
    <w:p w14:paraId="3B4ACADE">
      <w:pPr>
        <w:pStyle w:val="36"/>
        <w:numPr>
          <w:ilvl w:val="0"/>
          <w:numId w:val="1"/>
        </w:numPr>
        <w:rPr>
          <w:rFonts w:ascii="Times New Roman" w:hAnsi="Times New Roman" w:eastAsia="宋体" w:cs="Times New Roman"/>
          <w:kern w:val="0"/>
          <w:szCs w:val="21"/>
        </w:rPr>
      </w:pPr>
      <w:r>
        <w:rPr>
          <w:rFonts w:ascii="Times New Roman" w:hAnsi="Times New Roman" w:eastAsia="宋体" w:cs="Times New Roman"/>
          <w:kern w:val="0"/>
          <w:szCs w:val="21"/>
        </w:rPr>
        <w:t>黄佳佳,周立云,徐超.基于大模型的审计知识智能问答系统构建研究[J].会计之友,2025,(09):24-30.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E55FDB"/>
    <w:multiLevelType w:val="singleLevel"/>
    <w:tmpl w:val="7BE55FDB"/>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82BE0"/>
    <w:rsid w:val="000373B3"/>
    <w:rsid w:val="002D59E5"/>
    <w:rsid w:val="003567B7"/>
    <w:rsid w:val="00420037"/>
    <w:rsid w:val="004865EE"/>
    <w:rsid w:val="004E0646"/>
    <w:rsid w:val="0052738A"/>
    <w:rsid w:val="005C0E65"/>
    <w:rsid w:val="00612E81"/>
    <w:rsid w:val="00832FC9"/>
    <w:rsid w:val="00862D1F"/>
    <w:rsid w:val="008A1262"/>
    <w:rsid w:val="00946112"/>
    <w:rsid w:val="00983D10"/>
    <w:rsid w:val="00A953DD"/>
    <w:rsid w:val="00AE428F"/>
    <w:rsid w:val="00BC0A2F"/>
    <w:rsid w:val="00F056F9"/>
    <w:rsid w:val="00F739F2"/>
    <w:rsid w:val="0A2520B4"/>
    <w:rsid w:val="0CA82BE0"/>
    <w:rsid w:val="0E52151F"/>
    <w:rsid w:val="13A03C3C"/>
    <w:rsid w:val="157857D2"/>
    <w:rsid w:val="4A126EB1"/>
    <w:rsid w:val="71D9612E"/>
    <w:rsid w:val="79082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adjustRightInd w:val="0"/>
      <w:spacing w:line="360" w:lineRule="auto"/>
      <w:jc w:val="center"/>
      <w:outlineLvl w:val="0"/>
    </w:pPr>
    <w:rPr>
      <w:rFonts w:ascii="Times New Roman" w:hAnsi="Times New Roman" w:eastAsia="黑体" w:cs="Times New Roman"/>
      <w:sz w:val="32"/>
      <w:szCs w:val="32"/>
    </w:rPr>
  </w:style>
  <w:style w:type="paragraph" w:styleId="3">
    <w:name w:val="heading 2"/>
    <w:basedOn w:val="1"/>
    <w:next w:val="1"/>
    <w:unhideWhenUsed/>
    <w:qFormat/>
    <w:uiPriority w:val="0"/>
    <w:pPr>
      <w:adjustRightInd w:val="0"/>
      <w:spacing w:before="157" w:beforeLines="50" w:after="157" w:afterLines="50" w:line="360" w:lineRule="auto"/>
      <w:outlineLvl w:val="1"/>
    </w:pPr>
    <w:rPr>
      <w:rFonts w:ascii="Times New Roman" w:hAnsi="Times New Roman" w:eastAsia="黑体" w:cs="Times New Roman"/>
      <w:sz w:val="30"/>
      <w:szCs w:val="30"/>
    </w:rPr>
  </w:style>
  <w:style w:type="paragraph" w:styleId="4">
    <w:name w:val="heading 3"/>
    <w:basedOn w:val="1"/>
    <w:next w:val="1"/>
    <w:unhideWhenUsed/>
    <w:qFormat/>
    <w:uiPriority w:val="0"/>
    <w:pPr>
      <w:adjustRightInd w:val="0"/>
      <w:spacing w:before="157" w:beforeLines="50" w:after="157" w:afterLines="50" w:line="360" w:lineRule="auto"/>
      <w:outlineLvl w:val="2"/>
    </w:pPr>
    <w:rPr>
      <w:rFonts w:ascii="Times New Roman" w:hAnsi="Times New Roman" w:eastAsia="黑体" w:cs="Times New Roman"/>
      <w:sz w:val="28"/>
      <w:szCs w:val="28"/>
    </w:rPr>
  </w:style>
  <w:style w:type="paragraph" w:styleId="5">
    <w:name w:val="heading 4"/>
    <w:next w:val="1"/>
    <w:semiHidden/>
    <w:unhideWhenUsed/>
    <w:qFormat/>
    <w:uiPriority w:val="0"/>
    <w:pPr>
      <w:widowControl w:val="0"/>
      <w:adjustRightInd w:val="0"/>
      <w:spacing w:before="157" w:beforeLines="50" w:after="157" w:afterLines="50" w:line="360" w:lineRule="auto"/>
      <w:jc w:val="both"/>
      <w:outlineLvl w:val="3"/>
    </w:pPr>
    <w:rPr>
      <w:rFonts w:ascii="Times New Roman" w:hAnsi="Times New Roman" w:eastAsia="黑体" w:cs="Times New Roman"/>
      <w:kern w:val="2"/>
      <w:sz w:val="28"/>
      <w:szCs w:val="28"/>
      <w:lang w:val="en-US" w:eastAsia="zh-CN" w:bidi="ar-SA"/>
    </w:rPr>
  </w:style>
  <w:style w:type="paragraph" w:styleId="6">
    <w:name w:val="heading 5"/>
    <w:next w:val="1"/>
    <w:semiHidden/>
    <w:unhideWhenUsed/>
    <w:qFormat/>
    <w:uiPriority w:val="0"/>
    <w:pPr>
      <w:widowControl w:val="0"/>
      <w:adjustRightInd w:val="0"/>
      <w:spacing w:before="157" w:beforeLines="50" w:after="157" w:afterLines="50" w:line="360" w:lineRule="auto"/>
      <w:jc w:val="both"/>
      <w:outlineLvl w:val="4"/>
    </w:pPr>
    <w:rPr>
      <w:rFonts w:ascii="Times New Roman" w:hAnsi="Times New Roman" w:eastAsia="黑体" w:cs="Times New Roman"/>
      <w:kern w:val="2"/>
      <w:sz w:val="28"/>
      <w:szCs w:val="28"/>
      <w:lang w:val="en-US" w:eastAsia="zh-CN" w:bidi="ar-SA"/>
    </w:rPr>
  </w:style>
  <w:style w:type="paragraph" w:styleId="7">
    <w:name w:val="heading 6"/>
    <w:next w:val="1"/>
    <w:semiHidden/>
    <w:unhideWhenUsed/>
    <w:qFormat/>
    <w:uiPriority w:val="0"/>
    <w:pPr>
      <w:widowControl w:val="0"/>
      <w:adjustRightInd w:val="0"/>
      <w:spacing w:before="157" w:beforeLines="50" w:after="157" w:afterLines="50" w:line="360" w:lineRule="auto"/>
      <w:jc w:val="both"/>
      <w:outlineLvl w:val="5"/>
    </w:pPr>
    <w:rPr>
      <w:rFonts w:ascii="Times New Roman" w:hAnsi="Times New Roman" w:eastAsia="黑体" w:cs="Times New Roman"/>
      <w:kern w:val="2"/>
      <w:sz w:val="28"/>
      <w:szCs w:val="28"/>
      <w:lang w:val="en-US" w:eastAsia="zh-CN" w:bidi="ar-SA"/>
    </w:rPr>
  </w:style>
  <w:style w:type="paragraph" w:styleId="8">
    <w:name w:val="heading 7"/>
    <w:next w:val="1"/>
    <w:semiHidden/>
    <w:unhideWhenUsed/>
    <w:qFormat/>
    <w:uiPriority w:val="0"/>
    <w:pPr>
      <w:widowControl w:val="0"/>
      <w:adjustRightInd w:val="0"/>
      <w:spacing w:before="157" w:beforeLines="50" w:after="157" w:afterLines="50" w:line="360" w:lineRule="auto"/>
      <w:jc w:val="both"/>
      <w:outlineLvl w:val="6"/>
    </w:pPr>
    <w:rPr>
      <w:rFonts w:ascii="Times New Roman" w:hAnsi="Times New Roman" w:eastAsia="黑体" w:cs="Times New Roman"/>
      <w:kern w:val="2"/>
      <w:sz w:val="28"/>
      <w:szCs w:val="28"/>
      <w:lang w:val="en-US" w:eastAsia="zh-CN" w:bidi="ar-SA"/>
    </w:rPr>
  </w:style>
  <w:style w:type="paragraph" w:styleId="9">
    <w:name w:val="heading 8"/>
    <w:next w:val="1"/>
    <w:semiHidden/>
    <w:unhideWhenUsed/>
    <w:qFormat/>
    <w:uiPriority w:val="0"/>
    <w:pPr>
      <w:widowControl w:val="0"/>
      <w:adjustRightInd w:val="0"/>
      <w:spacing w:before="157" w:beforeLines="50" w:after="157" w:afterLines="50" w:line="360" w:lineRule="auto"/>
      <w:jc w:val="both"/>
      <w:outlineLvl w:val="7"/>
    </w:pPr>
    <w:rPr>
      <w:rFonts w:ascii="Times New Roman" w:hAnsi="Times New Roman" w:eastAsia="黑体" w:cs="Times New Roman"/>
      <w:kern w:val="2"/>
      <w:sz w:val="28"/>
      <w:szCs w:val="28"/>
      <w:lang w:val="en-US" w:eastAsia="zh-CN" w:bidi="ar-SA"/>
    </w:rPr>
  </w:style>
  <w:style w:type="paragraph" w:styleId="10">
    <w:name w:val="heading 9"/>
    <w:next w:val="1"/>
    <w:semiHidden/>
    <w:unhideWhenUsed/>
    <w:qFormat/>
    <w:uiPriority w:val="0"/>
    <w:pPr>
      <w:widowControl w:val="0"/>
      <w:adjustRightInd w:val="0"/>
      <w:spacing w:before="157" w:beforeLines="50" w:after="157" w:afterLines="50" w:line="360" w:lineRule="auto"/>
      <w:jc w:val="both"/>
      <w:outlineLvl w:val="8"/>
    </w:pPr>
    <w:rPr>
      <w:rFonts w:ascii="Times New Roman" w:hAnsi="Times New Roman" w:eastAsia="黑体" w:cs="Times New Roman"/>
      <w:kern w:val="2"/>
      <w:sz w:val="28"/>
      <w:szCs w:val="28"/>
      <w:lang w:val="en-US" w:eastAsia="zh-CN" w:bidi="ar-SA"/>
    </w:rPr>
  </w:style>
  <w:style w:type="character" w:default="1" w:styleId="20">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12">
    <w:name w:val="toc 3"/>
    <w:next w:val="1"/>
    <w:qFormat/>
    <w:uiPriority w:val="0"/>
    <w:pPr>
      <w:adjustRightInd w:val="0"/>
      <w:spacing w:line="360" w:lineRule="auto"/>
      <w:ind w:firstLine="960" w:firstLineChars="400"/>
    </w:pPr>
    <w:rPr>
      <w:rFonts w:ascii="Times New Roman" w:hAnsi="Times New Roman" w:eastAsia="宋体" w:cs="Times New Roman"/>
      <w:sz w:val="21"/>
      <w:szCs w:val="21"/>
      <w:lang w:val="en-US" w:eastAsia="zh-CN" w:bidi="ar-SA"/>
    </w:rPr>
  </w:style>
  <w:style w:type="paragraph" w:styleId="13">
    <w:name w:val="footer"/>
    <w:basedOn w:val="1"/>
    <w:link w:val="35"/>
    <w:qFormat/>
    <w:uiPriority w:val="0"/>
    <w:pPr>
      <w:tabs>
        <w:tab w:val="center" w:pos="4153"/>
        <w:tab w:val="right" w:pos="8306"/>
      </w:tabs>
      <w:snapToGrid w:val="0"/>
      <w:jc w:val="left"/>
    </w:pPr>
    <w:rPr>
      <w:sz w:val="18"/>
      <w:szCs w:val="18"/>
    </w:rPr>
  </w:style>
  <w:style w:type="paragraph" w:styleId="14">
    <w:name w:val="header"/>
    <w:basedOn w:val="1"/>
    <w:link w:val="34"/>
    <w:qFormat/>
    <w:uiPriority w:val="0"/>
    <w:pPr>
      <w:tabs>
        <w:tab w:val="center" w:pos="4153"/>
        <w:tab w:val="right" w:pos="8306"/>
      </w:tabs>
      <w:snapToGrid w:val="0"/>
      <w:jc w:val="center"/>
    </w:pPr>
    <w:rPr>
      <w:sz w:val="18"/>
      <w:szCs w:val="18"/>
    </w:rPr>
  </w:style>
  <w:style w:type="paragraph" w:styleId="15">
    <w:name w:val="toc 1"/>
    <w:next w:val="1"/>
    <w:qFormat/>
    <w:uiPriority w:val="0"/>
    <w:pPr>
      <w:adjustRightInd w:val="0"/>
      <w:spacing w:line="360" w:lineRule="auto"/>
    </w:pPr>
    <w:rPr>
      <w:rFonts w:ascii="Times New Roman" w:hAnsi="Times New Roman" w:eastAsia="宋体" w:cs="Times New Roman"/>
      <w:sz w:val="21"/>
      <w:szCs w:val="21"/>
      <w:lang w:val="en-US" w:eastAsia="zh-CN" w:bidi="ar-SA"/>
    </w:rPr>
  </w:style>
  <w:style w:type="paragraph" w:styleId="16">
    <w:name w:val="Subtitle"/>
    <w:qFormat/>
    <w:uiPriority w:val="0"/>
    <w:pPr>
      <w:adjustRightInd w:val="0"/>
      <w:spacing w:line="360" w:lineRule="auto"/>
      <w:jc w:val="center"/>
    </w:pPr>
    <w:rPr>
      <w:rFonts w:ascii="Times New Roman" w:hAnsi="Times New Roman" w:eastAsia="宋体" w:cs="Times New Roman"/>
      <w:b/>
      <w:bCs/>
      <w:kern w:val="28"/>
      <w:sz w:val="32"/>
      <w:szCs w:val="32"/>
      <w:lang w:val="en-US" w:eastAsia="zh-CN" w:bidi="ar-SA"/>
    </w:rPr>
  </w:style>
  <w:style w:type="paragraph" w:styleId="17">
    <w:name w:val="toc 2"/>
    <w:next w:val="1"/>
    <w:qFormat/>
    <w:uiPriority w:val="0"/>
    <w:pPr>
      <w:adjustRightInd w:val="0"/>
      <w:spacing w:line="360" w:lineRule="auto"/>
      <w:ind w:firstLine="480" w:firstLineChars="200"/>
    </w:pPr>
    <w:rPr>
      <w:rFonts w:ascii="Times New Roman" w:hAnsi="Times New Roman" w:eastAsia="宋体" w:cs="Times New Roman"/>
      <w:sz w:val="21"/>
      <w:szCs w:val="21"/>
      <w:lang w:val="en-US" w:eastAsia="zh-CN" w:bidi="ar-SA"/>
    </w:rPr>
  </w:style>
  <w:style w:type="paragraph" w:styleId="18">
    <w:name w:val="Title"/>
    <w:qFormat/>
    <w:uiPriority w:val="0"/>
    <w:pPr>
      <w:widowControl w:val="0"/>
      <w:adjustRightInd w:val="0"/>
      <w:spacing w:line="360" w:lineRule="auto"/>
      <w:jc w:val="center"/>
    </w:pPr>
    <w:rPr>
      <w:rFonts w:ascii="Times New Roman" w:hAnsi="Times New Roman" w:eastAsia="楷体_GB2312" w:cs="Times New Roman"/>
      <w:spacing w:val="60"/>
      <w:kern w:val="2"/>
      <w:sz w:val="44"/>
      <w:szCs w:val="44"/>
      <w:lang w:val="en-US" w:eastAsia="zh-CN" w:bidi="ar-SA"/>
    </w:rPr>
  </w:style>
  <w:style w:type="paragraph" w:customStyle="1" w:styleId="21">
    <w:name w:val="摘要标题"/>
    <w:next w:val="1"/>
    <w:qFormat/>
    <w:uiPriority w:val="0"/>
    <w:pPr>
      <w:widowControl w:val="0"/>
      <w:adjustRightInd w:val="0"/>
      <w:spacing w:line="360" w:lineRule="auto"/>
      <w:jc w:val="center"/>
    </w:pPr>
    <w:rPr>
      <w:rFonts w:ascii="Times New Roman" w:hAnsi="Times New Roman" w:eastAsia="黑体" w:cs="Times New Roman"/>
      <w:kern w:val="2"/>
      <w:sz w:val="32"/>
      <w:szCs w:val="32"/>
      <w:lang w:val="en-US" w:eastAsia="zh-CN" w:bidi="ar-SA"/>
    </w:rPr>
  </w:style>
  <w:style w:type="paragraph" w:customStyle="1" w:styleId="22">
    <w:name w:val="摘要正文"/>
    <w:next w:val="1"/>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23">
    <w:name w:val="关键词正文"/>
    <w:next w:val="1"/>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character" w:customStyle="1" w:styleId="24">
    <w:name w:val="关键词"/>
    <w:qFormat/>
    <w:uiPriority w:val="0"/>
    <w:rPr>
      <w:rFonts w:ascii="Times New Roman" w:hAnsi="Times New Roman" w:eastAsia="宋体" w:cs="Times New Roman"/>
      <w:b/>
      <w:bCs/>
      <w:kern w:val="2"/>
      <w:sz w:val="24"/>
      <w:szCs w:val="24"/>
      <w:lang w:bidi="ar-SA"/>
    </w:rPr>
  </w:style>
  <w:style w:type="paragraph" w:customStyle="1" w:styleId="25">
    <w:name w:val="英文摘要标题"/>
    <w:next w:val="1"/>
    <w:qFormat/>
    <w:uiPriority w:val="0"/>
    <w:pPr>
      <w:widowControl w:val="0"/>
      <w:adjustRightInd w:val="0"/>
      <w:spacing w:line="360" w:lineRule="auto"/>
      <w:jc w:val="center"/>
    </w:pPr>
    <w:rPr>
      <w:rFonts w:ascii="Times New Roman" w:hAnsi="Times New Roman" w:eastAsia="黑体" w:cs="Times New Roman"/>
      <w:b/>
      <w:bCs/>
      <w:kern w:val="2"/>
      <w:sz w:val="32"/>
      <w:szCs w:val="32"/>
      <w:lang w:val="en-US" w:eastAsia="zh-CN" w:bidi="ar-SA"/>
    </w:rPr>
  </w:style>
  <w:style w:type="paragraph" w:customStyle="1" w:styleId="26">
    <w:name w:val="英文摘要正文"/>
    <w:next w:val="1"/>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27">
    <w:name w:val="英文关键词正文"/>
    <w:next w:val="1"/>
    <w:qFormat/>
    <w:uiPriority w:val="0"/>
    <w:pPr>
      <w:widowControl w:val="0"/>
      <w:adjustRightInd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character" w:customStyle="1" w:styleId="28">
    <w:name w:val="英文关键词"/>
    <w:qFormat/>
    <w:uiPriority w:val="0"/>
    <w:rPr>
      <w:rFonts w:ascii="Times New Roman" w:hAnsi="Times New Roman" w:eastAsia="宋体" w:cs="Times New Roman"/>
      <w:b/>
      <w:bCs/>
      <w:kern w:val="2"/>
      <w:sz w:val="24"/>
      <w:szCs w:val="24"/>
      <w:lang w:bidi="ar-SA"/>
    </w:rPr>
  </w:style>
  <w:style w:type="paragraph" w:customStyle="1" w:styleId="29">
    <w:name w:val="目录标题"/>
    <w:next w:val="1"/>
    <w:qFormat/>
    <w:uiPriority w:val="0"/>
    <w:pPr>
      <w:widowControl w:val="0"/>
      <w:adjustRightInd w:val="0"/>
      <w:spacing w:line="360" w:lineRule="auto"/>
      <w:jc w:val="center"/>
    </w:pPr>
    <w:rPr>
      <w:rFonts w:ascii="Times New Roman" w:hAnsi="Times New Roman" w:eastAsia="黑体" w:cs="Times New Roman"/>
      <w:sz w:val="32"/>
      <w:szCs w:val="32"/>
      <w:lang w:val="en-US" w:eastAsia="zh-CN" w:bidi="ar-SA"/>
    </w:rPr>
  </w:style>
  <w:style w:type="paragraph" w:customStyle="1" w:styleId="30">
    <w:name w:val="图片标题"/>
    <w:next w:val="1"/>
    <w:qFormat/>
    <w:uiPriority w:val="0"/>
    <w:pPr>
      <w:widowControl w:val="0"/>
      <w:adjustRightInd w:val="0"/>
      <w:spacing w:line="400" w:lineRule="exact"/>
      <w:jc w:val="center"/>
    </w:pPr>
    <w:rPr>
      <w:rFonts w:ascii="Times New Roman" w:hAnsi="Times New Roman" w:eastAsia="宋体" w:cs="Times New Roman"/>
      <w:kern w:val="2"/>
      <w:sz w:val="21"/>
      <w:szCs w:val="21"/>
      <w:lang w:val="en-US" w:eastAsia="zh-CN" w:bidi="ar-SA"/>
    </w:rPr>
  </w:style>
  <w:style w:type="paragraph" w:customStyle="1" w:styleId="31">
    <w:name w:val="参考文献条目"/>
    <w:next w:val="1"/>
    <w:qFormat/>
    <w:uiPriority w:val="0"/>
    <w:pPr>
      <w:widowControl w:val="0"/>
      <w:adjustRightInd w:val="0"/>
      <w:spacing w:line="320" w:lineRule="exact"/>
      <w:ind w:left="480" w:hanging="480" w:hangingChars="200"/>
      <w:jc w:val="both"/>
    </w:pPr>
    <w:rPr>
      <w:rFonts w:ascii="Times New Roman" w:hAnsi="Times New Roman" w:eastAsia="宋体" w:cs="Times New Roman"/>
      <w:kern w:val="2"/>
      <w:sz w:val="21"/>
      <w:szCs w:val="21"/>
      <w:lang w:val="en-US" w:eastAsia="zh-CN" w:bidi="ar-SA"/>
    </w:rPr>
  </w:style>
  <w:style w:type="paragraph" w:customStyle="1" w:styleId="32">
    <w:name w:val="参考文献标题"/>
    <w:next w:val="1"/>
    <w:qFormat/>
    <w:uiPriority w:val="0"/>
    <w:pPr>
      <w:widowControl w:val="0"/>
      <w:adjustRightInd w:val="0"/>
      <w:spacing w:line="360" w:lineRule="auto"/>
      <w:jc w:val="center"/>
      <w:outlineLvl w:val="0"/>
    </w:pPr>
    <w:rPr>
      <w:rFonts w:ascii="Times New Roman" w:hAnsi="Times New Roman" w:eastAsia="黑体" w:cs="Times New Roman"/>
      <w:kern w:val="2"/>
      <w:sz w:val="32"/>
      <w:szCs w:val="32"/>
      <w:lang w:val="en-US" w:eastAsia="zh-CN" w:bidi="ar-SA"/>
    </w:rPr>
  </w:style>
  <w:style w:type="paragraph" w:customStyle="1" w:styleId="33">
    <w:name w:val="书目1"/>
    <w:basedOn w:val="1"/>
    <w:next w:val="1"/>
    <w:unhideWhenUsed/>
    <w:qFormat/>
    <w:uiPriority w:val="37"/>
  </w:style>
  <w:style w:type="character" w:customStyle="1" w:styleId="34">
    <w:name w:val="页眉 字符"/>
    <w:basedOn w:val="20"/>
    <w:link w:val="14"/>
    <w:qFormat/>
    <w:uiPriority w:val="0"/>
    <w:rPr>
      <w:rFonts w:asciiTheme="minorHAnsi" w:hAnsiTheme="minorHAnsi" w:eastAsiaTheme="minorEastAsia" w:cstheme="minorBidi"/>
      <w:kern w:val="2"/>
      <w:sz w:val="18"/>
      <w:szCs w:val="18"/>
    </w:rPr>
  </w:style>
  <w:style w:type="character" w:customStyle="1" w:styleId="35">
    <w:name w:val="页脚 字符"/>
    <w:basedOn w:val="20"/>
    <w:link w:val="13"/>
    <w:qFormat/>
    <w:uiPriority w:val="0"/>
    <w:rPr>
      <w:rFonts w:asciiTheme="minorHAnsi" w:hAnsiTheme="minorHAnsi" w:eastAsiaTheme="minorEastAsia" w:cstheme="minorBidi"/>
      <w:kern w:val="2"/>
      <w:sz w:val="18"/>
      <w:szCs w:val="18"/>
    </w:rPr>
  </w:style>
  <w:style w:type="paragraph" w:customStyle="1" w:styleId="36">
    <w:name w:val="书目2"/>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C1D8F-1366-40DF-A0E0-01E3DDB04442}">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18535</Words>
  <Characters>21416</Characters>
  <Lines>225</Lines>
  <Paragraphs>63</Paragraphs>
  <TotalTime>1318</TotalTime>
  <ScaleCrop>false</ScaleCrop>
  <LinksUpToDate>false</LinksUpToDate>
  <CharactersWithSpaces>21907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2026-04-14T16:00:00Z</dcterms:created>
  <dc:creator>(                              )</dc:creator>
  <cp:lastModifiedBy>(                              )</cp:lastModifiedBy>
  <dcterms:modified xsi:type="dcterms:W3CDTF">2026-04-19T06:13:16Z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C6272843F61E44CD9922E5F5D1957509_11</vt:lpwstr>
  </property>
  <property fmtid="{D5CDD505-2E9C-101B-9397-08002B2CF9AE}" pid="4" name="KSOTemplateDocerSaveRecord">
    <vt:lpwstr>eyJoZGlkIjoiZTBjYTMyZTBlZDlhNzI5NTlmYmQ1ODRjNjA4NTM1NWQiLCJ1c2VySWQiOiIyOTIxNjY3MzMifQ==</vt:lpwstr>
  </property>
  <property fmtid="{D5CDD505-2E9C-101B-9397-08002B2CF9AE}" pid="5" name="MTWinEqns">
    <vt:bool>true</vt:bool>
  </property>
</Properties>
</file>