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LoanSight AI PRD</w:t>
      </w:r>
    </w:p>
    <w:p>
      <w:pPr>
        <w:spacing w:after="120"/>
      </w:pPr>
      <w:r>
        <w:t>v0.0.6 · 2026.10.29 · 기획안 v2.3 · 요구사항 v0.0.7 · PRD/기능명세서 v0.0.6 · WBS v1.4</w:t>
      </w:r>
    </w:p>
    <w:p>
      <w:pPr>
        <w:pStyle w:val="Heading1"/>
        <w:spacing w:after="120"/>
      </w:pPr>
      <w:r>
        <w:t>문서 개정 이력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9"/>
        <w:gridCol w:w="2409"/>
        <w:gridCol w:w="2409"/>
        <w:gridCol w:w="2409"/>
      </w:tblGrid>
      <w:tr>
        <w:trPr>
          <w:tblHeader/>
        </w:trPr>
        <w:tc>
          <w:tcPr>
            <w:tcW w:type="dxa" w:w="1134"/>
            <w:shd w:fill="44546A"/>
          </w:tcPr>
          <w:p>
            <w:pPr>
              <w:keepNext w:val="0"/>
            </w:pPr>
            <w:r>
              <w:rPr>
                <w:rFonts w:ascii="맑은 고딕" w:hAnsi="맑은 고딕"/>
                <w:color w:val="FFFFFF"/>
                <w:sz w:val="20"/>
              </w:rPr>
              <w:t>버전</w:t>
            </w:r>
          </w:p>
        </w:tc>
        <w:tc>
          <w:tcPr>
            <w:tcW w:type="dxa" w:w="1474"/>
            <w:shd w:fill="44546A"/>
          </w:tcPr>
          <w:p>
            <w:pPr>
              <w:keepNext w:val="0"/>
            </w:pPr>
            <w:r>
              <w:rPr>
                <w:rFonts w:ascii="맑은 고딕" w:hAnsi="맑은 고딕"/>
                <w:color w:val="FFFFFF"/>
                <w:sz w:val="20"/>
              </w:rPr>
              <w:t>개정일</w:t>
            </w:r>
          </w:p>
        </w:tc>
        <w:tc>
          <w:tcPr>
            <w:tcW w:type="dxa" w:w="5159"/>
            <w:shd w:fill="44546A"/>
          </w:tcPr>
          <w:p>
            <w:pPr>
              <w:keepNext w:val="0"/>
            </w:pPr>
            <w:r>
              <w:rPr>
                <w:rFonts w:ascii="맑은 고딕" w:hAnsi="맑은 고딕"/>
                <w:color w:val="FFFFFF"/>
                <w:sz w:val="20"/>
              </w:rPr>
              <w:t>변경 내용</w:t>
            </w:r>
          </w:p>
        </w:tc>
        <w:tc>
          <w:tcPr>
            <w:tcW w:type="dxa" w:w="1304"/>
            <w:shd w:fill="44546A"/>
          </w:tcPr>
          <w:p>
            <w:pPr>
              <w:keepNext w:val="0"/>
            </w:pPr>
            <w:r>
              <w:rPr>
                <w:rFonts w:ascii="맑은 고딕" w:hAnsi="맑은 고딕"/>
                <w:color w:val="FFFFFF"/>
                <w:sz w:val="20"/>
              </w:rPr>
              <w:t>검토·승인</w:t>
            </w:r>
          </w:p>
        </w:tc>
      </w:tr>
      <w:tr>
        <w:tc>
          <w:tcPr>
            <w:tcW w:type="dxa" w:w="1134"/>
            <w:shd w:fill="FFFFFF"/>
          </w:tcPr>
          <w:p>
            <w:pPr>
              <w:keepNext w:val="0"/>
            </w:pPr>
            <w:r>
              <w:rPr>
                <w:rFonts w:ascii="맑은 고딕" w:hAnsi="맑은 고딕"/>
                <w:color w:val="000000"/>
                <w:sz w:val="20"/>
              </w:rPr>
              <w:t>v0.0.4</w:t>
            </w:r>
          </w:p>
        </w:tc>
        <w:tc>
          <w:tcPr>
            <w:tcW w:type="dxa" w:w="1474"/>
            <w:shd w:fill="FFFFFF"/>
          </w:tcPr>
          <w:p>
            <w:pPr>
              <w:keepNext w:val="0"/>
            </w:pPr>
            <w:r>
              <w:rPr>
                <w:rFonts w:ascii="맑은 고딕" w:hAnsi="맑은 고딕"/>
                <w:color w:val="000000"/>
                <w:sz w:val="20"/>
              </w:rPr>
              <w:t>2026.10.24</w:t>
            </w:r>
          </w:p>
        </w:tc>
        <w:tc>
          <w:tcPr>
            <w:tcW w:type="dxa" w:w="5159"/>
            <w:shd w:fill="FFFFFF"/>
          </w:tcPr>
          <w:p>
            <w:pPr>
              <w:keepNext w:val="0"/>
            </w:pPr>
            <w:r>
              <w:rPr>
                <w:rFonts w:ascii="맑은 고딕" w:hAnsi="맑은 고딕"/>
                <w:color w:val="000000"/>
                <w:sz w:val="20"/>
              </w:rPr>
              <w:t>기획안 v2.0 연계</w:t>
            </w:r>
          </w:p>
        </w:tc>
        <w:tc>
          <w:tcPr>
            <w:tcW w:type="dxa" w:w="1304"/>
            <w:shd w:fill="FFFFFF"/>
          </w:tcPr>
          <w:p>
            <w:pPr>
              <w:keepNext w:val="0"/>
            </w:pPr>
            <w:r>
              <w:rPr>
                <w:rFonts w:ascii="맑은 고딕" w:hAnsi="맑은 고딕"/>
                <w:color w:val="000000"/>
                <w:sz w:val="20"/>
              </w:rPr>
              <w:t>미정</w:t>
            </w:r>
          </w:p>
        </w:tc>
      </w:tr>
      <w:tr>
        <w:tc>
          <w:tcPr>
            <w:tcW w:type="dxa" w:w="1134"/>
            <w:shd w:fill="FFFFFF"/>
          </w:tcPr>
          <w:p>
            <w:pPr>
              <w:keepNext w:val="0"/>
            </w:pPr>
            <w:r>
              <w:rPr>
                <w:rFonts w:ascii="맑은 고딕" w:hAnsi="맑은 고딕"/>
                <w:color w:val="000000"/>
                <w:sz w:val="20"/>
              </w:rPr>
              <w:t>v0.0.5</w:t>
            </w:r>
          </w:p>
        </w:tc>
        <w:tc>
          <w:tcPr>
            <w:tcW w:type="dxa" w:w="1474"/>
            <w:shd w:fill="FFFFFF"/>
          </w:tcPr>
          <w:p>
            <w:pPr>
              <w:keepNext w:val="0"/>
            </w:pPr>
            <w:r>
              <w:rPr>
                <w:rFonts w:ascii="맑은 고딕" w:hAnsi="맑은 고딕"/>
                <w:color w:val="000000"/>
                <w:sz w:val="20"/>
              </w:rPr>
              <w:t>2026.10.28</w:t>
            </w:r>
          </w:p>
        </w:tc>
        <w:tc>
          <w:tcPr>
            <w:tcW w:type="dxa" w:w="5159"/>
            <w:shd w:fill="FFFFFF"/>
          </w:tcPr>
          <w:p>
            <w:pPr>
              <w:keepNext w:val="0"/>
            </w:pPr>
            <w:r>
              <w:rPr>
                <w:rFonts w:ascii="맑은 고딕" w:hAnsi="맑은 고딕"/>
                <w:color w:val="000000"/>
                <w:sz w:val="20"/>
              </w:rPr>
              <w:t>v2.1 확장·팀 품질관리 분리</w:t>
            </w:r>
          </w:p>
        </w:tc>
        <w:tc>
          <w:tcPr>
            <w:tcW w:type="dxa" w:w="1304"/>
            <w:shd w:fill="FFFFFF"/>
          </w:tcPr>
          <w:p>
            <w:pPr>
              <w:keepNext w:val="0"/>
            </w:pPr>
            <w:r>
              <w:rPr>
                <w:rFonts w:ascii="맑은 고딕" w:hAnsi="맑은 고딕"/>
                <w:color w:val="000000"/>
                <w:sz w:val="20"/>
              </w:rPr>
              <w:t>미정</w:t>
            </w:r>
          </w:p>
        </w:tc>
      </w:tr>
      <w:tr>
        <w:tc>
          <w:tcPr>
            <w:tcW w:type="dxa" w:w="1134"/>
            <w:shd w:fill="FFFFFF"/>
          </w:tcPr>
          <w:p>
            <w:pPr>
              <w:keepNext w:val="0"/>
            </w:pPr>
            <w:r>
              <w:rPr>
                <w:rFonts w:ascii="맑은 고딕" w:hAnsi="맑은 고딕"/>
                <w:color w:val="000000"/>
                <w:sz w:val="20"/>
              </w:rPr>
              <w:t>v0.0.6</w:t>
            </w:r>
          </w:p>
        </w:tc>
        <w:tc>
          <w:tcPr>
            <w:tcW w:type="dxa" w:w="1474"/>
            <w:shd w:fill="FFFFFF"/>
          </w:tcPr>
          <w:p>
            <w:pPr>
              <w:keepNext w:val="0"/>
            </w:pPr>
            <w:r>
              <w:rPr>
                <w:rFonts w:ascii="맑은 고딕" w:hAnsi="맑은 고딕"/>
                <w:color w:val="000000"/>
                <w:sz w:val="20"/>
              </w:rPr>
              <w:t>2026.10.29</w:t>
            </w:r>
          </w:p>
        </w:tc>
        <w:tc>
          <w:tcPr>
            <w:tcW w:type="dxa" w:w="5159"/>
            <w:shd w:fill="FFFFFF"/>
          </w:tcPr>
          <w:p>
            <w:pPr>
              <w:keepNext w:val="0"/>
            </w:pPr>
            <w:r>
              <w:rPr>
                <w:rFonts w:ascii="맑은 고딕" w:hAnsi="맑은 고딕"/>
                <w:color w:val="000000"/>
                <w:sz w:val="20"/>
              </w:rPr>
              <w:t>v2.3 통합 범위·징후 기준·CFS 우선 반영. 화면설계서 유지.</w:t>
            </w:r>
          </w:p>
        </w:tc>
        <w:tc>
          <w:tcPr>
            <w:tcW w:type="dxa" w:w="1304"/>
            <w:shd w:fill="FFFFFF"/>
          </w:tcPr>
          <w:p>
            <w:pPr>
              <w:keepNext w:val="0"/>
            </w:pPr>
            <w:r>
              <w:rPr>
                <w:rFonts w:ascii="맑은 고딕" w:hAnsi="맑은 고딕"/>
                <w:color w:val="000000"/>
                <w:sz w:val="20"/>
              </w:rPr>
              <w:t>미정</w:t>
            </w:r>
          </w:p>
        </w:tc>
      </w:tr>
    </w:tbl>
    <w:p>
      <w:pPr>
        <w:pStyle w:val="Heading1"/>
        <w:spacing w:after="120"/>
      </w:pPr>
      <w:r>
        <w:t>1 목적과 사용자</w:t>
      </w:r>
    </w:p>
    <w:p>
      <w:pPr>
        <w:spacing w:after="120"/>
      </w:pPr>
      <w:r>
        <w:t>은행 기업금융·여신심사 담당자가 핵심 재무정보, 실적 변동, 공시 주석과 상환·연체 위험징후를 함께 확인하도록 돕는 웹 서비스다. 담당자는 원문 근거와 추가 확인 항목을 검토하고 기록 초안을 수정한다. 최종 여신 판단과 내부 등급은 담당자가 수행한다.</w:t>
      </w:r>
    </w:p>
    <w:p>
      <w:pPr>
        <w:pStyle w:val="Heading1"/>
        <w:spacing w:after="120"/>
      </w:pPr>
      <w:r>
        <w:t>2 대상과 제공 범위</w:t>
      </w:r>
    </w:p>
    <w:p>
      <w:pPr>
        <w:spacing w:after="120"/>
      </w:pPr>
      <w:r>
        <w:t>공시·재무 확보가 가능한 상장사 우선(코넥스는 상장시장으로 구분). 대상 업종은 제조·건설·도소매·부동산·임대 4개로 하고 운수·창고는 제외한다. 업종은 DART 업종코드 기준 매핑표로 정하며, 부동산·임대는 부동산 임대로 한정한다. 장비·물품 렌탈, 금융·보험, 지주회사, 스팩, 부동산 관리·중개는 대상에서 제외한다.</w:t>
      </w:r>
    </w:p>
    <w:p>
      <w:pPr>
        <w:spacing w:after="120"/>
      </w:pPr>
      <w:r>
        <w:t>제공 흐름: 기업·기간 선택 → 핵심 재무 → 변동·현금흐름 → 주석·징후 패널 → 12개월 위험 사건 예측 → 관련 뉴스 → 담당자 체크·검토 기록. 별도 팀 품질관리 자료는 서비스 기능에 포함하지 않는다.</w:t>
      </w:r>
    </w:p>
    <w:p>
      <w:pPr>
        <w:pStyle w:val="Heading1"/>
        <w:spacing w:after="120"/>
      </w:pPr>
      <w:r>
        <w:t>3 데이터와 비교 기준</w:t>
      </w:r>
    </w:p>
    <w:p>
      <w:pPr>
        <w:spacing w:after="120"/>
      </w:pPr>
      <w:r>
        <w:t>연결재무제표(CFS)를 우선 사용하고 없으면 별도재무제표(OFS)로 전환해 화면에 표시한다. 기간 비교 시 연결·별도, 통화·단위·보고 기간·누적/당분기 기준을 맞춘다. 회계 기준이 다른 값을 하나의 추세로 혼합하지 않는다. 정정공시 적용 여부·버전과 자료 미확보를 표시한다.</w:t>
      </w:r>
    </w:p>
    <w:p>
      <w:pPr>
        <w:spacing w:after="120"/>
      </w:pPr>
      <w:r>
        <w:t>2026.10.29 최신 사용자 결정: v2.3 원문대로 연결재무제표(CFS)를 우선 사용하고 없으면 별도(OFS)로 전환해 표시한다. 이전 OFS 기본 결정은 이번 개정에서 대체한다.</w:t>
      </w:r>
    </w:p>
    <w:p>
      <w:pPr>
        <w:spacing w:after="120"/>
      </w:pPr>
      <w:r>
        <w:t>미확보·미검출·추출 실패·금액 미기재를 0이나 정상으로 바꾸지 않는다. 출처·보고서/접수번호·공시일/기준일·통화·단위·정정 이력을 남기며 직접 입력은 자동 수집과 구분한다.</w:t>
      </w:r>
    </w:p>
    <w:p>
      <w:pPr>
        <w:pStyle w:val="Heading1"/>
        <w:spacing w:after="120"/>
      </w:pPr>
      <w:r>
        <w:t>4 핵심 기능과 연결</w:t>
      </w:r>
    </w:p>
    <w:p>
      <w:pPr>
        <w:pStyle w:val="Heading2"/>
        <w:spacing w:after="120"/>
      </w:pPr>
      <w:r>
        <w:t>기업 조회·수집</w:t>
      </w:r>
    </w:p>
    <w:p>
      <w:pPr>
        <w:spacing w:after="120"/>
      </w:pPr>
      <w:r>
        <w:t>공시 확보가 가능한 기업을 조회하고 업종·기간·회계 범위를 표시한다. 출처와 직접 입력을 구분한다.</w:t>
      </w:r>
    </w:p>
    <w:p>
      <w:pPr>
        <w:spacing w:after="120"/>
      </w:pPr>
      <w:r>
        <w:t>요구사항 N-R01~06/N-R32 · 기능 N-F01~04/N-F30</w:t>
      </w:r>
    </w:p>
    <w:p>
      <w:pPr>
        <w:pStyle w:val="Heading2"/>
        <w:spacing w:after="120"/>
      </w:pPr>
      <w:r>
        <w:t>재무·실적 변동</w:t>
      </w:r>
    </w:p>
    <w:p>
      <w:pPr>
        <w:spacing w:after="120"/>
      </w:pPr>
      <w:r>
        <w:t>영업이익을 우선 배치하고 회계상 변동 기여도·현금흐름 괴리·업종 분포를 보여준다. 0/음수 분모·비교 불가 상태를 구분한다.</w:t>
      </w:r>
    </w:p>
    <w:p>
      <w:pPr>
        <w:spacing w:after="120"/>
      </w:pPr>
      <w:r>
        <w:t>요구사항 N-R07~10/N-R33~35 · 기능 N-F05~08/N-F31~33</w:t>
      </w:r>
    </w:p>
    <w:p>
      <w:pPr>
        <w:pStyle w:val="Heading2"/>
        <w:spacing w:after="120"/>
      </w:pPr>
      <w:r>
        <w:t>주석 추출·요약</w:t>
      </w:r>
    </w:p>
    <w:p>
      <w:pPr>
        <w:spacing w:after="120"/>
      </w:pPr>
      <w:r>
        <w:t>소송·보증·담보·차입 만기·조건부 의무를 구조화한다. 공통 6범주와 업종별 검색어를 사용하고 원문·방향·금액·상태를 보존한다.</w:t>
      </w:r>
    </w:p>
    <w:p>
      <w:pPr>
        <w:spacing w:after="120"/>
      </w:pPr>
      <w:r>
        <w:t>요구사항 N-R11~14/N-R41~43 · 기능 N-F09~11/N-F39~41</w:t>
      </w:r>
    </w:p>
    <w:p>
      <w:pPr>
        <w:pStyle w:val="Heading2"/>
        <w:spacing w:after="120"/>
      </w:pPr>
      <w:r>
        <w:t>업종 지표·징후 단계</w:t>
      </w:r>
    </w:p>
    <w:p>
      <w:pPr>
        <w:spacing w:after="120"/>
      </w:pPr>
      <w:r>
        <w:t>6개 판단 관점, 업종별 핵심/보조/왜곡 지표와 경고·주의·관찰을 연결한다.</w:t>
      </w:r>
    </w:p>
    <w:p>
      <w:pPr>
        <w:spacing w:after="120"/>
      </w:pPr>
      <w:r>
        <w:t>요구사항 N-R24/N-R36/N-R38~40 · 기능 N-F21/N-F34/N-F36~38</w:t>
      </w:r>
    </w:p>
    <w:p>
      <w:pPr>
        <w:pStyle w:val="Heading2"/>
        <w:spacing w:after="120"/>
      </w:pPr>
      <w:r>
        <w:t>위험 사건 예측</w:t>
      </w:r>
    </w:p>
    <w:p>
      <w:pPr>
        <w:spacing w:after="120"/>
      </w:pPr>
      <w:r>
        <w:t>기준 공시일 이후 12개월 상환·연체 위험 사건 확률을 추정하는 재무·주석 결합 모델을 개발한다. 모델 버전·제공 가능/보류와 근거를 표시한다.</w:t>
      </w:r>
    </w:p>
    <w:p>
      <w:pPr>
        <w:spacing w:after="120"/>
      </w:pPr>
      <w:r>
        <w:t>요구사항 N-R16~19/N-R23 · 기능 N-F13~15/N-F18/N-F20</w:t>
      </w:r>
    </w:p>
    <w:p>
      <w:pPr>
        <w:pStyle w:val="Heading2"/>
        <w:spacing w:after="120"/>
      </w:pPr>
      <w:r>
        <w:t>체크·검토 기록·뉴스</w:t>
      </w:r>
    </w:p>
    <w:p>
      <w:pPr>
        <w:spacing w:after="120"/>
      </w:pPr>
      <w:r>
        <w:t>미확인 항목, 편집·복사 가능한 검토 초안과 관련 기사 출처를 제공한다.</w:t>
      </w:r>
    </w:p>
    <w:p>
      <w:pPr>
        <w:spacing w:after="120"/>
      </w:pPr>
      <w:r>
        <w:t>요구사항 N-R15/N-R25~27 · 기능 N-F12/N-F22~24</w:t>
      </w:r>
    </w:p>
    <w:p>
      <w:pPr>
        <w:pStyle w:val="Heading2"/>
        <w:spacing w:after="120"/>
      </w:pPr>
      <w:r>
        <w:t>운영·향후 확장</w:t>
      </w:r>
    </w:p>
    <w:p>
      <w:pPr>
        <w:spacing w:after="120"/>
      </w:pPr>
      <w:r>
        <w:t>키 서버 관리·접근 제어·요청 제한·캐시·실행/모델 버전을 관리한다. PDF·기업/업종 확대·지점 운영은 조건 확인 후 확장한다.</w:t>
      </w:r>
    </w:p>
    <w:p>
      <w:pPr>
        <w:spacing w:after="120"/>
      </w:pPr>
      <w:r>
        <w:t>요구사항 N-R30~31 · 기능 N-F27~29</w:t>
      </w:r>
    </w:p>
    <w:p>
      <w:pPr>
        <w:pStyle w:val="Heading1"/>
        <w:spacing w:after="120"/>
      </w:pPr>
      <w:r>
        <w:t>5 징후 단계와 표시 규칙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tblHeader/>
        </w:trPr>
        <w:tc>
          <w:tcPr>
            <w:tcW w:type="dxa" w:w="1417"/>
            <w:shd w:fill="44546A"/>
          </w:tcPr>
          <w:p>
            <w:pPr>
              <w:keepNext w:val="0"/>
            </w:pPr>
            <w:r>
              <w:rPr>
                <w:rFonts w:ascii="맑은 고딕" w:hAnsi="맑은 고딕"/>
                <w:color w:val="FFFFFF"/>
                <w:sz w:val="20"/>
              </w:rPr>
              <w:t>구분</w:t>
            </w:r>
          </w:p>
        </w:tc>
        <w:tc>
          <w:tcPr>
            <w:tcW w:type="dxa" w:w="7654"/>
            <w:shd w:fill="44546A"/>
          </w:tcPr>
          <w:p>
            <w:pPr>
              <w:keepNext w:val="0"/>
            </w:pPr>
            <w:r>
              <w:rPr>
                <w:rFonts w:ascii="맑은 고딕" w:hAnsi="맑은 고딕"/>
                <w:color w:val="FFFFFF"/>
                <w:sz w:val="20"/>
              </w:rPr>
              <w:t>동작 기준</w:t>
            </w:r>
          </w:p>
        </w:tc>
      </w:tr>
      <w:tr>
        <w:tc>
          <w:tcPr>
            <w:tcW w:type="dxa" w:w="1417"/>
            <w:shd w:fill="FFFFFF"/>
          </w:tcPr>
          <w:p>
            <w:pPr>
              <w:keepNext w:val="0"/>
            </w:pPr>
            <w:r>
              <w:rPr>
                <w:rFonts w:ascii="맑은 고딕" w:hAnsi="맑은 고딕"/>
                <w:color w:val="000000"/>
                <w:sz w:val="20"/>
              </w:rPr>
              <w:t>기준 성격</w:t>
            </w:r>
          </w:p>
        </w:tc>
        <w:tc>
          <w:tcPr>
            <w:tcW w:type="dxa" w:w="7654"/>
            <w:shd w:fill="FFFFFF"/>
          </w:tcPr>
          <w:p>
            <w:pPr>
              <w:keepNext w:val="0"/>
            </w:pPr>
            <w:r>
              <w:rPr>
                <w:rFonts w:ascii="맑은 고딕" w:hAnsi="맑은 고딕"/>
                <w:color w:val="000000"/>
                <w:sz w:val="20"/>
              </w:rPr>
              <w:t>현직자 확인 전 팀 가설. 은행 건전성 분류·내부 등급·여신 판단을 대신하지 않는다.</w:t>
            </w:r>
          </w:p>
        </w:tc>
      </w:tr>
      <w:tr>
        <w:tc>
          <w:tcPr>
            <w:tcW w:type="dxa" w:w="1417"/>
            <w:shd w:fill="FFFFFF"/>
          </w:tcPr>
          <w:p>
            <w:pPr>
              <w:keepNext w:val="0"/>
            </w:pPr>
            <w:r>
              <w:rPr>
                <w:rFonts w:ascii="맑은 고딕" w:hAnsi="맑은 고딕"/>
                <w:color w:val="000000"/>
                <w:sz w:val="20"/>
              </w:rPr>
              <w:t>경고</w:t>
            </w:r>
          </w:p>
        </w:tc>
        <w:tc>
          <w:tcPr>
            <w:tcW w:type="dxa" w:w="7654"/>
            <w:shd w:fill="FFFFFF"/>
          </w:tcPr>
          <w:p>
            <w:pPr>
              <w:keepNext w:val="0"/>
            </w:pPr>
            <w:r>
              <w:rPr>
                <w:rFonts w:ascii="맑은 고딕" w:hAnsi="맑은 고딕"/>
                <w:color w:val="000000"/>
                <w:sz w:val="20"/>
              </w:rPr>
              <w:t>감사의견 비적정·계속기업 관련 중요한 불확실성, 자기자본≤0, 어음·수표 지급거절·회생절차 개시신청 공시, 기한이익상실 사유 발생, 이자보상비율 1배 미만 직전 3년 연속.</w:t>
            </w:r>
          </w:p>
        </w:tc>
      </w:tr>
      <w:tr>
        <w:tc>
          <w:tcPr>
            <w:tcW w:type="dxa" w:w="1417"/>
            <w:shd w:fill="FFFFFF"/>
          </w:tcPr>
          <w:p>
            <w:pPr>
              <w:keepNext w:val="0"/>
            </w:pPr>
            <w:r>
              <w:rPr>
                <w:rFonts w:ascii="맑은 고딕" w:hAnsi="맑은 고딕"/>
                <w:color w:val="000000"/>
                <w:sz w:val="20"/>
              </w:rPr>
              <w:t>주의</w:t>
            </w:r>
          </w:p>
        </w:tc>
        <w:tc>
          <w:tcPr>
            <w:tcW w:type="dxa" w:w="7654"/>
            <w:shd w:fill="FFFFFF"/>
          </w:tcPr>
          <w:p>
            <w:pPr>
              <w:keepNext w:val="0"/>
            </w:pPr>
            <w:r>
              <w:rPr>
                <w:rFonts w:ascii="맑은 고딕" w:hAnsi="맑은 고딕"/>
                <w:color w:val="000000"/>
                <w:sz w:val="20"/>
              </w:rPr>
              <w:t>0&lt;자기자본&lt;납입자본금, 당기 이자보상비율&lt;1배, 흑자인데 영업CF 2년 연속 음수, 1년 내 만기 차입금&gt;현금성자산+영업CF.</w:t>
            </w:r>
          </w:p>
        </w:tc>
      </w:tr>
      <w:tr>
        <w:tc>
          <w:tcPr>
            <w:tcW w:type="dxa" w:w="1417"/>
            <w:shd w:fill="FFFFFF"/>
          </w:tcPr>
          <w:p>
            <w:pPr>
              <w:keepNext w:val="0"/>
            </w:pPr>
            <w:r>
              <w:rPr>
                <w:rFonts w:ascii="맑은 고딕" w:hAnsi="맑은 고딕"/>
                <w:color w:val="000000"/>
                <w:sz w:val="20"/>
              </w:rPr>
              <w:t>관찰</w:t>
            </w:r>
          </w:p>
        </w:tc>
        <w:tc>
          <w:tcPr>
            <w:tcW w:type="dxa" w:w="7654"/>
            <w:shd w:fill="FFFFFF"/>
          </w:tcPr>
          <w:p>
            <w:pPr>
              <w:keepNext w:val="0"/>
            </w:pPr>
            <w:r>
              <w:rPr>
                <w:rFonts w:ascii="맑은 고딕" w:hAnsi="맑은 고딕"/>
                <w:color w:val="000000"/>
                <w:sz w:val="20"/>
              </w:rPr>
              <w:t>업종 중앙값 대비 열위, 전기 대비 악화 추세.</w:t>
            </w:r>
          </w:p>
        </w:tc>
      </w:tr>
      <w:tr>
        <w:tc>
          <w:tcPr>
            <w:tcW w:type="dxa" w:w="1417"/>
            <w:shd w:fill="FFFFFF"/>
          </w:tcPr>
          <w:p>
            <w:pPr>
              <w:keepNext w:val="0"/>
            </w:pPr>
            <w:r>
              <w:rPr>
                <w:rFonts w:ascii="맑은 고딕" w:hAnsi="맑은 고딕"/>
                <w:color w:val="000000"/>
                <w:sz w:val="20"/>
              </w:rPr>
              <w:t>판정 순서</w:t>
            </w:r>
          </w:p>
        </w:tc>
        <w:tc>
          <w:tcPr>
            <w:tcW w:type="dxa" w:w="7654"/>
            <w:shd w:fill="FFFFFF"/>
          </w:tcPr>
          <w:p>
            <w:pPr>
              <w:keepNext w:val="0"/>
            </w:pPr>
            <w:r>
              <w:rPr>
                <w:rFonts w:ascii="맑은 고딕" w:hAnsi="맑은 고딕"/>
                <w:color w:val="000000"/>
                <w:sz w:val="20"/>
              </w:rPr>
              <w:t>공시 사건→이자보상비율 3년 지속→당기 절대 경계→상대 열위 순으로 처음 해당하는 단계 적용.</w:t>
            </w:r>
          </w:p>
        </w:tc>
      </w:tr>
      <w:tr>
        <w:tc>
          <w:tcPr>
            <w:tcW w:type="dxa" w:w="1417"/>
            <w:shd w:fill="FFFFFF"/>
          </w:tcPr>
          <w:p>
            <w:pPr>
              <w:keepNext w:val="0"/>
            </w:pPr>
            <w:r>
              <w:rPr>
                <w:rFonts w:ascii="맑은 고딕" w:hAnsi="맑은 고딕"/>
                <w:color w:val="000000"/>
                <w:sz w:val="20"/>
              </w:rPr>
              <w:t>자료 상태</w:t>
            </w:r>
          </w:p>
        </w:tc>
        <w:tc>
          <w:tcPr>
            <w:tcW w:type="dxa" w:w="7654"/>
            <w:shd w:fill="FFFFFF"/>
          </w:tcPr>
          <w:p>
            <w:pPr>
              <w:keepNext w:val="0"/>
            </w:pPr>
            <w:r>
              <w:rPr>
                <w:rFonts w:ascii="맑은 고딕" w:hAnsi="맑은 고딕"/>
                <w:color w:val="000000"/>
                <w:sz w:val="20"/>
              </w:rPr>
              <w:t>근사·추정 값은 단계 유지와 근사 표시. 미확보·미검출은 판정하지 않고 없음으로 처리하지 않는다.</w:t>
            </w:r>
          </w:p>
        </w:tc>
      </w:tr>
      <w:tr>
        <w:tc>
          <w:tcPr>
            <w:tcW w:type="dxa" w:w="1417"/>
            <w:shd w:fill="FFFFFF"/>
          </w:tcPr>
          <w:p>
            <w:pPr>
              <w:keepNext w:val="0"/>
            </w:pPr>
            <w:r>
              <w:rPr>
                <w:rFonts w:ascii="맑은 고딕" w:hAnsi="맑은 고딕"/>
                <w:color w:val="000000"/>
                <w:sz w:val="20"/>
              </w:rPr>
              <w:t>중복·제외</w:t>
            </w:r>
          </w:p>
        </w:tc>
        <w:tc>
          <w:tcPr>
            <w:tcW w:type="dxa" w:w="7654"/>
            <w:shd w:fill="FFFFFF"/>
          </w:tcPr>
          <w:p>
            <w:pPr>
              <w:keepNext w:val="0"/>
            </w:pPr>
            <w:r>
              <w:rPr>
                <w:rFonts w:ascii="맑은 고딕" w:hAnsi="맑은 고딕"/>
                <w:color w:val="000000"/>
                <w:sz w:val="20"/>
              </w:rPr>
              <w:t>같은 원인 신호는 1건·관련 지표 병기. 사건 경고는 금액·업종 때문에 하향하지 않는다. 신용등급 하향·부정적 전망, 보증·조건부 의무 급증은 근거 확인 전 단계 기준에서 제외.</w:t>
            </w:r>
          </w:p>
        </w:tc>
      </w:tr>
      <w:tr>
        <w:tc>
          <w:tcPr>
            <w:tcW w:type="dxa" w:w="1417"/>
            <w:shd w:fill="FFFFFF"/>
          </w:tcPr>
          <w:p>
            <w:pPr>
              <w:keepNext w:val="0"/>
            </w:pPr>
            <w:r>
              <w:rPr>
                <w:rFonts w:ascii="맑은 고딕" w:hAnsi="맑은 고딕"/>
                <w:color w:val="000000"/>
                <w:sz w:val="20"/>
              </w:rPr>
              <w:t>표시</w:t>
            </w:r>
          </w:p>
        </w:tc>
        <w:tc>
          <w:tcPr>
            <w:tcW w:type="dxa" w:w="7654"/>
            <w:shd w:fill="FFFFFF"/>
          </w:tcPr>
          <w:p>
            <w:pPr>
              <w:keepNext w:val="0"/>
            </w:pPr>
            <w:r>
              <w:rPr>
                <w:rFonts w:ascii="맑은 고딕" w:hAnsi="맑은 고딕"/>
                <w:color w:val="000000"/>
                <w:sz w:val="20"/>
              </w:rPr>
              <w:t>경고 최상단·원문 확인 필수, 주의 확인 항목 추가·근거 연결, 관찰 추세·업종 위치.</w:t>
            </w:r>
          </w:p>
        </w:tc>
      </w:tr>
    </w:tbl>
    <w:p>
      <w:pPr>
        <w:pStyle w:val="Heading1"/>
        <w:spacing w:after="120"/>
      </w:pPr>
      <w:r>
        <w:t>6 업종 지표와 시각화</w:t>
      </w:r>
    </w:p>
    <w:p>
      <w:pPr>
        <w:spacing w:after="120"/>
      </w:pPr>
      <w:r>
        <w:t>은행 자산건전성 분류(FLC)·신용위험 평가 관점의 6개 판단 축(상환재원, 유동성·만기, 재무구조, 우발·부외 부담, 외부 평가, 담보·회수 여력)에 공시 지표와 주석 근거를 연결한다. 업종별 핵심 지표(우선순위 5개)·보조 지표·그대로 쓰면 왜곡되는 지표를 정의한다. 공통: 영업이익률, 영업CF÷영업이익, 이자보상비율, 자본잠식. 제조: 현금전환주기, 재고·매출채권 증가율−매출증가율, 영업CF÷영업이익, CAPEX÷영업CF, 이자보상비율. 도소매: 매출총이익률 변화, 재고자산회전율, 매입채무 지급일수 변화, 현금전환주기, 리스부채 포함 부채비율. 건설: 계약자산 증가율−매출증가율, 공사미수금 회수기간, 공사원가율, PF 보증·조건부 의무÷자기자본과 1년 내 만기 PF 비중, 영업CF 대 유동부채. 부동산 임대: EBITDA 이자보상배율, 차입금÷투자부동산, 1년 내 만기 차입 비중, 현금보상비율, 평균 조달금리. 대상 업종은 기획안 v2.0의 4개 업종(제조·도소매·건설·부동산 임대)이며 장비·물품 렌탈은 범위에서 제외한다.</w:t>
      </w:r>
    </w:p>
    <w:p>
      <w:pPr>
        <w:spacing w:after="120"/>
      </w:pPr>
      <w:r>
        <w:t>주석 확인 사항 단계에 패널을 둔다. 상단: 징후 요약 카드(단계별 건수, 색과 텍스트 병기), 핵심 지표 타일(당기·전기 대비·업종 중앙값), 5개년 스파크라인, 업종 내 위치 점 플롯(표본 부족 시 '비교 보류'). 업종별 차트: 제조(현금전환주기 분해 누적 막대, 매출·재고·매출채권 증가율 막대, 영업이익·영업CF·CAPEX 막대), 도소매(매출총이익률 라인, 매입채무·재고일수 라인, 리스 포함/제외 부채비율), 건설(PF 보증 만기 사다리, 계약자산 vs 매출 증가율, 우발채무÷자기자본 불릿, 원가율 추세), 부동산·임대(차입금 만기 사다리+금리, EBITDA 이자보상배율 1.0배 기준선, LTV 불릿, 임대율). 주석 근거 카드·보증 제공/수취 분리 표·만기 타임라인을 연결한다. 게이지·레이더는 쓰지 않고 결측은 '자료 없음' 회색으로 표시한다.</w:t>
      </w:r>
    </w:p>
    <w:p>
      <w:pPr>
        <w:pStyle w:val="Heading1"/>
        <w:spacing w:after="120"/>
      </w:pPr>
      <w:r>
        <w:t>7 모델과 한계</w:t>
      </w:r>
    </w:p>
    <w:p>
      <w:pPr>
        <w:spacing w:after="120"/>
      </w:pPr>
      <w:r>
        <w:t>기준 공시일 이후 12개월 내 상환·연체 위험 사건(N-R17 정의) 발생 확률을 추정한다. 예측 모델이 확률을 계산하며 AI의 임의 확률·뉴스는 초기 입력에서 제외한다.</w:t>
      </w:r>
    </w:p>
    <w:p>
      <w:pPr>
        <w:spacing w:after="120"/>
      </w:pPr>
      <w:r>
        <w:t>라벨 사건은 공시로 확인되는 원리금 연체·기한이익상실, 어음·수표 지급거절, 회생절차·채권은행 관리절차 개시신청, 감사의견 비적정·계속기업 불확실성 기재로 한다. OpenDART 주요사항보고서 API·감사보고서·공시 원문으로 최초 발생일·접수번호를 대조하고 사건 유형별 심각도를 함께 기록한다. 관리종목 지정·상장폐지 등 상환·연체와의 관련이 확인되지 않는 사건은 라벨에 넣지 않는다.</w:t>
      </w:r>
    </w:p>
    <w:p>
      <w:pPr>
        <w:spacing w:after="120"/>
      </w:pPr>
      <w:r>
        <w:t>과거 공시별 향후 12개월을 추적. 전체 관찰 기간을 확인한 표본만 비발생 라벨로 사용. 조회 결과 없음·관측 종료·추적 중단을 정상으로 단정하지 않는다.</w:t>
      </w:r>
    </w:p>
    <w:p>
      <w:pPr>
        <w:spacing w:after="120"/>
      </w:pPr>
      <w:r>
        <w:t>영업이익률·부채/자산·유동비율·OCF/부채·변동과 검증된 소송/보증/담보 특징을 결합. 금액/자산·전기 변화, 업종·규모·회계 기준, 결측 상태를 관리한다. 존재 자체를 부실로 간주하지 않는다. 후보 변수에 상환능력(차입금의존도, 단기차입 비중, 이자보상비율, 현금보상비율)과 운전자본(현금전환주기 변화)을 추가한다. 업종은 구분값으로 넣고, 업종마다 의미가 다른 변수는 업종 내 상대값 사용을 검토한다. 계정 확보율이 낮은 변수는 제외한다. 업종별 주석 추출 항목(PF 보증 만기 구간·조건부 의무 유형, 1년 내 만기 차입 비중, 리스부채, 담보제공 비율, 기한이익상실 조항, 감사의견·신용등급 변화)을 후보 변수에 추가한다.</w:t>
      </w:r>
    </w:p>
    <w:p>
      <w:pPr>
        <w:spacing w:after="120"/>
      </w:pPr>
      <w:r>
        <w:t>추정 확률·12개월 기간·기준일·모델 버전·주요 지표·주석 근거·추가 확인을 표시한다. 사용할 수 없는 모델이나 자료 부족은 제공 보류로 표시한다. 임의 확률을 실측 결과처럼 표시하지 않으며 변수 영향은 인과관계가 아니다.</w:t>
      </w:r>
    </w:p>
    <w:p>
      <w:pPr>
        <w:pStyle w:val="Heading1"/>
        <w:spacing w:after="120"/>
      </w:pPr>
      <w:r>
        <w:t>8 일정과 역할</w:t>
      </w:r>
    </w:p>
    <w:p>
      <w:pPr>
        <w:spacing w:after="120"/>
      </w:pPr>
      <w:r>
        <w:t>김동혁·김동민 데이터, 서종원 개발, 오준탁·최수인 기획. 기존 WBS의 담당·계획일·실제 상태·진행률·완료근거를 보존한다. 10/31~11/02 통합·오류 수정, 11/03~04 발표·시연 준비, 11/05 09:00 제출 계획이며 실제 교육 일정과 접수는 별도 확인한다. 날짜 경과나 파일 작성을 완료로 간주하지 않는다.</w:t>
      </w:r>
    </w:p>
    <w:p>
      <w:pPr>
        <w:pStyle w:val="Heading1"/>
        <w:spacing w:after="120"/>
      </w:pPr>
      <w:r>
        <w:t>9 미정과 변경 경계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tblHeader/>
        </w:trPr>
        <w:tc>
          <w:tcPr>
            <w:tcW w:type="dxa" w:w="1134"/>
            <w:shd w:fill="44546A"/>
          </w:tcPr>
          <w:p>
            <w:pPr>
              <w:keepNext w:val="0"/>
            </w:pPr>
            <w:r>
              <w:rPr>
                <w:rFonts w:ascii="맑은 고딕" w:hAnsi="맑은 고딕"/>
                <w:color w:val="FFFFFF"/>
                <w:sz w:val="20"/>
              </w:rPr>
              <w:t>ID</w:t>
            </w:r>
          </w:p>
        </w:tc>
        <w:tc>
          <w:tcPr>
            <w:tcW w:type="dxa" w:w="7937"/>
            <w:shd w:fill="44546A"/>
          </w:tcPr>
          <w:p>
            <w:pPr>
              <w:keepNext w:val="0"/>
            </w:pPr>
            <w:r>
              <w:rPr>
                <w:rFonts w:ascii="맑은 고딕" w:hAnsi="맑은 고딕"/>
                <w:color w:val="FFFFFF"/>
                <w:sz w:val="20"/>
              </w:rPr>
              <w:t>질문</w:t>
            </w:r>
          </w:p>
        </w:tc>
      </w:tr>
      <w:tr>
        <w:tc>
          <w:tcPr>
            <w:tcW w:type="dxa" w:w="1134"/>
            <w:shd w:fill="FFFFFF"/>
          </w:tcPr>
          <w:p>
            <w:pPr>
              <w:keepNext w:val="0"/>
            </w:pPr>
            <w:r>
              <w:rPr>
                <w:rFonts w:ascii="맑은 고딕" w:hAnsi="맑은 고딕"/>
                <w:color w:val="000000"/>
                <w:sz w:val="20"/>
              </w:rPr>
              <w:t>N-U01</w:t>
            </w:r>
          </w:p>
        </w:tc>
        <w:tc>
          <w:tcPr>
            <w:tcW w:type="dxa" w:w="7937"/>
            <w:shd w:fill="FFFFFF"/>
          </w:tcPr>
          <w:p>
            <w:pPr>
              <w:keepNext w:val="0"/>
            </w:pPr>
            <w:r>
              <w:rPr>
                <w:rFonts w:ascii="맑은 고딕" w:hAnsi="맑은 고딕"/>
                <w:color w:val="000000"/>
                <w:sz w:val="20"/>
              </w:rPr>
              <w:t>위험 사건 원천의 제공 기간·누락 범위, 유형별 심각도, 사건일·공개일·12개월 추적 종료와 미조회 처리는 어떻게 정할 것인가?</w:t>
            </w:r>
          </w:p>
        </w:tc>
      </w:tr>
      <w:tr>
        <w:tc>
          <w:tcPr>
            <w:tcW w:type="dxa" w:w="1134"/>
            <w:shd w:fill="FFFFFF"/>
          </w:tcPr>
          <w:p>
            <w:pPr>
              <w:keepNext w:val="0"/>
            </w:pPr>
            <w:r>
              <w:rPr>
                <w:rFonts w:ascii="맑은 고딕" w:hAnsi="맑은 고딕"/>
                <w:color w:val="000000"/>
                <w:sz w:val="20"/>
              </w:rPr>
              <w:t>N-U02</w:t>
            </w:r>
          </w:p>
        </w:tc>
        <w:tc>
          <w:tcPr>
            <w:tcW w:type="dxa" w:w="7937"/>
            <w:shd w:fill="FFFFFF"/>
          </w:tcPr>
          <w:p>
            <w:pPr>
              <w:keepNext w:val="0"/>
            </w:pPr>
            <w:r>
              <w:rPr>
                <w:rFonts w:ascii="맑은 고딕" w:hAnsi="맑은 고딕"/>
                <w:color w:val="000000"/>
                <w:sz w:val="20"/>
              </w:rPr>
              <w:t>4개 업종의 세부분류 수준, 대상 기업의 공시 확보 범위와 기본 분석 기간은 무엇인가?</w:t>
            </w:r>
          </w:p>
        </w:tc>
      </w:tr>
      <w:tr>
        <w:tc>
          <w:tcPr>
            <w:tcW w:type="dxa" w:w="1134"/>
            <w:shd w:fill="FFFFFF"/>
          </w:tcPr>
          <w:p>
            <w:pPr>
              <w:keepNext w:val="0"/>
            </w:pPr>
            <w:r>
              <w:rPr>
                <w:rFonts w:ascii="맑은 고딕" w:hAnsi="맑은 고딕"/>
                <w:color w:val="000000"/>
                <w:sz w:val="20"/>
              </w:rPr>
              <w:t>N-U04</w:t>
            </w:r>
          </w:p>
        </w:tc>
        <w:tc>
          <w:tcPr>
            <w:tcW w:type="dxa" w:w="7937"/>
            <w:shd w:fill="FFFFFF"/>
          </w:tcPr>
          <w:p>
            <w:pPr>
              <w:keepNext w:val="0"/>
            </w:pPr>
            <w:r>
              <w:rPr>
                <w:rFonts w:ascii="맑은 고딕" w:hAnsi="맑은 고딕"/>
                <w:color w:val="000000"/>
                <w:sz w:val="20"/>
              </w:rPr>
              <w:t>금액/유형/상태의 최종 코드와 원문 위치 저장 방식, 사람이 정합성을 확인한 항목을 모델에 넘기는 절차는 무엇인가?</w:t>
            </w:r>
          </w:p>
        </w:tc>
      </w:tr>
      <w:tr>
        <w:tc>
          <w:tcPr>
            <w:tcW w:type="dxa" w:w="1134"/>
            <w:shd w:fill="FFFFFF"/>
          </w:tcPr>
          <w:p>
            <w:pPr>
              <w:keepNext w:val="0"/>
            </w:pPr>
            <w:r>
              <w:rPr>
                <w:rFonts w:ascii="맑은 고딕" w:hAnsi="맑은 고딕"/>
                <w:color w:val="000000"/>
                <w:sz w:val="20"/>
              </w:rPr>
              <w:t>N-U05</w:t>
            </w:r>
          </w:p>
        </w:tc>
        <w:tc>
          <w:tcPr>
            <w:tcW w:type="dxa" w:w="7937"/>
            <w:shd w:fill="FFFFFF"/>
          </w:tcPr>
          <w:p>
            <w:pPr>
              <w:keepNext w:val="0"/>
            </w:pPr>
            <w:r>
              <w:rPr>
                <w:rFonts w:ascii="맑은 고딕" w:hAnsi="맑은 고딕"/>
                <w:color w:val="000000"/>
                <w:sz w:val="20"/>
              </w:rPr>
              <w:t>결합 모델 후보·결측 처리와 예측 확률 제공/보류 조건, 주석 근거 미확보 시 표시 문구는 어떻게 정할 것인가?</w:t>
            </w:r>
          </w:p>
        </w:tc>
      </w:tr>
      <w:tr>
        <w:tc>
          <w:tcPr>
            <w:tcW w:type="dxa" w:w="1134"/>
            <w:shd w:fill="FFFFFF"/>
          </w:tcPr>
          <w:p>
            <w:pPr>
              <w:keepNext w:val="0"/>
            </w:pPr>
            <w:r>
              <w:rPr>
                <w:rFonts w:ascii="맑은 고딕" w:hAnsi="맑은 고딕"/>
                <w:color w:val="000000"/>
                <w:sz w:val="20"/>
              </w:rPr>
              <w:t>N-U06</w:t>
            </w:r>
          </w:p>
        </w:tc>
        <w:tc>
          <w:tcPr>
            <w:tcW w:type="dxa" w:w="7937"/>
            <w:shd w:fill="FFFFFF"/>
          </w:tcPr>
          <w:p>
            <w:pPr>
              <w:keepNext w:val="0"/>
            </w:pPr>
            <w:r>
              <w:rPr>
                <w:rFonts w:ascii="맑은 고딕" w:hAnsi="맑은 고딕"/>
                <w:color w:val="000000"/>
                <w:sz w:val="20"/>
              </w:rPr>
              <w:t>업종별 비교 표본 최소 수와 비교 불가 기준, 업종 기준(건설·부동산 임대) 규칙의 수치·근거·버전은 무엇인가?</w:t>
            </w:r>
          </w:p>
        </w:tc>
      </w:tr>
      <w:tr>
        <w:tc>
          <w:tcPr>
            <w:tcW w:type="dxa" w:w="1134"/>
            <w:shd w:fill="FFFFFF"/>
          </w:tcPr>
          <w:p>
            <w:pPr>
              <w:keepNext w:val="0"/>
            </w:pPr>
            <w:r>
              <w:rPr>
                <w:rFonts w:ascii="맑은 고딕" w:hAnsi="맑은 고딕"/>
                <w:color w:val="000000"/>
                <w:sz w:val="20"/>
              </w:rPr>
              <w:t>N-U07</w:t>
            </w:r>
          </w:p>
        </w:tc>
        <w:tc>
          <w:tcPr>
            <w:tcW w:type="dxa" w:w="7937"/>
            <w:shd w:fill="FFFFFF"/>
          </w:tcPr>
          <w:p>
            <w:pPr>
              <w:keepNext w:val="0"/>
            </w:pPr>
            <w:r>
              <w:rPr>
                <w:rFonts w:ascii="맑은 고딕" w:hAnsi="맑은 고딕"/>
                <w:color w:val="000000"/>
                <w:sz w:val="20"/>
              </w:rPr>
              <w:t>LLM 제공자·모델·비용·한도, 뉴스 수집 방식·이용 조건·관련성 검수 기준은 무엇인가?</w:t>
            </w:r>
          </w:p>
        </w:tc>
      </w:tr>
      <w:tr>
        <w:tc>
          <w:tcPr>
            <w:tcW w:type="dxa" w:w="1134"/>
            <w:shd w:fill="FFFFFF"/>
          </w:tcPr>
          <w:p>
            <w:pPr>
              <w:keepNext w:val="0"/>
            </w:pPr>
            <w:r>
              <w:rPr>
                <w:rFonts w:ascii="맑은 고딕" w:hAnsi="맑은 고딕"/>
                <w:color w:val="000000"/>
                <w:sz w:val="20"/>
              </w:rPr>
              <w:t>N-U08</w:t>
            </w:r>
          </w:p>
        </w:tc>
        <w:tc>
          <w:tcPr>
            <w:tcW w:type="dxa" w:w="7937"/>
            <w:shd w:fill="FFFFFF"/>
          </w:tcPr>
          <w:p>
            <w:pPr>
              <w:keepNext w:val="0"/>
            </w:pPr>
            <w:r>
              <w:rPr>
                <w:rFonts w:ascii="맑은 고딕" w:hAnsi="맑은 고딕"/>
                <w:color w:val="000000"/>
                <w:sz w:val="20"/>
              </w:rPr>
              <w:t>메모·확인 상태 저장 단위와 사용자 구분, 권한·보존·캐시·오류 재시도·배포 환경은 무엇인가?</w:t>
            </w:r>
          </w:p>
        </w:tc>
      </w:tr>
      <w:tr>
        <w:tc>
          <w:tcPr>
            <w:tcW w:type="dxa" w:w="1134"/>
            <w:shd w:fill="FFFFFF"/>
          </w:tcPr>
          <w:p>
            <w:pPr>
              <w:keepNext w:val="0"/>
            </w:pPr>
            <w:r>
              <w:rPr>
                <w:rFonts w:ascii="맑은 고딕" w:hAnsi="맑은 고딕"/>
                <w:color w:val="000000"/>
                <w:sz w:val="20"/>
              </w:rPr>
              <w:t>N-U09</w:t>
            </w:r>
          </w:p>
        </w:tc>
        <w:tc>
          <w:tcPr>
            <w:tcW w:type="dxa" w:w="7937"/>
            <w:shd w:fill="FFFFFF"/>
          </w:tcPr>
          <w:p>
            <w:pPr>
              <w:keepNext w:val="0"/>
            </w:pPr>
            <w:r>
              <w:rPr>
                <w:rFonts w:ascii="맑은 고딕" w:hAnsi="맑은 고딕"/>
                <w:color w:val="000000"/>
                <w:sz w:val="20"/>
              </w:rPr>
              <w:t>계획 제출 2026.11.05 09:00과 실제 교육 마감은 일치하며 최종 제출 담당·접수 근거는 어떻게 남길 것인가?</w:t>
            </w:r>
          </w:p>
        </w:tc>
      </w:tr>
      <w:tr>
        <w:tc>
          <w:tcPr>
            <w:tcW w:type="dxa" w:w="1134"/>
            <w:shd w:fill="FFFFFF"/>
          </w:tcPr>
          <w:p>
            <w:pPr>
              <w:keepNext w:val="0"/>
            </w:pPr>
            <w:r>
              <w:rPr>
                <w:rFonts w:ascii="맑은 고딕" w:hAnsi="맑은 고딕"/>
                <w:color w:val="000000"/>
                <w:sz w:val="20"/>
              </w:rPr>
              <w:t>N-U10</w:t>
            </w:r>
          </w:p>
        </w:tc>
        <w:tc>
          <w:tcPr>
            <w:tcW w:type="dxa" w:w="7937"/>
            <w:shd w:fill="FFFFFF"/>
          </w:tcPr>
          <w:p>
            <w:pPr>
              <w:keepNext w:val="0"/>
            </w:pPr>
            <w:r>
              <w:rPr>
                <w:rFonts w:ascii="맑은 고딕" w:hAnsi="맑은 고딕"/>
                <w:color w:val="000000"/>
                <w:sz w:val="20"/>
              </w:rPr>
              <w:t>외부 업종 통계·ECOS, 비상장/스타트업 확대, PDF 출력은 어떤 조건 충족 후 추가할 것인가?</w:t>
            </w:r>
          </w:p>
        </w:tc>
      </w:tr>
      <w:tr>
        <w:tc>
          <w:tcPr>
            <w:tcW w:type="dxa" w:w="1134"/>
            <w:shd w:fill="FFFFFF"/>
          </w:tcPr>
          <w:p>
            <w:pPr>
              <w:keepNext w:val="0"/>
            </w:pPr>
            <w:r>
              <w:rPr>
                <w:rFonts w:ascii="맑은 고딕" w:hAnsi="맑은 고딕"/>
                <w:color w:val="000000"/>
                <w:sz w:val="20"/>
              </w:rPr>
              <w:t>N-U11</w:t>
            </w:r>
          </w:p>
        </w:tc>
        <w:tc>
          <w:tcPr>
            <w:tcW w:type="dxa" w:w="7937"/>
            <w:shd w:fill="FFFFFF"/>
          </w:tcPr>
          <w:p>
            <w:pPr>
              <w:keepNext w:val="0"/>
            </w:pPr>
            <w:r>
              <w:rPr>
                <w:rFonts w:ascii="맑은 고딕" w:hAnsi="맑은 고딕"/>
                <w:color w:val="000000"/>
                <w:sz w:val="20"/>
              </w:rPr>
              <w:t>회전율·회전일수의 분모를 기말 잔액으로 할지 연평균 잔액으로 할지, 첫 해(전기 자료 없음) 처리는 어떻게 할 것인가?</w:t>
            </w:r>
          </w:p>
        </w:tc>
      </w:tr>
      <w:tr>
        <w:tc>
          <w:tcPr>
            <w:tcW w:type="dxa" w:w="1134"/>
            <w:shd w:fill="FFFFFF"/>
          </w:tcPr>
          <w:p>
            <w:pPr>
              <w:keepNext w:val="0"/>
            </w:pPr>
            <w:r>
              <w:rPr>
                <w:rFonts w:ascii="맑은 고딕" w:hAnsi="맑은 고딕"/>
                <w:color w:val="000000"/>
                <w:sz w:val="20"/>
              </w:rPr>
              <w:t>N-U12</w:t>
            </w:r>
          </w:p>
        </w:tc>
        <w:tc>
          <w:tcPr>
            <w:tcW w:type="dxa" w:w="7937"/>
            <w:shd w:fill="FFFFFF"/>
          </w:tcPr>
          <w:p>
            <w:pPr>
              <w:keepNext w:val="0"/>
            </w:pPr>
            <w:r>
              <w:rPr>
                <w:rFonts w:ascii="맑은 고딕" w:hAnsi="맑은 고딕"/>
                <w:color w:val="000000"/>
                <w:sz w:val="20"/>
              </w:rPr>
              <w:t>업종 기준 수치(차입금의존도 30%, 단기차입 비중 50%, EBITDA 이자보상 1.5배, 차입금÷투자부동산 70%, 현금전환주기 +30일 등)를 업종 분포와 현직자 확인으로 어떻게 확정할 것인가?</w:t>
            </w:r>
          </w:p>
        </w:tc>
      </w:tr>
      <w:tr>
        <w:tc>
          <w:tcPr>
            <w:tcW w:type="dxa" w:w="1134"/>
            <w:shd w:fill="FFFFFF"/>
          </w:tcPr>
          <w:p>
            <w:pPr>
              <w:keepNext w:val="0"/>
            </w:pPr>
            <w:r>
              <w:rPr>
                <w:rFonts w:ascii="맑은 고딕" w:hAnsi="맑은 고딕"/>
                <w:color w:val="000000"/>
                <w:sz w:val="20"/>
              </w:rPr>
              <w:t>N-U13</w:t>
            </w:r>
          </w:p>
        </w:tc>
        <w:tc>
          <w:tcPr>
            <w:tcW w:type="dxa" w:w="7937"/>
            <w:shd w:fill="FFFFFF"/>
          </w:tcPr>
          <w:p>
            <w:pPr>
              <w:keepNext w:val="0"/>
            </w:pPr>
            <w:r>
              <w:rPr>
                <w:rFonts w:ascii="맑은 고딕" w:hAnsi="맑은 고딕"/>
                <w:color w:val="000000"/>
                <w:sz w:val="20"/>
              </w:rPr>
              <w:t>이자비용을 본문·주석 중 어디서 확보할 것이며, 확보하지 못할 때 금융원가 근사를 허용하고 어떻게 표시할 것인가?</w:t>
            </w:r>
          </w:p>
        </w:tc>
      </w:tr>
      <w:tr>
        <w:tc>
          <w:tcPr>
            <w:tcW w:type="dxa" w:w="1134"/>
            <w:shd w:fill="FFFFFF"/>
          </w:tcPr>
          <w:p>
            <w:pPr>
              <w:keepNext w:val="0"/>
            </w:pPr>
            <w:r>
              <w:rPr>
                <w:rFonts w:ascii="맑은 고딕" w:hAnsi="맑은 고딕"/>
                <w:color w:val="000000"/>
                <w:sz w:val="20"/>
              </w:rPr>
              <w:t>N-U14</w:t>
            </w:r>
          </w:p>
        </w:tc>
        <w:tc>
          <w:tcPr>
            <w:tcW w:type="dxa" w:w="7937"/>
            <w:shd w:fill="FFFFFF"/>
          </w:tcPr>
          <w:p>
            <w:pPr>
              <w:keepNext w:val="0"/>
            </w:pPr>
            <w:r>
              <w:rPr>
                <w:rFonts w:ascii="맑은 고딕" w:hAnsi="맑은 고딕"/>
                <w:color w:val="000000"/>
                <w:sz w:val="20"/>
              </w:rPr>
              <w:t>부동산·임대업의 임대보증금을 실질 차입에 포함할 것인가, 별도 표시만 할 것인가?</w:t>
            </w:r>
          </w:p>
        </w:tc>
      </w:tr>
      <w:tr>
        <w:tc>
          <w:tcPr>
            <w:tcW w:type="dxa" w:w="1134"/>
            <w:shd w:fill="FFFFFF"/>
          </w:tcPr>
          <w:p>
            <w:pPr>
              <w:keepNext w:val="0"/>
            </w:pPr>
            <w:r>
              <w:rPr>
                <w:rFonts w:ascii="맑은 고딕" w:hAnsi="맑은 고딕"/>
                <w:color w:val="000000"/>
                <w:sz w:val="20"/>
              </w:rPr>
              <w:t>N-U15</w:t>
            </w:r>
          </w:p>
        </w:tc>
        <w:tc>
          <w:tcPr>
            <w:tcW w:type="dxa" w:w="7937"/>
            <w:shd w:fill="FFFFFF"/>
          </w:tcPr>
          <w:p>
            <w:pPr>
              <w:keepNext w:val="0"/>
            </w:pPr>
            <w:r>
              <w:rPr>
                <w:rFonts w:ascii="맑은 고딕" w:hAnsi="맑은 고딕"/>
                <w:color w:val="000000"/>
                <w:sz w:val="20"/>
              </w:rPr>
              <w:t>겸업 회사의 '복합' 판정 기준(부문 매출 비중 몇 %)과 담당자 업종 변경 권한·기록 방식은 무엇인가?</w:t>
            </w:r>
          </w:p>
        </w:tc>
      </w:tr>
      <w:tr>
        <w:tc>
          <w:tcPr>
            <w:tcW w:type="dxa" w:w="1134"/>
            <w:shd w:fill="FFFFFF"/>
          </w:tcPr>
          <w:p>
            <w:pPr>
              <w:keepNext w:val="0"/>
            </w:pPr>
            <w:r>
              <w:rPr>
                <w:rFonts w:ascii="맑은 고딕" w:hAnsi="맑은 고딕"/>
                <w:color w:val="000000"/>
                <w:sz w:val="20"/>
              </w:rPr>
              <w:t>N-U16</w:t>
            </w:r>
          </w:p>
        </w:tc>
        <w:tc>
          <w:tcPr>
            <w:tcW w:type="dxa" w:w="7937"/>
            <w:shd w:fill="FFFFFF"/>
          </w:tcPr>
          <w:p>
            <w:pPr>
              <w:keepNext w:val="0"/>
            </w:pPr>
            <w:r>
              <w:rPr>
                <w:rFonts w:ascii="맑은 고딕" w:hAnsi="맑은 고딕"/>
                <w:color w:val="000000"/>
                <w:sz w:val="20"/>
              </w:rPr>
              <w:t>한국은행 기업경영분석 업종 평균을 어떤 업종 수준·연도로 쓰며, 모집단(외감·영리법인)과 상장사 차이를 어떻게 표시할 것인가?</w:t>
            </w:r>
          </w:p>
        </w:tc>
      </w:tr>
      <w:tr>
        <w:tc>
          <w:tcPr>
            <w:tcW w:type="dxa" w:w="1134"/>
            <w:shd w:fill="FFFFFF"/>
          </w:tcPr>
          <w:p>
            <w:pPr>
              <w:keepNext w:val="0"/>
            </w:pPr>
            <w:r>
              <w:rPr>
                <w:rFonts w:ascii="맑은 고딕" w:hAnsi="맑은 고딕"/>
                <w:color w:val="000000"/>
                <w:sz w:val="20"/>
              </w:rPr>
              <w:t>N-U17</w:t>
            </w:r>
          </w:p>
        </w:tc>
        <w:tc>
          <w:tcPr>
            <w:tcW w:type="dxa" w:w="7937"/>
            <w:shd w:fill="FFFFFF"/>
          </w:tcPr>
          <w:p>
            <w:pPr>
              <w:keepNext w:val="0"/>
            </w:pPr>
            <w:r>
              <w:rPr>
                <w:rFonts w:ascii="맑은 고딕" w:hAnsi="맑은 고딕"/>
                <w:color w:val="000000"/>
                <w:sz w:val="20"/>
              </w:rPr>
              <w:t>v2.3 경고·주의·관찰 가설 조건의 현직자 검토, 근사값의 적용 허용 범위, 기준 미확인으로 제외한 항목의 재도입 근거는 누가 언제 확정하는가?</w:t>
            </w:r>
          </w:p>
        </w:tc>
      </w:tr>
      <w:tr>
        <w:tc>
          <w:tcPr>
            <w:tcW w:type="dxa" w:w="1134"/>
            <w:shd w:fill="FFFFFF"/>
          </w:tcPr>
          <w:p>
            <w:pPr>
              <w:keepNext w:val="0"/>
            </w:pPr>
            <w:r>
              <w:rPr>
                <w:rFonts w:ascii="맑은 고딕" w:hAnsi="맑은 고딕"/>
                <w:color w:val="000000"/>
                <w:sz w:val="20"/>
              </w:rPr>
              <w:t>N-U18</w:t>
            </w:r>
          </w:p>
        </w:tc>
        <w:tc>
          <w:tcPr>
            <w:tcW w:type="dxa" w:w="7937"/>
            <w:shd w:fill="FFFFFF"/>
          </w:tcPr>
          <w:p>
            <w:pPr>
              <w:keepNext w:val="0"/>
            </w:pPr>
            <w:r>
              <w:rPr>
                <w:rFonts w:ascii="맑은 고딕" w:hAnsi="맑은 고딕"/>
                <w:color w:val="000000"/>
                <w:sz w:val="20"/>
              </w:rPr>
              <w:t>검색어 사전의 버전 관리·업종별 추가 절차, 표와 본문이 겹칠 때 우선순위, 미검출 원인(규칙 누락/공시 없음/형식 차이) 판정 절차는 무엇인가?</w:t>
            </w:r>
          </w:p>
        </w:tc>
      </w:tr>
      <w:tr>
        <w:tc>
          <w:tcPr>
            <w:tcW w:type="dxa" w:w="1134"/>
            <w:shd w:fill="FFFFFF"/>
          </w:tcPr>
          <w:p>
            <w:pPr>
              <w:keepNext w:val="0"/>
            </w:pPr>
            <w:r>
              <w:rPr>
                <w:rFonts w:ascii="맑은 고딕" w:hAnsi="맑은 고딕"/>
                <w:color w:val="000000"/>
                <w:sz w:val="20"/>
              </w:rPr>
              <w:t>N-U20</w:t>
            </w:r>
          </w:p>
        </w:tc>
        <w:tc>
          <w:tcPr>
            <w:tcW w:type="dxa" w:w="7937"/>
            <w:shd w:fill="FFFFFF"/>
          </w:tcPr>
          <w:p>
            <w:pPr>
              <w:keepNext w:val="0"/>
            </w:pPr>
            <w:r>
              <w:rPr>
                <w:rFonts w:ascii="맑은 고딕" w:hAnsi="맑은 고딕"/>
                <w:color w:val="000000"/>
                <w:sz w:val="20"/>
              </w:rPr>
              <w:t>업종 내 위치 표시 최소 표본 수, 업종별 차트 우선 구현 순서, 기존 SVG 차트로 구현할 범위는 무엇인가?</w:t>
            </w:r>
          </w:p>
        </w:tc>
      </w:tr>
    </w:tbl>
    <w:p>
      <w:pPr>
        <w:spacing w:after="120"/>
      </w:pPr>
      <w:r>
        <w:t>v2.1의 11개 보완 산식·23개 위험 후보·복합 위험 7유형·10개 판단 관점·위험 매트릭스·P0~P2 확장은 이번 현행 범위에서 제외한다. 기본 차입 만기 타임라인·공시 주석 추출은 유지한다. N-R44/N-F17/N-F42와 WBS 7.1/3.13은 이전 버전 이력으로 보존하고 ID를 재사용하지 않는다.</w:t>
      </w:r>
    </w:p>
    <w:p>
      <w:pPr>
        <w:spacing w:after="120"/>
      </w:pPr>
      <w:r>
        <w:t>화면설계서 Figma/PDF·소스는 사용자 지시로 그대로 유지한다. 이 문서의 기능 요구는 화면설계서의 실제 수정 완료를 의미하지 않는다.</w:t>
      </w:r>
    </w:p>
    <w:p>
      <w:pPr>
        <w:pStyle w:val="Heading1"/>
        <w:spacing w:after="120"/>
      </w:pPr>
      <w:r>
        <w:t>10 연계 문서</w:t>
      </w:r>
    </w:p>
    <w:p>
      <w:pPr>
        <w:spacing w:after="120"/>
      </w:pPr>
      <w:r>
        <w:t>상세 요구는 요구사항 v0.0.7, 입력·처리·출력·예외는 기능명세서 v0.0.6, 작업·선행·담당·일정은 WBS v1.4를 따른다. 팀 품질관리 자료: https://app.notion.com/p/40680be201ba81ddb717d75d409cde98</w:t>
      </w:r>
    </w:p>
    <w:sectPr w:rsidR="00FC693F" w:rsidRPr="0006063C" w:rsidSect="00034616">
      <w:headerReference w:type="default" r:id="rId9"/>
      <w:footerReference w:type="default" r:id="rId10"/>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검토 전 초안  ·  v0.0.6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LoanSight AI  |  PRD  v0.0.6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9"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LoanSight AI PRD v0.0.6</dc:title>
  <dc:subject>기획안 v2.3 · 요구사항 v0.0.7 · PRD/기능명세서 v0.0.6 · WBS v1.4</dc:subject>
  <dc:creator>김동혁</dc:creator>
  <cp:keywords/>
  <dc:description>generated by python-docx</dc:description>
  <cp:lastModifiedBy/>
  <cp:revision>1</cp:revision>
  <dcterms:created xsi:type="dcterms:W3CDTF">2013-12-23T23:15:00Z</dcterms:created>
  <dcterms:modified xsi:type="dcterms:W3CDTF">2013-12-23T23:15:00Z</dcterms:modified>
  <cp:category/>
</cp:coreProperties>
</file>