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LoanSight AI PRD</w:t>
      </w:r>
    </w:p>
    <w:p>
      <w:pPr>
        <w:spacing w:after="120"/>
      </w:pPr>
      <w:r>
        <w:t>v0.0.5 · 2026.10.28 · 기획안 v2.2·요구사항 v0.0.6·WBS v1.3 기준</w:t>
      </w:r>
    </w:p>
    <w:p>
      <w:pPr>
        <w:pStyle w:val="Heading1"/>
        <w:spacing w:after="120"/>
      </w:pPr>
      <w:r>
        <w:t>문서 개정 이력</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1134"/>
            <w:shd w:fill="44546A"/>
          </w:tcPr>
          <w:p>
            <w:pPr>
              <w:keepNext w:val="0"/>
              <w:spacing w:after="60"/>
            </w:pPr>
            <w:r>
              <w:rPr>
                <w:rFonts w:ascii="맑은 고딕" w:hAnsi="맑은 고딕"/>
                <w:color w:val="FFFFFF"/>
                <w:sz w:val="20"/>
              </w:rPr>
              <w:t>버전</w:t>
            </w:r>
          </w:p>
        </w:tc>
        <w:tc>
          <w:tcPr>
            <w:tcW w:type="dxa" w:w="1474"/>
            <w:shd w:fill="44546A"/>
          </w:tcPr>
          <w:p>
            <w:pPr>
              <w:keepNext w:val="0"/>
              <w:spacing w:after="60"/>
            </w:pPr>
            <w:r>
              <w:rPr>
                <w:rFonts w:ascii="맑은 고딕" w:hAnsi="맑은 고딕"/>
                <w:color w:val="FFFFFF"/>
                <w:sz w:val="20"/>
              </w:rPr>
              <w:t>개정일</w:t>
            </w:r>
          </w:p>
        </w:tc>
        <w:tc>
          <w:tcPr>
            <w:tcW w:type="dxa" w:w="5159"/>
            <w:shd w:fill="44546A"/>
          </w:tcPr>
          <w:p>
            <w:pPr>
              <w:keepNext w:val="0"/>
              <w:spacing w:after="60"/>
            </w:pPr>
            <w:r>
              <w:rPr>
                <w:rFonts w:ascii="맑은 고딕" w:hAnsi="맑은 고딕"/>
                <w:color w:val="FFFFFF"/>
                <w:sz w:val="20"/>
              </w:rPr>
              <w:t>변경 내용</w:t>
            </w:r>
          </w:p>
        </w:tc>
        <w:tc>
          <w:tcPr>
            <w:tcW w:type="dxa" w:w="1304"/>
            <w:shd w:fill="44546A"/>
          </w:tcPr>
          <w:p>
            <w:pPr>
              <w:keepNext w:val="0"/>
              <w:spacing w:after="60"/>
            </w:pPr>
            <w:r>
              <w:rPr>
                <w:rFonts w:ascii="맑은 고딕" w:hAnsi="맑은 고딕"/>
                <w:color w:val="FFFFFF"/>
                <w:sz w:val="20"/>
              </w:rPr>
              <w:t>검토·승인</w:t>
            </w:r>
          </w:p>
        </w:tc>
      </w:tr>
      <w:tr>
        <w:trPr>
          <w:cantSplit/>
        </w:trPr>
        <w:tc>
          <w:tcPr>
            <w:tcW w:type="dxa" w:w="1134"/>
            <w:shd w:fill="FFFFFF"/>
          </w:tcPr>
          <w:p>
            <w:pPr>
              <w:keepNext w:val="0"/>
              <w:spacing w:after="60"/>
            </w:pPr>
            <w:r>
              <w:rPr>
                <w:rFonts w:ascii="맑은 고딕" w:hAnsi="맑은 고딕"/>
                <w:color w:val="000000"/>
                <w:sz w:val="20"/>
              </w:rPr>
              <w:t>v0.0.4</w:t>
            </w:r>
          </w:p>
        </w:tc>
        <w:tc>
          <w:tcPr>
            <w:tcW w:type="dxa" w:w="1474"/>
            <w:shd w:fill="FFFFFF"/>
          </w:tcPr>
          <w:p>
            <w:pPr>
              <w:keepNext w:val="0"/>
              <w:spacing w:after="60"/>
            </w:pPr>
            <w:r>
              <w:rPr>
                <w:rFonts w:ascii="맑은 고딕" w:hAnsi="맑은 고딕"/>
                <w:color w:val="000000"/>
                <w:sz w:val="20"/>
              </w:rPr>
              <w:t>2026.10.24</w:t>
            </w:r>
          </w:p>
        </w:tc>
        <w:tc>
          <w:tcPr>
            <w:tcW w:type="dxa" w:w="5159"/>
            <w:shd w:fill="FFFFFF"/>
          </w:tcPr>
          <w:p>
            <w:pPr>
              <w:keepNext w:val="0"/>
              <w:spacing w:after="60"/>
            </w:pPr>
            <w:r>
              <w:rPr>
                <w:rFonts w:ascii="맑은 고딕" w:hAnsi="맑은 고딕"/>
                <w:color w:val="000000"/>
                <w:sz w:val="20"/>
              </w:rPr>
              <w:t>이전 기획 기준 반영. 원문은 보관본 유지.</w:t>
            </w:r>
          </w:p>
        </w:tc>
        <w:tc>
          <w:tcPr>
            <w:tcW w:type="dxa" w:w="1304"/>
            <w:shd w:fill="FFFFFF"/>
          </w:tcPr>
          <w:p>
            <w:pPr>
              <w:keepNext w:val="0"/>
              <w:spacing w:after="60"/>
            </w:pPr>
            <w:r>
              <w:rPr>
                <w:rFonts w:ascii="맑은 고딕" w:hAnsi="맑은 고딕"/>
                <w:color w:val="000000"/>
                <w:sz w:val="20"/>
              </w:rPr>
              <w:t>미정</w:t>
            </w:r>
          </w:p>
        </w:tc>
      </w:tr>
      <w:tr>
        <w:trPr>
          <w:cantSplit/>
        </w:trPr>
        <w:tc>
          <w:tcPr>
            <w:tcW w:type="dxa" w:w="1134"/>
            <w:shd w:fill="FFFFFF"/>
          </w:tcPr>
          <w:p>
            <w:pPr>
              <w:keepNext w:val="0"/>
              <w:spacing w:after="60"/>
            </w:pPr>
            <w:r>
              <w:rPr>
                <w:rFonts w:ascii="맑은 고딕" w:hAnsi="맑은 고딕"/>
                <w:color w:val="000000"/>
                <w:sz w:val="20"/>
              </w:rPr>
              <w:t>v0.0.5</w:t>
            </w:r>
          </w:p>
        </w:tc>
        <w:tc>
          <w:tcPr>
            <w:tcW w:type="dxa" w:w="1474"/>
            <w:shd w:fill="FFFFFF"/>
          </w:tcPr>
          <w:p>
            <w:pPr>
              <w:keepNext w:val="0"/>
              <w:spacing w:after="60"/>
            </w:pPr>
            <w:r>
              <w:rPr>
                <w:rFonts w:ascii="맑은 고딕" w:hAnsi="맑은 고딕"/>
                <w:color w:val="000000"/>
                <w:sz w:val="20"/>
              </w:rPr>
              <w:t>2026.10.28</w:t>
            </w:r>
          </w:p>
        </w:tc>
        <w:tc>
          <w:tcPr>
            <w:tcW w:type="dxa" w:w="5159"/>
            <w:shd w:fill="FFFFFF"/>
          </w:tcPr>
          <w:p>
            <w:pPr>
              <w:keepNext w:val="0"/>
              <w:spacing w:after="60"/>
            </w:pPr>
            <w:r>
              <w:rPr>
                <w:rFonts w:ascii="맑은 고딕" w:hAnsi="맑은 고딕"/>
                <w:color w:val="000000"/>
                <w:sz w:val="20"/>
              </w:rPr>
              <w:t>v2.1 보완 내용 연계·OFS 중심·내부 관리 화면 분리.</w:t>
            </w:r>
          </w:p>
        </w:tc>
        <w:tc>
          <w:tcPr>
            <w:tcW w:type="dxa" w:w="1304"/>
            <w:shd w:fill="FFFFFF"/>
          </w:tcPr>
          <w:p>
            <w:pPr>
              <w:keepNext w:val="0"/>
              <w:spacing w:after="60"/>
            </w:pPr>
            <w:r>
              <w:rPr>
                <w:rFonts w:ascii="맑은 고딕" w:hAnsi="맑은 고딕"/>
                <w:color w:val="000000"/>
                <w:sz w:val="20"/>
              </w:rPr>
              <w:t>미정</w:t>
            </w:r>
          </w:p>
        </w:tc>
      </w:tr>
    </w:tbl>
    <w:p>
      <w:pPr>
        <w:pStyle w:val="Heading1"/>
        <w:spacing w:after="120"/>
      </w:pPr>
      <w:r>
        <w:t>1 목적과 제공 범위</w:t>
      </w:r>
    </w:p>
    <w:p>
      <w:pPr>
        <w:spacing w:after="120"/>
      </w:pPr>
      <w:r>
        <w:t>은행 기업금융·여신심사 담당자가 재무 변화와 공시 주석의 위험 근거를 연결해 어디를 먼저 보고 무엇을 추가 확인해야 하는지 파악하도록 돕는 웹 서비스다. 최종 대출 판단과 내부 등급은 담당자가 수행한다.</w:t>
      </w:r>
    </w:p>
    <w:p>
      <w:pPr>
        <w:spacing w:after="120"/>
      </w:pPr>
      <w:r>
        <w:t>제조·건설·도소매·부동산 임대 4개 업종을 대상으로 하며 장비·물품 렌탈은 제외한다. 공시 확보가 가능한 상장사를 우선한다. 비상장 직접 입력·확장 기능은 출처와 제공 범위를 구분한다.</w:t>
      </w:r>
    </w:p>
    <w:p>
      <w:pPr>
        <w:pStyle w:val="Heading1"/>
        <w:spacing w:after="120"/>
      </w:pPr>
      <w:r>
        <w:t>2 서비스 흐름과 화면</w:t>
      </w:r>
    </w:p>
    <w:p>
      <w:pPr>
        <w:spacing w:after="120"/>
      </w:pPr>
      <w:r>
        <w:t>기업 선택 → 핵심 재무 요약 → 실적 변동·현금흐름 → 주석·개별/복합 위험징후 → 위험 사건 예측 → 관련 뉴스 → 담당자 체크·검토 메모</w:t>
      </w:r>
    </w:p>
    <w:tbl>
      <w:tblPr>
        <w:tblW w:type="auto" w:w="0"/>
        <w:tblLayout w:type="fixed"/>
        <w:tblLook w:firstColumn="1" w:firstRow="1" w:lastColumn="0" w:lastRow="0" w:noHBand="0" w:noVBand="1" w:val="04A0"/>
      </w:tblPr>
      <w:tblGrid>
        <w:gridCol w:w="4819"/>
        <w:gridCol w:w="4819"/>
      </w:tblGrid>
      <w:tr>
        <w:trPr>
          <w:cantSplit/>
          <w:tblHeader/>
        </w:trPr>
        <w:tc>
          <w:tcPr>
            <w:tcW w:type="dxa" w:w="1134"/>
            <w:shd w:fill="44546A"/>
          </w:tcPr>
          <w:p>
            <w:pPr>
              <w:keepNext w:val="0"/>
              <w:spacing w:after="60"/>
            </w:pPr>
            <w:r>
              <w:rPr>
                <w:rFonts w:ascii="맑은 고딕" w:hAnsi="맑은 고딕"/>
                <w:color w:val="FFFFFF"/>
                <w:sz w:val="20"/>
              </w:rPr>
              <w:t>화면</w:t>
            </w:r>
          </w:p>
        </w:tc>
        <w:tc>
          <w:tcPr>
            <w:tcW w:type="dxa" w:w="7937"/>
            <w:shd w:fill="44546A"/>
          </w:tcPr>
          <w:p>
            <w:pPr>
              <w:keepNext w:val="0"/>
              <w:spacing w:after="60"/>
            </w:pPr>
            <w:r>
              <w:rPr>
                <w:rFonts w:ascii="맑은 고딕" w:hAnsi="맑은 고딕"/>
                <w:color w:val="FFFFFF"/>
                <w:sz w:val="20"/>
              </w:rPr>
              <w:t>내용</w:t>
            </w:r>
          </w:p>
        </w:tc>
      </w:tr>
      <w:tr>
        <w:trPr>
          <w:cantSplit/>
        </w:trPr>
        <w:tc>
          <w:tcPr>
            <w:tcW w:type="dxa" w:w="1134"/>
            <w:shd w:fill="FFFFFF"/>
          </w:tcPr>
          <w:p>
            <w:pPr>
              <w:keepNext w:val="0"/>
              <w:spacing w:after="60"/>
            </w:pPr>
            <w:r>
              <w:rPr>
                <w:rFonts w:ascii="맑은 고딕" w:hAnsi="맑은 고딕"/>
                <w:color w:val="000000"/>
                <w:sz w:val="20"/>
              </w:rPr>
              <w:t>N-S01</w:t>
            </w:r>
          </w:p>
        </w:tc>
        <w:tc>
          <w:tcPr>
            <w:tcW w:type="dxa" w:w="7937"/>
            <w:shd w:fill="FFFFFF"/>
          </w:tcPr>
          <w:p>
            <w:pPr>
              <w:keepNext w:val="0"/>
              <w:spacing w:after="60"/>
            </w:pPr>
            <w:r>
              <w:rPr>
                <w:rFonts w:ascii="맑은 고딕" w:hAnsi="맑은 고딕"/>
                <w:color w:val="000000"/>
                <w:sz w:val="20"/>
              </w:rPr>
              <w:t>기업 검색·업종 선택 / 4개 업종·렌탈 제외·업종명/코드·세부분류·결산월·회계 범위·수동 변경 근거</w:t>
            </w:r>
          </w:p>
        </w:tc>
      </w:tr>
      <w:tr>
        <w:trPr>
          <w:cantSplit/>
        </w:trPr>
        <w:tc>
          <w:tcPr>
            <w:tcW w:type="dxa" w:w="1134"/>
            <w:shd w:fill="FFFFFF"/>
          </w:tcPr>
          <w:p>
            <w:pPr>
              <w:keepNext w:val="0"/>
              <w:spacing w:after="60"/>
            </w:pPr>
            <w:r>
              <w:rPr>
                <w:rFonts w:ascii="맑은 고딕" w:hAnsi="맑은 고딕"/>
                <w:color w:val="000000"/>
                <w:sz w:val="20"/>
              </w:rPr>
              <w:t>N-S02</w:t>
            </w:r>
          </w:p>
        </w:tc>
        <w:tc>
          <w:tcPr>
            <w:tcW w:type="dxa" w:w="7937"/>
            <w:shd w:fill="FFFFFF"/>
          </w:tcPr>
          <w:p>
            <w:pPr>
              <w:keepNext w:val="0"/>
              <w:spacing w:after="60"/>
            </w:pPr>
            <w:r>
              <w:rPr>
                <w:rFonts w:ascii="맑은 고딕" w:hAnsi="맑은 고딕"/>
                <w:color w:val="000000"/>
                <w:sz w:val="20"/>
              </w:rPr>
              <w:t>핵심 재무 요약 / 영업이익·비율 5개 묶음·공통/업종 지표·상환능력·산식/근사/자료 상태</w:t>
            </w:r>
          </w:p>
        </w:tc>
      </w:tr>
      <w:tr>
        <w:trPr>
          <w:cantSplit/>
        </w:trPr>
        <w:tc>
          <w:tcPr>
            <w:tcW w:type="dxa" w:w="1134"/>
            <w:shd w:fill="FFFFFF"/>
          </w:tcPr>
          <w:p>
            <w:pPr>
              <w:keepNext w:val="0"/>
              <w:spacing w:after="60"/>
            </w:pPr>
            <w:r>
              <w:rPr>
                <w:rFonts w:ascii="맑은 고딕" w:hAnsi="맑은 고딕"/>
                <w:color w:val="000000"/>
                <w:sz w:val="20"/>
              </w:rPr>
              <w:t>N-S03</w:t>
            </w:r>
          </w:p>
        </w:tc>
        <w:tc>
          <w:tcPr>
            <w:tcW w:type="dxa" w:w="7937"/>
            <w:shd w:fill="FFFFFF"/>
          </w:tcPr>
          <w:p>
            <w:pPr>
              <w:keepNext w:val="0"/>
              <w:spacing w:after="60"/>
            </w:pPr>
            <w:r>
              <w:rPr>
                <w:rFonts w:ascii="맑은 고딕" w:hAnsi="맑은 고딕"/>
                <w:color w:val="000000"/>
                <w:sz w:val="20"/>
              </w:rPr>
              <w:t>실적 변동·현금흐름 / 회계 변동/잔차·OCF·영업순환·자사 3개년·동종/한국은행 참고 비교</w:t>
            </w:r>
          </w:p>
        </w:tc>
      </w:tr>
      <w:tr>
        <w:trPr>
          <w:cantSplit/>
        </w:trPr>
        <w:tc>
          <w:tcPr>
            <w:tcW w:type="dxa" w:w="1134"/>
            <w:shd w:fill="FFFFFF"/>
          </w:tcPr>
          <w:p>
            <w:pPr>
              <w:keepNext w:val="0"/>
              <w:spacing w:after="60"/>
            </w:pPr>
            <w:r>
              <w:rPr>
                <w:rFonts w:ascii="맑은 고딕" w:hAnsi="맑은 고딕"/>
                <w:color w:val="000000"/>
                <w:sz w:val="20"/>
              </w:rPr>
              <w:t>N-S04</w:t>
            </w:r>
          </w:p>
        </w:tc>
        <w:tc>
          <w:tcPr>
            <w:tcW w:type="dxa" w:w="7937"/>
            <w:shd w:fill="FFFFFF"/>
          </w:tcPr>
          <w:p>
            <w:pPr>
              <w:keepNext w:val="0"/>
              <w:spacing w:after="60"/>
            </w:pPr>
            <w:r>
              <w:rPr>
                <w:rFonts w:ascii="맑은 고딕" w:hAnsi="맑은 고딕"/>
                <w:color w:val="000000"/>
                <w:sz w:val="20"/>
              </w:rPr>
              <w:t>주석 확인과 위험징후 패널 / 경고/주의/관찰 패널·핵심/보조/왜곡 지표·5개년 추세·만기/위치 차트·공통/업종 추출·원문 카드 개별·복합 RISK, 이벤트 타임라인·발생 매트릭스, 징후→주석→원인 후보→원문→담당자 질문.</w:t>
            </w:r>
          </w:p>
        </w:tc>
      </w:tr>
      <w:tr>
        <w:trPr>
          <w:cantSplit/>
        </w:trPr>
        <w:tc>
          <w:tcPr>
            <w:tcW w:type="dxa" w:w="1134"/>
            <w:shd w:fill="FFFFFF"/>
          </w:tcPr>
          <w:p>
            <w:pPr>
              <w:keepNext w:val="0"/>
              <w:spacing w:after="60"/>
            </w:pPr>
            <w:r>
              <w:rPr>
                <w:rFonts w:ascii="맑은 고딕" w:hAnsi="맑은 고딕"/>
                <w:color w:val="000000"/>
                <w:sz w:val="20"/>
              </w:rPr>
              <w:t>N-S05</w:t>
            </w:r>
          </w:p>
        </w:tc>
        <w:tc>
          <w:tcPr>
            <w:tcW w:type="dxa" w:w="7937"/>
            <w:shd w:fill="FFFFFF"/>
          </w:tcPr>
          <w:p>
            <w:pPr>
              <w:keepNext w:val="0"/>
              <w:spacing w:after="60"/>
            </w:pPr>
            <w:r>
              <w:rPr>
                <w:rFonts w:ascii="맑은 고딕" w:hAnsi="맑은 고딕"/>
                <w:color w:val="000000"/>
                <w:sz w:val="20"/>
              </w:rPr>
              <w:t>위험 사건 예측과 근거 / 12개월 상환·연체 위험 사건 확률·대상 사건/심각도·기준일/모델·확인/보류·근거</w:t>
            </w:r>
          </w:p>
        </w:tc>
      </w:tr>
      <w:tr>
        <w:trPr>
          <w:cantSplit/>
        </w:trPr>
        <w:tc>
          <w:tcPr>
            <w:tcW w:type="dxa" w:w="1134"/>
            <w:shd w:fill="FFFFFF"/>
          </w:tcPr>
          <w:p>
            <w:pPr>
              <w:keepNext w:val="0"/>
              <w:spacing w:after="60"/>
            </w:pPr>
            <w:r>
              <w:rPr>
                <w:rFonts w:ascii="맑은 고딕" w:hAnsi="맑은 고딕"/>
                <w:color w:val="000000"/>
                <w:sz w:val="20"/>
              </w:rPr>
              <w:t>N-S06</w:t>
            </w:r>
          </w:p>
        </w:tc>
        <w:tc>
          <w:tcPr>
            <w:tcW w:type="dxa" w:w="7937"/>
            <w:shd w:fill="FFFFFF"/>
          </w:tcPr>
          <w:p>
            <w:pPr>
              <w:keepNext w:val="0"/>
              <w:spacing w:after="60"/>
            </w:pPr>
            <w:r>
              <w:rPr>
                <w:rFonts w:ascii="맑은 고딕" w:hAnsi="맑은 고딕"/>
                <w:color w:val="000000"/>
                <w:sz w:val="20"/>
              </w:rPr>
              <w:t>관련 뉴스 / 기업/기간 기사 관련성·발행일·출처·링크·누락 한계</w:t>
            </w:r>
          </w:p>
        </w:tc>
      </w:tr>
      <w:tr>
        <w:trPr>
          <w:cantSplit/>
        </w:trPr>
        <w:tc>
          <w:tcPr>
            <w:tcW w:type="dxa" w:w="1134"/>
            <w:shd w:fill="FFFFFF"/>
          </w:tcPr>
          <w:p>
            <w:pPr>
              <w:keepNext w:val="0"/>
              <w:spacing w:after="60"/>
            </w:pPr>
            <w:r>
              <w:rPr>
                <w:rFonts w:ascii="맑은 고딕" w:hAnsi="맑은 고딕"/>
                <w:color w:val="000000"/>
                <w:sz w:val="20"/>
              </w:rPr>
              <w:t>N-S07</w:t>
            </w:r>
          </w:p>
        </w:tc>
        <w:tc>
          <w:tcPr>
            <w:tcW w:type="dxa" w:w="7937"/>
            <w:shd w:fill="FFFFFF"/>
          </w:tcPr>
          <w:p>
            <w:pPr>
              <w:keepNext w:val="0"/>
              <w:spacing w:after="60"/>
            </w:pPr>
            <w:r>
              <w:rPr>
                <w:rFonts w:ascii="맑은 고딕" w:hAnsi="맑은 고딕"/>
                <w:color w:val="000000"/>
                <w:sz w:val="20"/>
              </w:rPr>
              <w:t>담당자 체크·메모 / 규칙/징후·미확인 체크·업종/산식/규칙 버전·접수번호/원문이 담긴 메모 수정·복사</w:t>
            </w:r>
          </w:p>
        </w:tc>
      </w:tr>
    </w:tbl>
    <w:p>
      <w:pPr>
        <w:pStyle w:val="Heading1"/>
        <w:spacing w:after="120"/>
      </w:pPr>
      <w:r>
        <w:t>3 데이터와 계산 기준</w:t>
      </w:r>
    </w:p>
    <w:p>
      <w:pPr>
        <w:spacing w:after="120"/>
      </w:pPr>
      <w:r>
        <w:t>별도재무제표(OFS)를 기본 분석 기준으로 사용하고 연결재무제표(CFS)는 구분된 비교 자료로 보존한다. 기간·통화·단위·누적/당분기·정정 여부를 맞추며 동일 추세 안에 OFS와 CFS를 섞지 않는다. 자료가 없으면 미확보를 표시한다. 회계처리 차이와 출처·기준일을 함께 표시한다.</w:t>
      </w:r>
    </w:p>
    <w:p>
      <w:pPr>
        <w:spacing w:after="120"/>
      </w:pPr>
      <w:r>
        <w:t>회사·보고서·공시/수집일·정정 관계·OFS/CFS·통화·단위를 보존한다. 미확보·계산 불가·추출 실패를 0이나 정상으로 바꾸지 않는다. 직접 입력은 자동 수집과 구분하고 출처·기준일을 남긴다.</w:t>
      </w:r>
    </w:p>
    <w:p>
      <w:pPr>
        <w:pStyle w:val="Heading1"/>
        <w:spacing w:after="120"/>
      </w:pPr>
      <w:r>
        <w:t>4 기능 범위와 ID 연결</w:t>
      </w:r>
    </w:p>
    <w:p>
      <w:pPr>
        <w:pStyle w:val="Heading2"/>
        <w:spacing w:after="120"/>
      </w:pPr>
      <w:r>
        <w:t>N-R01 기업·업종 범위</w:t>
      </w:r>
    </w:p>
    <w:p>
      <w:pPr>
        <w:spacing w:after="120"/>
      </w:pPr>
      <w:r>
        <w:t>공시·재무 확보가 가능한 상장사 우선(코넥스는 상장시장으로 구분). 대상 업종은 제조·건설·도소매·부동산·임대 4개로 하고 운수·창고는 제외한다. 업종은 DART 업종코드 기준 매핑표로 정하며, 부동산·임대는 부동산 임대로 한정한다. 장비·물품 렌탈, 금융·보험, 지주회사, 스팩, 부동산 관리·중개는 대상에서 제외한다.</w:t>
      </w:r>
    </w:p>
    <w:p>
      <w:pPr>
        <w:spacing w:after="120"/>
      </w:pPr>
      <w:r>
        <w:t>범위: 필수 · 확인할 사항: N-U02: 세부분류 적용 수준·기업·기간 미정. 업종별 상장사 수 집계로 표본 확인 필요</w:t>
      </w:r>
    </w:p>
    <w:p>
      <w:pPr>
        <w:pStyle w:val="Heading2"/>
        <w:spacing w:after="120"/>
      </w:pPr>
      <w:r>
        <w:t>N-R02 기업·기간·회계 범위 선택</w:t>
      </w:r>
    </w:p>
    <w:p>
      <w:pPr>
        <w:spacing w:after="120"/>
      </w:pPr>
      <w:r>
        <w:t>기업을 식별하고 업종명(코드)·서비스 업종·세부분류·적용 기준(건설/부동산 임대 등)을 함께 표시한다. 보고 기간, 연결/별도, 결산월을 표시한다. 담당자가 업종을 바꾸면 변경 사유와 근거를 기록하고 바뀐 기준으로 다시 분석한다.</w:t>
      </w:r>
    </w:p>
    <w:p>
      <w:pPr>
        <w:spacing w:after="120"/>
      </w:pPr>
      <w:r>
        <w:t>범위: 필수 · 확인할 사항: N-U02·N-U15: 기본 기간, 업종 변경 권한·기록 방식 미정</w:t>
      </w:r>
    </w:p>
    <w:p>
      <w:pPr>
        <w:pStyle w:val="Heading2"/>
        <w:spacing w:after="120"/>
      </w:pPr>
      <w:r>
        <w:t>N-R03 공식 원천과 출처 추적</w:t>
      </w:r>
    </w:p>
    <w:p>
      <w:pPr>
        <w:spacing w:after="120"/>
      </w:pPr>
      <w:r>
        <w:t>OpenDART 기업개황·공시검색·전체 재무·원본 파일을 수집하고 기업 업종·접수번호·공시일·수집일·원문 위치·정정 버전을 저장한다. 사업보고서 원문은 목차 단위(I.1 신용등급, II 사업의 내용, III 주석, IV.4 유동성·자금조달, IV.5 부외거래, V.1 외부감사, XI.2~4 우발부채·제재·작성기준일 이후)로 저장해 주석 자동 추출(N-R41·N-R42)의 입력으로 쓴다.</w:t>
      </w:r>
    </w:p>
    <w:p>
      <w:pPr>
        <w:spacing w:after="120"/>
      </w:pPr>
      <w:r>
        <w:t>범위: 필수 · 확인할 사항: API 실제 확보 범위·재시도·보관 정책 미정</w:t>
      </w:r>
    </w:p>
    <w:p>
      <w:pPr>
        <w:pStyle w:val="Heading2"/>
        <w:spacing w:after="120"/>
      </w:pPr>
      <w:r>
        <w:t>N-R04 비교 기준 표준화</w:t>
      </w:r>
    </w:p>
    <w:p>
      <w:pPr>
        <w:spacing w:after="120"/>
      </w:pPr>
      <w:r>
        <w:t>별도재무제표(OFS)를 기본 분석 기준으로 사용하고 연결재무제표(CFS)는 구분된 비교 자료로 보존한다. 기간·통화·단위·누적/당분기·정정 여부를 맞추며 동일 추세 안에 OFS와 CFS를 섞지 않는다. 자료가 없으면 미확보를 표시한다. 회계처리 차이와 출처·기준일을 함께 표시한다.</w:t>
      </w:r>
    </w:p>
    <w:p>
      <w:pPr>
        <w:spacing w:after="120"/>
      </w:pPr>
      <w:r>
        <w:t>범위: 필수 · 확인할 사항: 정정 적용·분기 변환 세부 정책, 회계처리 차이 판정 규칙 미정</w:t>
      </w:r>
    </w:p>
    <w:p>
      <w:pPr>
        <w:pStyle w:val="Heading2"/>
        <w:spacing w:after="120"/>
      </w:pPr>
      <w:r>
        <w:t>N-R05 계정·결측·정합성 관리</w:t>
      </w:r>
    </w:p>
    <w:p>
      <w:pPr>
        <w:spacing w:after="120"/>
      </w:pPr>
      <w:r>
        <w:t>표준계정 ID 우선, 없으면 계정명으로 매핑한다. 계정 사전에 비율 계산 필수 계정을 포함한다: 매입채무, 단기·장기차입금, 유동성장기부채, 사채, 리스부채, 이자비용, 계약자산·계약부채, 투자부동산, 임대보증금·임차보증금, 유형자산 취득, 배당금 지급, 재고자산 평가·감모손실. 결측·0·미확보·추출 실패·비교 불가를 구분하고 자산=부채+자본, 합계·부호·단위를 검사한다.</w:t>
      </w:r>
    </w:p>
    <w:p>
      <w:pPr>
        <w:spacing w:after="120"/>
      </w:pPr>
      <w:r>
        <w:t>범위: 필수 · 확인할 사항: 계정 사전·필수 계정 누락·단위·허용 오차·실패 상태 기준 미정.</w:t>
      </w:r>
    </w:p>
    <w:p>
      <w:pPr>
        <w:pStyle w:val="Heading2"/>
        <w:spacing w:after="120"/>
      </w:pPr>
      <w:r>
        <w:t>N-R06 직접 입력과 출처 기록</w:t>
      </w:r>
    </w:p>
    <w:p>
      <w:pPr>
        <w:spacing w:after="120"/>
      </w:pPr>
      <w:r>
        <w:t>비상장·스타트업의 공시 조회 가능성을 먼저 대조한다. 직접 입력값은 출처·기준일을 기록하며 자동 수집값과 구분한다.</w:t>
      </w:r>
    </w:p>
    <w:p>
      <w:pPr>
        <w:spacing w:after="120"/>
      </w:pPr>
      <w:r>
        <w:t>범위: 필수 · 확인할 사항: 입력 필드·저장·확인 기준 미정</w:t>
      </w:r>
    </w:p>
    <w:p>
      <w:pPr>
        <w:pStyle w:val="Heading2"/>
        <w:spacing w:after="120"/>
      </w:pPr>
      <w:r>
        <w:t>N-R07 핵심 재무 대시보드</w:t>
      </w:r>
    </w:p>
    <w:p>
      <w:pPr>
        <w:spacing w:after="120"/>
      </w:pPr>
      <w:r>
        <w:t>영업이익을 우선 배치하고 비율을 유동성·레버리지·활동성·수익성·성장성 5개 묶음으로 표시한다. 공통 핵심 비율은 유동비율·부채비율·매출액영업이익률·총자산영업이익률·이자보상비율로 한다. 업종별 강조 지표: 제조(원가율·재고일수·현금전환주기·EBITDA), 도소매(매출총이익률·현금전환주기·매입채무일수), 건설(계약자산·선수금 제외 부채비율·차입금의존도), 부동산 임대(EBITDA·EBITDA 이자보상배율·차입금÷투자부동산). 감가상각·무형상각·사용권자산 중복을 점검한다. 기획안 v2.1의 수익성·안정성·활동성·성장성·현금흐름 관점을 함께 연결하고, 지표의 당기 값·최근 3~5개년 변화·동종 업종 위치·위험 사건·복합 징후를 구분한다.</w:t>
      </w:r>
    </w:p>
    <w:p>
      <w:pPr>
        <w:spacing w:after="120"/>
      </w:pPr>
      <w:r>
        <w:t>범위: 필수 · 확인할 사항: N-U11: 회전율 분모 기준 미정. 계정 확보율 확인 후 표시 지표 확정</w:t>
      </w:r>
    </w:p>
    <w:p>
      <w:pPr>
        <w:pStyle w:val="Heading2"/>
        <w:spacing w:after="120"/>
      </w:pPr>
      <w:r>
        <w:t>N-R08 영업이익 변동 분해</w:t>
      </w:r>
    </w:p>
    <w:p>
      <w:pPr>
        <w:spacing w:after="120"/>
      </w:pPr>
      <w:r>
        <w:t>영업이익 증감의 금액 기여도 = 매출 증감 - 매출원가 증감 - 판관비 증감. 설명되지 않는 차이는 기타·조정 차이로 표시한다. 회계 분해를 사업상 원인으로 단정하지 않는다. 업종별로 강조 항목을 달리한다(제조: 원가율, 도소매: 매출총이익률). 매출원가가 없는 성격별 손익계산서는 분해 불가 사유를, 임대수익이 기타수익에 있는 회사는 분해가 불완전함을 표시한다.</w:t>
      </w:r>
    </w:p>
    <w:p>
      <w:pPr>
        <w:spacing w:after="120"/>
      </w:pPr>
      <w:r>
        <w:t>범위: 필수 · 확인할 사항: 계정 예외·잔차 허용 기준 미정. 성격별 손익계산서 비율 확인 필요</w:t>
      </w:r>
    </w:p>
    <w:p>
      <w:pPr>
        <w:pStyle w:val="Heading2"/>
        <w:spacing w:after="120"/>
      </w:pPr>
      <w:r>
        <w:t>N-R09 현금흐름과 특수 분모 처리</w:t>
      </w:r>
    </w:p>
    <w:p>
      <w:pPr>
        <w:spacing w:after="120"/>
      </w:pPr>
      <w:r>
        <w:t>영업이익과 영업활동현금흐름의 차이를 운전자본(매출채권·재고·매입채무)·감가상각으로 설명한다. 현금흐름 비율(영업CF÷유동부채, 현금보상비율)과 현금흐름표 부실징후(단기차입으로 장기부채 상환, 과다 배당)를 점검한다. 업종 예외: 건설은 계약자산 증감을 표시한다. 0/음수 분모·적자 전환은 금액 차이와 상태로 표시한다.</w:t>
      </w:r>
    </w:p>
    <w:p>
      <w:pPr>
        <w:spacing w:after="120"/>
      </w:pPr>
      <w:r>
        <w:t>범위: 필수 · 확인할 사항: N-U13: 이자비용 확보 방식 미정. 차트·계정 예외 기준 미정</w:t>
      </w:r>
    </w:p>
    <w:p>
      <w:pPr>
        <w:pStyle w:val="Heading2"/>
        <w:spacing w:after="120"/>
      </w:pPr>
      <w:r>
        <w:t>N-R10 비교 가능한 업종 분포</w:t>
      </w:r>
    </w:p>
    <w:p>
      <w:pPr>
        <w:spacing w:after="120"/>
      </w:pPr>
      <w:r>
        <w:t>같은 기간·OFS/CFS·회계 기준의 동종 기업 분포·중앙값과 자사 과거 추세를 비교한다. 비교 가능한 기업 수가 부족하면 상위 분류 또는 비교 보류를 표시하며 부족한 자료를 전체 업종 대표로 제시하지 않는다. 한국은행 산업평균은 연도·모집단 차이를 표시한 참고 자료로 구분한다.</w:t>
      </w:r>
    </w:p>
    <w:p>
      <w:pPr>
        <w:spacing w:after="120"/>
      </w:pPr>
      <w:r>
        <w:t>범위: 필수 · 확인할 사항: N-U06·N-U16: 비교군 최소 수, 산업평균 사용 범위·연도 시차 미정</w:t>
      </w:r>
    </w:p>
    <w:p>
      <w:pPr>
        <w:pStyle w:val="Heading2"/>
        <w:spacing w:after="120"/>
      </w:pPr>
      <w:r>
        <w:t>N-R11 소송·보증·담보 구조화</w:t>
      </w:r>
    </w:p>
    <w:p>
      <w:pPr>
        <w:spacing w:after="120"/>
      </w:pPr>
      <w:r>
        <w:t>유형·상대방·금액/통화·진행 상태·기준일·원문 위치를 추출한다. 보증 제공/수취, 담보 소유/제공 대상, 진행/종결, 한도/잔액을 구분한다. 업종별 우선 추출 항목을 둔다: 건설(PF 지급보증·책임준공·채무인수 약정), 부동산·임대(담보 제공 자산, 투자부동산 평가 방식·공정가치), 공통(차입금 명세의 만기·금리, 재무약정). 조건부 의무(자금보충·채무인수·책임준공·매입확약·연대변제)와 기한이익상실 트리거(신용등급 하락 조건·금액)를 별도 유형으로 추출한다. 검색어·추출 범위는 N-R41·N-R42를 따른다.</w:t>
      </w:r>
    </w:p>
    <w:p>
      <w:pPr>
        <w:spacing w:after="120"/>
      </w:pPr>
      <w:r>
        <w:t>범위: 필수 · 확인할 사항: N-U04: 코드·추출 확인 절차 미정. 업종별 우선 항목 현직자 확인 필요</w:t>
      </w:r>
    </w:p>
    <w:p>
      <w:pPr>
        <w:pStyle w:val="Heading2"/>
        <w:spacing w:after="120"/>
      </w:pPr>
      <w:r>
        <w:t>N-R12 주석 검수와 공통 재사용</w:t>
      </w:r>
    </w:p>
    <w:p>
      <w:pPr>
        <w:spacing w:after="120"/>
      </w:pPr>
      <w:r>
        <w:t>표·본문 중복, 단위·부정 표현을 검수한다. 금액 미기재·미확보·추출 실패를 0으로 대체하지 않는다. 정합성을 확인한 구조화 결과를 요약·모델 입력에 공통 활용한다. 미검출은 '없음'으로 처리하지 않고, 원문에 '해당사항 없음'이 기재된 경우만 '공시상 없음'으로 저장한다. 일반 담보·차입약정은 우발부채로 자동 확정하지 않는다.</w:t>
      </w:r>
    </w:p>
    <w:p>
      <w:pPr>
        <w:spacing w:after="120"/>
      </w:pPr>
      <w:r>
        <w:t>범위: 필수 · 확인할 사항: N-U04: 확인 승인·버전 기준 미정</w:t>
      </w:r>
    </w:p>
    <w:p>
      <w:pPr>
        <w:pStyle w:val="Heading2"/>
        <w:spacing w:after="120"/>
      </w:pPr>
      <w:r>
        <w:t>N-R13 근거가 있는 요약</w:t>
      </w:r>
    </w:p>
    <w:p>
      <w:pPr>
        <w:spacing w:after="120"/>
      </w:pPr>
      <w:r>
        <w:t>확인된 사실/원문 근거/해석과 한계/추가 확인 형식으로 작성. 보고서·주석명과 원문을 연결. 숫자·비율은 코드 계산. 검색 없음과 해당 사항 없음, 회사 주장과 확인 사실을 구분한다.</w:t>
      </w:r>
    </w:p>
    <w:p>
      <w:pPr>
        <w:spacing w:after="120"/>
      </w:pPr>
      <w:r>
        <w:t>범위: 필수 · 확인할 사항: N-U07: LLM·검수 목표치 미정</w:t>
      </w:r>
    </w:p>
    <w:p>
      <w:pPr>
        <w:pStyle w:val="Heading2"/>
        <w:spacing w:after="120"/>
      </w:pPr>
      <w:r>
        <w:t>N-R14 내부 자료 확인과 최종 판단</w:t>
      </w:r>
    </w:p>
    <w:p>
      <w:pPr>
        <w:spacing w:after="120"/>
      </w:pPr>
      <w:r>
        <w:t>외부 공시로 확인 못하는 내부 거래·담보 평가·상환 약정은 추가 확인으로 남긴다. 초기 은행 내부 자료 수집·전송 제외. 대출 승인·거절·내부 등급은 담당자가 결정한다. 업종별 징후 단계(N-R39)는 담당자 확인 순서용이며 은행 자산건전성 분류·내부 등급·여신 결정을 대신하지 않는다.</w:t>
      </w:r>
    </w:p>
    <w:p>
      <w:pPr>
        <w:spacing w:after="120"/>
      </w:pPr>
      <w:r>
        <w:t>범위: 필수 · 확인할 사항: 확인 안내 문구·접근 정책 미정</w:t>
      </w:r>
    </w:p>
    <w:p>
      <w:pPr>
        <w:pStyle w:val="Heading2"/>
        <w:spacing w:after="120"/>
      </w:pPr>
      <w:r>
        <w:t>N-R15 관련 기사 보완</w:t>
      </w:r>
    </w:p>
    <w:p>
      <w:pPr>
        <w:spacing w:after="120"/>
      </w:pPr>
      <w:r>
        <w:t>기업 식별·실적 비교 기간을 기준으로 동명이인·단순 언급·중복을 제거하고 관련성 재검수. 기사 날짜·출처·링크를 표시. 품질/수집이 어려우면 링크만 제공한다.</w:t>
      </w:r>
    </w:p>
    <w:p>
      <w:pPr>
        <w:spacing w:after="120"/>
      </w:pPr>
      <w:r>
        <w:t>범위: 보완 · 확인할 사항: N-U07: 후보 매체·수집 조건·품질 미정</w:t>
      </w:r>
    </w:p>
    <w:p>
      <w:pPr>
        <w:pStyle w:val="Heading2"/>
        <w:spacing w:after="120"/>
      </w:pPr>
      <w:r>
        <w:t>N-R16 12개월 상환·연체 위험징후 확률 목표</w:t>
      </w:r>
    </w:p>
    <w:p>
      <w:pPr>
        <w:spacing w:after="120"/>
      </w:pPr>
      <w:r>
        <w:t>기준 공시일 이후 12개월 내 상환·연체 위험 사건(N-R17 정의) 발생 확률을 추정한다. 예측 모델이 확률을 계산하며 AI의 임의 확률·뉴스는 초기 입력에서 제외한다.</w:t>
      </w:r>
    </w:p>
    <w:p>
      <w:pPr>
        <w:spacing w:after="120"/>
      </w:pPr>
      <w:r>
        <w:t>범위: 필수 · 확인할 사항: 학습·확인·확률 결과 모두 미확인</w:t>
      </w:r>
    </w:p>
    <w:p>
      <w:pPr>
        <w:pStyle w:val="Heading2"/>
        <w:spacing w:after="120"/>
      </w:pPr>
      <w:r>
        <w:t>N-R17 상환·연체 위험 사건 정의와 원천</w:t>
      </w:r>
    </w:p>
    <w:p>
      <w:pPr>
        <w:spacing w:after="120"/>
      </w:pPr>
      <w:r>
        <w:t>라벨 사건은 공시로 확인되는 원리금 연체·기한이익상실, 어음·수표 지급거절, 회생절차·채권은행 관리절차 개시신청, 감사의견 비적정·계속기업 불확실성 기재로 한다. OpenDART 주요사항보고서 API·감사보고서·공시 원문으로 최초 발생일·접수번호를 대조하고 사건 유형별 심각도를 함께 기록한다. 관리종목 지정·상장폐지 등 상환·연체와의 관련이 확인되지 않는 사건은 라벨에 넣지 않는다.</w:t>
      </w:r>
    </w:p>
    <w:p>
      <w:pPr>
        <w:spacing w:after="120"/>
      </w:pPr>
      <w:r>
        <w:t>범위: 필수 · 확인할 사항: N-U01: 사건 유형·심각도·원천 제공 범위·공개/발생 시점·추적 종료 기준 미정.</w:t>
      </w:r>
    </w:p>
    <w:p>
      <w:pPr>
        <w:pStyle w:val="Heading2"/>
        <w:spacing w:after="120"/>
      </w:pPr>
      <w:r>
        <w:t>N-R18 라벨과 추적 기간</w:t>
      </w:r>
    </w:p>
    <w:p>
      <w:pPr>
        <w:spacing w:after="120"/>
      </w:pPr>
      <w:r>
        <w:t>과거 공시별 향후 12개월을 추적. 전체 관찰 기간을 확인한 표본만 비발생 라벨로 사용. 조회 결과 없음·관측 종료·추적 중단을 정상으로 단정하지 않는다.</w:t>
      </w:r>
    </w:p>
    <w:p>
      <w:pPr>
        <w:spacing w:after="120"/>
      </w:pPr>
      <w:r>
        <w:t>범위: 필수 · 확인할 사항: N-U01: 사건 유형·심각도·원천 제공 범위·공개/발생 시점·추적 종료 기준 미정.</w:t>
      </w:r>
    </w:p>
    <w:p>
      <w:pPr>
        <w:pStyle w:val="Heading2"/>
        <w:spacing w:after="120"/>
      </w:pPr>
      <w:r>
        <w:t>N-R19 재무·주석 특징 결합</w:t>
      </w:r>
    </w:p>
    <w:p>
      <w:pPr>
        <w:spacing w:after="120"/>
      </w:pPr>
      <w:r>
        <w:t>영업이익률·부채/자산·유동비율·OCF/부채·변동과 정합성을 확인한 소송/보증/담보 특징을 결합. 금액/자산·전기 변화, 업종·규모·회계 기준, 결측 상태를 관리한다. 존재 자체를 부실로 간주하지 않는다. 후보 변수에 상환능력(차입금의존도, 단기차입 비중, 이자보상비율, 현금보상비율)과 운전자본(현금전환주기 변화)을 추가한다. 업종은 구분값으로 넣고, 업종마다 의미가 다른 변수는 업종 내 상대값 사용을 검토한다. 계정 확보율이 낮은 변수는 제외한다. 업종별 주석 추출 항목(PF 보증 만기 구간·조건부 의무 유형, 1년 내 만기 차입 비중, 리스부채, 담보제공 비율, 기한이익상실 조항, 감사의견·신용등급 변화)을 후보 변수에 추가한다. 활동성·성장성·현금흐름 지표(회수기간·회전기간·순운전자본회전율·매출 증가 대비 채권/재고 증가 차이·FCF/차입금·ROIC)와 개별/복합 위험 플래그를 후보 특징으로 연결한다. 모델 제공 조건과 내부 품질 관리는 별도 문서에서 관리한다.</w:t>
      </w:r>
    </w:p>
    <w:p>
      <w:pPr>
        <w:spacing w:after="120"/>
      </w:pPr>
      <w:r>
        <w:t>범위: 필수 · 확인할 사항: N-U05: 모델 후보·결측 처리·서비스 제공/보류 조건 미정.</w:t>
      </w:r>
    </w:p>
    <w:p>
      <w:pPr>
        <w:pStyle w:val="Heading2"/>
        <w:spacing w:after="120"/>
      </w:pPr>
      <w:r>
        <w:t>N-R23 예측 결과와 근거 표시</w:t>
      </w:r>
    </w:p>
    <w:p>
      <w:pPr>
        <w:spacing w:after="120"/>
      </w:pPr>
      <w:r>
        <w:t>추정 확률·12개월 기간·기준일·모델 버전·주요 지표·주석 근거·추가 확인을 표시한다. 사용할 수 없는 모델이나 자료 부족은 제공 보류로 표시한다. 임의 확률을 실측 결과처럼 표시하지 않으며 변수 영향은 인과관계가 아니다.</w:t>
      </w:r>
    </w:p>
    <w:p>
      <w:pPr>
        <w:spacing w:after="120"/>
      </w:pPr>
      <w:r>
        <w:t>범위: 필수 · 확인할 사항: N-U05: 모델 후보·결측 처리·서비스 제공/보류 조건 미정.</w:t>
      </w:r>
    </w:p>
    <w:p>
      <w:pPr>
        <w:pStyle w:val="Heading2"/>
        <w:spacing w:after="120"/>
      </w:pPr>
      <w:r>
        <w:t>N-R24 규칙 기반 추가 확인</w:t>
      </w:r>
    </w:p>
    <w:p>
      <w:pPr>
        <w:spacing w:after="120"/>
      </w:pPr>
      <w:r>
        <w:t>확인 규칙을 공통 절대 기준(자본잠식, 영업CF 유출 등)과 업종 기준으로 나눈다. 업종 기준은 건설·부동산 임대별로 맞지 않는 공통 기준의 상태를 낮추고 업종 지표로 대체한다(예: 부동산 임대의 부채비율 → 차입금÷투자부동산, 이자보상배율 → EBITDA 이자보상배율). 낮춘 항목은 숨기지 않고 '[업종 기준]'과 이유를 표시한다. 모든 규칙은 ID·수치·근거·버전을 갖고, 임시 팀 기준임을 표시하며 은행 공식 기준으로 제시하지 않는다. 자동 판정 결과는 경고·주의·관찰 징후 단계(N-R39)와 규칙 ID로 연결한다.</w:t>
      </w:r>
    </w:p>
    <w:p>
      <w:pPr>
        <w:spacing w:after="120"/>
      </w:pPr>
      <w:r>
        <w:t>범위: 필수 · 확인할 사항: N-U06·N-U12: 규칙 수치(30%·50%·1.5배·70%, 현금전환주기 +30일 등) 근거·검토 미정</w:t>
      </w:r>
    </w:p>
    <w:p>
      <w:pPr>
        <w:pStyle w:val="Heading2"/>
        <w:spacing w:after="120"/>
      </w:pPr>
      <w:r>
        <w:t>N-R25 항목 확인 상태</w:t>
      </w:r>
    </w:p>
    <w:p>
      <w:pPr>
        <w:spacing w:after="120"/>
      </w:pPr>
      <w:r>
        <w:t>항목별 미확인/확인 완료를 관리하고 미확인만 모은다. 시스템이 제안한 추가 확인과 담당자가 완료한 확인을 구분한다.</w:t>
      </w:r>
    </w:p>
    <w:p>
      <w:pPr>
        <w:spacing w:after="120"/>
      </w:pPr>
      <w:r>
        <w:t>범위: 필수 · 확인할 사항: N-U08: 사용자 구분·저장·기간별 이력 미정</w:t>
      </w:r>
    </w:p>
    <w:p>
      <w:pPr>
        <w:pStyle w:val="Heading2"/>
        <w:spacing w:after="120"/>
      </w:pPr>
      <w:r>
        <w:t>N-R26 수정·복사 가능한 메모</w:t>
      </w:r>
    </w:p>
    <w:p>
      <w:pPr>
        <w:spacing w:after="120"/>
      </w:pPr>
      <w:r>
        <w:t>핵심 수치·실적 변동·주석·예측·추가 확인을 검토 기록 초안으로 생성하고 담당자가 수정·복사한다. 실제 심사 판단은 담당자가 내부 자료와 함께 수행한다. 메모에 적용한 업종 기준과 규칙 버전을 함께 기록한다. 업종별 징후 단계와 주석 추출 근거(접수번호·원문 위치)를 메모에 포함한다.</w:t>
      </w:r>
    </w:p>
    <w:p>
      <w:pPr>
        <w:spacing w:after="120"/>
      </w:pPr>
      <w:r>
        <w:t>범위: 필수 · 확인할 사항: N-U08: 저장·편집/재생성 충돌 정책 미정</w:t>
      </w:r>
    </w:p>
    <w:p>
      <w:pPr>
        <w:pStyle w:val="Heading2"/>
        <w:spacing w:after="120"/>
      </w:pPr>
      <w:r>
        <w:t>N-R27 출처·상태·한계 표시</w:t>
      </w:r>
    </w:p>
    <w:p>
      <w:pPr>
        <w:spacing w:after="120"/>
      </w:pPr>
      <w:r>
        <w:t>출처·기준일·OFS/CFS·비교 범위·계산/추출 상태·모델 제공 가능/보류 상태를 표시한다. 규칙 기준의 출처(팀 가설/공식 통계/현직자 의견)를 구분하며 미확보를 정상이나 0으로 대체하지 않는다.</w:t>
      </w:r>
    </w:p>
    <w:p>
      <w:pPr>
        <w:spacing w:after="120"/>
      </w:pPr>
      <w:r>
        <w:t>범위: 필수 · 확인할 사항: 공통 오류·모델 보류 문구 미정</w:t>
      </w:r>
    </w:p>
    <w:p>
      <w:pPr>
        <w:pStyle w:val="Heading2"/>
        <w:spacing w:after="120"/>
      </w:pPr>
      <w:r>
        <w:t>N-R30 재현성과 서비스 운영</w:t>
      </w:r>
    </w:p>
    <w:p>
      <w:pPr>
        <w:spacing w:after="120"/>
      </w:pPr>
      <w:r>
        <w:t>API 키 서버 관리·접근 제어·요청 제한·캐시 적용 계획. 의존성/모델 버전·실행·비용·오류 로그 기록. Render는 검토 대상이며 실제 배포 상태 별도 확인.</w:t>
      </w:r>
    </w:p>
    <w:p>
      <w:pPr>
        <w:spacing w:after="120"/>
      </w:pPr>
      <w:r>
        <w:t>범위: 필수 · 확인할 사항: N-U08: 인증·권한·한도·배포 미정</w:t>
      </w:r>
    </w:p>
    <w:p>
      <w:pPr>
        <w:pStyle w:val="Heading2"/>
        <w:spacing w:after="120"/>
      </w:pPr>
      <w:r>
        <w:t>N-R31 향후 확대 범위</w:t>
      </w:r>
    </w:p>
    <w:p>
      <w:pPr>
        <w:spacing w:after="120"/>
      </w:pPr>
      <w:r>
        <w:t>업종·비상장/스타트업 확대, 산업은행 재무분석 등 추가 산업통계, PDF 출력, 지점 운영은 조건 확인 후 확장한다. 한국은행 기업경영분석 업종 평균의 참고 표시는 N-R10으로 옮긴다. 현재 필수 구현으로 간주하지 않는다.</w:t>
      </w:r>
    </w:p>
    <w:p>
      <w:pPr>
        <w:spacing w:after="120"/>
      </w:pPr>
      <w:r>
        <w:t>범위: 확장 · 확인할 사항: N-U10: 채택 조건·일정 미정</w:t>
      </w:r>
    </w:p>
    <w:p>
      <w:pPr>
        <w:pStyle w:val="Heading2"/>
        <w:spacing w:after="120"/>
      </w:pPr>
      <w:r>
        <w:t>N-R32 업종 판정·매핑</w:t>
      </w:r>
    </w:p>
    <w:p>
      <w:pPr>
        <w:spacing w:after="120"/>
      </w:pPr>
      <w:r>
        <w:t>OpenDART 기업개황 업종코드를 업종 매핑표(DART 기준)로 서비스 업종·세부분류·처리(대상/별도/제외)·적용 기준에 연결하고, 코드사전으로 업종명을 표시한다. 가장 긴 접두 코드로 판정하며 미분류는 그대로 표시한다. 겸업 회사는 사업보고서 부문별 매출로 '복합'을 표시하고, 수동 변경은 근거와 함께 기록한다.</w:t>
      </w:r>
    </w:p>
    <w:p>
      <w:pPr>
        <w:spacing w:after="120"/>
      </w:pPr>
      <w:r>
        <w:t>범위: 필수 · 확인할 사항: N-U15: 복합 판정 비중·수동 변경 권한 미정</w:t>
      </w:r>
    </w:p>
    <w:p>
      <w:pPr>
        <w:pStyle w:val="Heading2"/>
        <w:spacing w:after="120"/>
      </w:pPr>
      <w:r>
        <w:t>N-R33 재무비율 산식 사전</w:t>
      </w:r>
    </w:p>
    <w:p>
      <w:pPr>
        <w:spacing w:after="120"/>
      </w:pPr>
      <w:r>
        <w:t>유동성·레버리지·활동성·수익성·성장성·현금흐름 비율의 산식, 분자/분모 계정, 단위, 표시 형식, 기말/연평균 기준을 한 곳에서 정의하고 화면·메모·모델이 같은 정의를 쓴다. 이자보상비율처럼 근사 계정(금융원가 등)을 쓰면 근사임을 표시한다. 기획안 v2.1의 11개 보완 산식과 기존 비율 정의를 하나의 사전에서 관리한다. 산식이 없는 정상영업현금흐름은 표준 지표로 확정하지 않는다. 증가율은 전기 값이 0/음수이면 상태와 금액 차이를 우선 표시한다.</w:t>
      </w:r>
    </w:p>
    <w:p>
      <w:pPr>
        <w:spacing w:after="120"/>
      </w:pPr>
      <w:r>
        <w:t>범위: 필수 · 확인할 사항: N-U11: 연평균/기말 기준, N-U13: 이자비용 대체 기준 미정</w:t>
      </w:r>
    </w:p>
    <w:p>
      <w:pPr>
        <w:pStyle w:val="Heading2"/>
        <w:spacing w:after="120"/>
      </w:pPr>
      <w:r>
        <w:t>N-R34 차입금·상환능력 분석</w:t>
      </w:r>
    </w:p>
    <w:p>
      <w:pPr>
        <w:spacing w:after="120"/>
      </w:pPr>
      <w:r>
        <w:t>총차입금(단기차입금·유동성장기부채·장기차입금·사채)과 차입금의존도, 단기차입 비중, 이자보상비율, EBITDA 이자보상배율, 현금보상비율, 금융비용부담률을 계산한다. 부동산·임대는 임대보증금을 반환 의무가 있는 부채로 별도 표시한다. 리스부채 포함 여부를 표시한다.</w:t>
      </w:r>
    </w:p>
    <w:p>
      <w:pPr>
        <w:spacing w:after="120"/>
      </w:pPr>
      <w:r>
        <w:t>범위: 필수 · 확인할 사항: N-U13·N-U14: 이자비용·임대보증금 처리 미정</w:t>
      </w:r>
    </w:p>
    <w:p>
      <w:pPr>
        <w:pStyle w:val="Heading2"/>
        <w:spacing w:after="120"/>
      </w:pPr>
      <w:r>
        <w:t>N-R35 영업순환·운전자본 분석</w:t>
      </w:r>
    </w:p>
    <w:p>
      <w:pPr>
        <w:spacing w:after="120"/>
      </w:pPr>
      <w:r>
        <w:t>업종별 영업순환 단계에 맞춰 재고·매출채권·매입채무 회전일수와 현금전환주기를 계산하고 전기 대비 변화를 표시한다. 건설은 계약자산(미청구공사)·계약부채(선수금) 증감을 함께 본다. 매출원가가 없으면 계산 불가 사유를 표시한다.</w:t>
      </w:r>
    </w:p>
    <w:p>
      <w:pPr>
        <w:spacing w:after="120"/>
      </w:pPr>
      <w:r>
        <w:t>범위: 필수 · 확인할 사항: N-U11: 회전일수 기준, N-U12: 변화 기준치 미정</w:t>
      </w:r>
    </w:p>
    <w:p>
      <w:pPr>
        <w:pStyle w:val="Heading2"/>
        <w:spacing w:after="120"/>
      </w:pPr>
      <w:r>
        <w:t>N-R36 재무적 부실징후 점검표</w:t>
      </w:r>
    </w:p>
    <w:p>
      <w:pPr>
        <w:spacing w:after="120"/>
      </w:pPr>
      <w:r>
        <w:t>기획안 v2.1의 23개 RISK 항목을 위험 영역별 초기 탐지 후보로 관리한다. 자동 계산/주석 확인/외부 확인을 구분하고 값·추세·근거·추가 확인을 연결한다. 초기 임계값은 업종·사업모델에 따라 조정이 필요한 후보이며 공식 은행 기준으로 제시하지 않는다.</w:t>
      </w:r>
    </w:p>
    <w:p>
      <w:pPr>
        <w:spacing w:after="120"/>
      </w:pPr>
      <w:r>
        <w:t>범위: 필수 · 확인할 사항: N-U12/N-U17: 23개 RISK 후보의 업종·기간·임계값 적용 기준 미정.</w:t>
      </w:r>
    </w:p>
    <w:p>
      <w:pPr>
        <w:pStyle w:val="Heading2"/>
        <w:spacing w:after="120"/>
      </w:pPr>
      <w:r>
        <w:t>N-R38 업종별 상환·연체 위험징후 지표</w:t>
      </w:r>
    </w:p>
    <w:p>
      <w:pPr>
        <w:spacing w:after="120"/>
      </w:pPr>
      <w:r>
        <w:t>기획안 v2.1 판단 관점 10개(상환재원·유동성/만기·재무구조·우발/부외·외부평가·담보/회수·수익성/원가·운전자본/활동성·성장의 질·투자/자본효율)를 공시 지표와 주석 근거에 연결한다. 업종별 핵심·보조·왜곡 지표를 구분하고 담당자 확인 순서를 지원한다. 공식 건전성 분류나 내부 등급을 산출하지 않는다.</w:t>
      </w:r>
    </w:p>
    <w:p>
      <w:pPr>
        <w:spacing w:after="120"/>
      </w:pPr>
      <w:r>
        <w:t>범위: 필수 · 확인할 사항: N-U12·N-U17: 지표별 기준값·현직자 확인 미정. N-R07 업종별 강조 지표와 중복 정리 필요</w:t>
      </w:r>
    </w:p>
    <w:p>
      <w:pPr>
        <w:pStyle w:val="Heading2"/>
        <w:spacing w:after="120"/>
      </w:pPr>
      <w:r>
        <w:t>N-R39 징후 단계 판정과 표시</w:t>
      </w:r>
    </w:p>
    <w:p>
      <w:pPr>
        <w:spacing w:after="120"/>
      </w:pPr>
      <w:r>
        <w:t>업종별 지표와 주석 추출 결과로 경고·주의·관찰 3단계를 판정한다. 경고 예: 감사의견 비적정·계속기업 불확실성, 완전자본잠식, 어음·수표 지급거절·회생절차 개시신청 공시, 기한이익상실 사유 발생, 이자보상비율 1배 미만 3년 연속. 주의 예: 부분자본잠식, 당기 이자보상비율 1배 미만, 흑자인데 영업CF 2년 연속 음수, 1년 내 만기 차입금 &gt; 현금성자산+영업CF, 신용등급 하향·부정적 전망, 제공 보증·조건부 의무의 자기자본 대비 급증. 관찰: 업종 중앙값 대비 열위·악화 추세. 경고는 상단 고정·원문 확인 필수, 주의는 확인 항목에 추가한다. 단계는 담당자 확인 순서용이며 건전성 분류·내부 등급을 대신하지 않고, 수치는 팀 가설로 표시한다. 개별 지표의 경고와 여러 영역이 동시에 악화된 복합 경고를 분리하여 표시한다. 복합 위험 7유형의 조건 조합·판단 근거·담당자 질문을 제공하며 단일 신호와 중복 집계하지 않는다.</w:t>
      </w:r>
    </w:p>
    <w:p>
      <w:pPr>
        <w:spacing w:after="120"/>
      </w:pPr>
      <w:r>
        <w:t>범위: 필수 · 확인할 사항: N-U17: 조건 수치·기간·현직자 검토 미정</w:t>
      </w:r>
    </w:p>
    <w:p>
      <w:pPr>
        <w:pStyle w:val="Heading2"/>
        <w:spacing w:after="120"/>
      </w:pPr>
      <w:r>
        <w:t>N-R40 업종별 위험징후 패널·시각화</w:t>
      </w:r>
    </w:p>
    <w:p>
      <w:pPr>
        <w:spacing w:after="120"/>
      </w:pPr>
      <w:r>
        <w:t>주석 확인 사항 단계에 패널을 둔다. 상단: 징후 요약 카드(단계별 건수, 색과 텍스트 병기), 핵심 지표 타일(당기·전기 대비·업종 중앙값), 5개년 스파크라인, 업종 내 위치 점 플롯(표본 부족 시 '비교 보류'). 업종별 차트: 제조(현금전환주기 분해 누적 막대, 매출·재고·매출채권 증가율 막대, 영업이익·영업CF·CAPEX 막대), 도소매(매출총이익률 라인, 매입채무·재고일수 라인, 리스 포함/제외 부채비율), 건설(PF 보증 만기 사다리, 계약자산 vs 매출 증가율, 우발채무÷자기자본 불릿, 원가율 추세), 부동산·임대(차입금 만기 사다리+금리, EBITDA 이자보상배율 1.0배 기준선, LTV 불릿, 임대율). 주석 근거 카드·보증 제공/수취 분리 표·만기 타임라인을 연결한다. 게이지·레이더는 쓰지 않고 결측은 '자료 없음' 회색으로 표시한다. 재무위험 이벤트 타임라인과 연도×위험영역 RISK 발생 매트릭스로 지속·동시 발생을 표시한다. 기존 화면 N-S04 안에서 제공하며 데이터가 없는 기간을 정상으로 칠하지 않는다.</w:t>
      </w:r>
    </w:p>
    <w:p>
      <w:pPr>
        <w:spacing w:after="120"/>
      </w:pPr>
      <w:r>
        <w:t>범위: 필수 · 확인할 사항: N-U20: 업종 내 위치 최소 표본·차트 구현 범위 미정 P1은 기본 패널·추세·타임라인·매트릭스, P2는 PF 만기·공사별 미분양 등 자료 확보가 필요한 상세 차트다.</w:t>
      </w:r>
    </w:p>
    <w:p>
      <w:pPr>
        <w:pStyle w:val="Heading2"/>
        <w:spacing w:after="120"/>
      </w:pPr>
      <w:r>
        <w:t>N-R41 공통 주석 자동 추출 기준</w:t>
      </w:r>
    </w:p>
    <w:p>
      <w:pPr>
        <w:spacing w:after="120"/>
      </w:pPr>
      <w:r>
        <w:t>모든 업종에서 6개 항목을 추출한다. ① 감사의견·계속기업(감사의견, 의견변형, 계속기업, 중요한 불확실성, 강조사항, 핵심감사사항 / V.1·감사보고서) ② 차입 만기·재무약정(차입금, 사채, 만기, 상환계획, 유동성장기, 기한이익상실, 재무약정, 위반, 차환 / IV.4·차입금 주석) ③ 신용등급(신용등급, 등급전망, 하향 / I.1) ④ 담보 제공(담보로 제공, 담보제공자산, 근저당, 질권, 채권최고액, 견질) ⑤ 소송·제재(소송, 피소, 제소, 계류, 중재, 제재, 과징금, 영업정지 / XI.2·XI.3) ⑥ 부외거래·후속사건(부외거래, 작성기준일 이후, 보고기간후사건 / IV.5·XI.4). 해당 제목부터 다음 주석 번호·소제목 전까지를 범위로 하고, '다른 장 참조' 문장은 참조 위치에서 다시 추출한다. 매출채권 연체/연령분석·재고평가손실·리스부채 만기·주요 자산 취득/처분·관계자 대여금/가지급금 원문을 관련 위험징후에 연결한다.</w:t>
      </w:r>
    </w:p>
    <w:p>
      <w:pPr>
        <w:spacing w:after="120"/>
      </w:pPr>
      <w:r>
        <w:t>범위: 필수 · 확인할 사항: N-U18: 검색어 사전 버전 관리·표/본문 우선순위 미정</w:t>
      </w:r>
    </w:p>
    <w:p>
      <w:pPr>
        <w:pStyle w:val="Heading2"/>
        <w:spacing w:after="120"/>
      </w:pPr>
      <w:r>
        <w:t>N-R42 업종별 주석 자동 추출 기준</w:t>
      </w:r>
    </w:p>
    <w:p>
      <w:pPr>
        <w:spacing w:after="120"/>
      </w:pPr>
      <w:r>
        <w:t>업종별 추가 검색어를 둔다. 제조: 재고자산 평가손실, 순실현가능가치, 손실충당금, 연령분석, 유형자산 손상, 개발비, 공급자금융약정, 가동률, 설비투자. 도소매: 리스부채, 사용권자산, 리스부채 만기, 공급자금융, 주요 매입처, 점포·폐점. 건설: PF, 신용보강, 책임준공, 채무인수, 자금보충, 연대보증, 매입약정·매입확약, 중도금, 기한이익상실, 계약자산·미청구공사, 추정총계약원가, 손실부담계약, 수주잔고, 분양률·미분양. 부동산 임대: 우발부채·우발채무·우발사항·우발상황·약정사항·주요 약정·담보·보증·소송, 차입금 만기·이자율·LTV·차환, 근저당·채권최고액, 투자부동산·공정가치·원가모형, 임대율·공실·책임임대차·주요 임차인·임대보증금. 건설 PF는 보증한도·보증금액·대출잔액과 만기 구간을 구분하고 총괄표·하위 표 중복 합산을 막는다. 제조는 채권 연령/손실충당금·재고평가·CAPEX/유휴설비, 도소매는 원가/판관비·매입조건·점포/리스, 건설은 계약자산·원가변경·PF와 자체차입 만기·분양, 부동산 임대는 고정/변동금리·임대율/공실·임차인 집중·담보·처분과 상환을 연결한다. 원인 후보를 사실로 확정하지 않는다.</w:t>
      </w:r>
    </w:p>
    <w:p>
      <w:pPr>
        <w:spacing w:after="120"/>
      </w:pPr>
      <w:r>
        <w:t>범위: 필수 · 확인할 사항: N-U18: 업종별 검색어 확정 미정</w:t>
      </w:r>
    </w:p>
    <w:p>
      <w:pPr>
        <w:pStyle w:val="Heading2"/>
        <w:spacing w:after="120"/>
      </w:pPr>
      <w:r>
        <w:t>N-R43 추출 결과 저장과 검출 상태</w:t>
      </w:r>
    </w:p>
    <w:p>
      <w:pPr>
        <w:spacing w:after="120"/>
      </w:pPr>
      <w:r>
        <w:t>회사, 접수번호(rcpNo), 보고서·기준일, 목차 위치, 주석 번호·제목, 항목 유형, 방향(제공/수취·원고/피고), 시점(당기/전기), 금액·통화·단위, 한도/실행잔액, 만기, 상대방(특수관계자 여부), 상태(계류/종결), 원문 문장, 추출 방식(표/본문), 검출 상태(검출·공시상 없음·미검출·추출 실패)를 저장한다. 미검출을 '없음'으로, 일반 담보·차입약정을 우발부채로 자동 확정하지 않는다.</w:t>
      </w:r>
    </w:p>
    <w:p>
      <w:pPr>
        <w:spacing w:after="120"/>
      </w:pPr>
      <w:r>
        <w:t>범위: 필수 · 확인할 사항: N-U04·N-U18: 코드값·저장 형식 미정</w:t>
      </w:r>
    </w:p>
    <w:p>
      <w:pPr>
        <w:pStyle w:val="Heading2"/>
        <w:spacing w:after="120"/>
      </w:pPr>
      <w:r>
        <w:t>N-R44 복합 위험징후와 주석 자동 연결</w:t>
      </w:r>
    </w:p>
    <w:p>
      <w:pPr>
        <w:spacing w:after="120"/>
      </w:pPr>
      <w:r>
        <w:t>정량 위험징후→관련 주석 탐색→원인 후보→원문 근거→담당자 확인 질문·자료 요청을 연결한다. 코드가 수치/비율을 계산하고 AI는 원문 분류·요약·설명 후보를 생성한다. 원인 후보를 인과 사실로 확정하지 않는다.</w:t>
      </w:r>
    </w:p>
    <w:p>
      <w:pPr>
        <w:spacing w:after="120"/>
      </w:pPr>
      <w:r>
        <w:t>범위: 필수 · 확인할 사항: 조건 조합·우선순위·미확보 처리 세부 합의 필요</w:t>
      </w:r>
    </w:p>
    <w:p>
      <w:pPr>
        <w:pStyle w:val="Heading1"/>
        <w:spacing w:after="120"/>
      </w:pPr>
      <w:r>
        <w:t>5 기획안 v2.1 상세 기준</w:t>
      </w:r>
    </w:p>
    <w:p>
      <w:pPr>
        <w:spacing w:after="120"/>
      </w:pPr>
      <w:r>
        <w:t>아래 산식·탐지 후보·복합 위험 정의는 v2.1 보완안의 내용이다. 수치는 초기 후보이며 업종별 공식 기준이나 확인된 예측 성능으로 제시하지 않는다.</w:t>
      </w:r>
    </w:p>
    <w:p>
      <w:pPr>
        <w:pStyle w:val="Heading2"/>
        <w:spacing w:after="120"/>
      </w:pPr>
      <w:r>
        <w:t>판단 관점과 공시 근거</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268"/>
            <w:shd w:fill="44546A"/>
          </w:tcPr>
          <w:p>
            <w:pPr>
              <w:keepNext w:val="0"/>
              <w:spacing w:after="60"/>
            </w:pPr>
            <w:r>
              <w:rPr>
                <w:rFonts w:ascii="맑은 고딕" w:hAnsi="맑은 고딕"/>
                <w:color w:val="FFFFFF"/>
                <w:sz w:val="20"/>
              </w:rPr>
              <w:t>판단 관점</w:t>
            </w:r>
          </w:p>
        </w:tc>
        <w:tc>
          <w:tcPr>
            <w:tcW w:type="dxa" w:w="2268"/>
            <w:shd w:fill="44546A"/>
          </w:tcPr>
          <w:p>
            <w:pPr>
              <w:keepNext w:val="0"/>
              <w:spacing w:after="60"/>
            </w:pPr>
            <w:r>
              <w:rPr>
                <w:rFonts w:ascii="맑은 고딕" w:hAnsi="맑은 고딕"/>
                <w:color w:val="FFFFFF"/>
                <w:sz w:val="20"/>
              </w:rPr>
              <w:t>공시 기반 지표</w:t>
            </w:r>
          </w:p>
        </w:tc>
        <w:tc>
          <w:tcPr>
            <w:tcW w:type="dxa" w:w="2268"/>
            <w:shd w:fill="44546A"/>
          </w:tcPr>
          <w:p>
            <w:pPr>
              <w:keepNext w:val="0"/>
              <w:spacing w:after="60"/>
            </w:pPr>
            <w:r>
              <w:rPr>
                <w:rFonts w:ascii="맑은 고딕" w:hAnsi="맑은 고딕"/>
                <w:color w:val="FFFFFF"/>
                <w:sz w:val="20"/>
              </w:rPr>
              <w:t>주석·원문 근거</w:t>
            </w:r>
          </w:p>
        </w:tc>
        <w:tc>
          <w:tcPr>
            <w:tcW w:type="dxa" w:w="2268"/>
            <w:shd w:fill="44546A"/>
          </w:tcPr>
          <w:p>
            <w:pPr>
              <w:keepNext w:val="0"/>
              <w:spacing w:after="60"/>
            </w:pPr>
            <w:r>
              <w:rPr>
                <w:rFonts w:ascii="맑은 고딕" w:hAnsi="맑은 고딕"/>
                <w:color w:val="FFFFFF"/>
                <w:sz w:val="20"/>
              </w:rPr>
              <w:t>은행 판단과의 연결</w:t>
            </w:r>
          </w:p>
        </w:tc>
      </w:tr>
      <w:tr>
        <w:trPr>
          <w:cantSplit/>
        </w:trPr>
        <w:tc>
          <w:tcPr>
            <w:tcW w:type="dxa" w:w="2268"/>
            <w:shd w:fill="FFFFFF"/>
          </w:tcPr>
          <w:p>
            <w:pPr>
              <w:keepNext w:val="0"/>
              <w:spacing w:after="60"/>
            </w:pPr>
            <w:r>
              <w:rPr>
                <w:rFonts w:ascii="맑은 고딕" w:hAnsi="맑은 고딕"/>
                <w:color w:val="000000"/>
                <w:sz w:val="20"/>
              </w:rPr>
              <w:t>상환재원</w:t>
            </w:r>
          </w:p>
        </w:tc>
        <w:tc>
          <w:tcPr>
            <w:tcW w:type="dxa" w:w="2268"/>
            <w:shd w:fill="FFFFFF"/>
          </w:tcPr>
          <w:p>
            <w:pPr>
              <w:keepNext w:val="0"/>
              <w:spacing w:after="60"/>
            </w:pPr>
            <w:r>
              <w:rPr>
                <w:rFonts w:ascii="맑은 고딕" w:hAnsi="맑은 고딕"/>
                <w:color w:val="000000"/>
                <w:sz w:val="20"/>
              </w:rPr>
              <w:t>영업CF÷영업이익, 이자보상비율(영업이익·EBITDA 병행), 현금보상비율, FCF÷차입금, 영업CF÷차입금</w:t>
            </w:r>
          </w:p>
        </w:tc>
        <w:tc>
          <w:tcPr>
            <w:tcW w:type="dxa" w:w="2268"/>
            <w:shd w:fill="FFFFFF"/>
          </w:tcPr>
          <w:p>
            <w:pPr>
              <w:keepNext w:val="0"/>
              <w:spacing w:after="60"/>
            </w:pPr>
            <w:r>
              <w:rPr>
                <w:rFonts w:ascii="맑은 고딕" w:hAnsi="맑은 고딕"/>
                <w:color w:val="000000"/>
                <w:sz w:val="20"/>
              </w:rPr>
              <w:t>현금흐름표, 감가상각 주석</w:t>
            </w:r>
          </w:p>
        </w:tc>
        <w:tc>
          <w:tcPr>
            <w:tcW w:type="dxa" w:w="2268"/>
            <w:shd w:fill="FFFFFF"/>
          </w:tcPr>
          <w:p>
            <w:pPr>
              <w:keepNext w:val="0"/>
              <w:spacing w:after="60"/>
            </w:pPr>
            <w:r>
              <w:rPr>
                <w:rFonts w:ascii="맑은 고딕" w:hAnsi="맑은 고딕"/>
                <w:color w:val="000000"/>
                <w:sz w:val="20"/>
              </w:rPr>
              <w:t>요주의 판단의 ‘향후 채무상환능력 저하 잠재요인’ 확인</w:t>
            </w:r>
          </w:p>
        </w:tc>
      </w:tr>
      <w:tr>
        <w:trPr>
          <w:cantSplit/>
        </w:trPr>
        <w:tc>
          <w:tcPr>
            <w:tcW w:type="dxa" w:w="2268"/>
            <w:shd w:fill="FFFFFF"/>
          </w:tcPr>
          <w:p>
            <w:pPr>
              <w:keepNext w:val="0"/>
              <w:spacing w:after="60"/>
            </w:pPr>
            <w:r>
              <w:rPr>
                <w:rFonts w:ascii="맑은 고딕" w:hAnsi="맑은 고딕"/>
                <w:color w:val="000000"/>
                <w:sz w:val="20"/>
              </w:rPr>
              <w:t>유동성·만기</w:t>
            </w:r>
          </w:p>
        </w:tc>
        <w:tc>
          <w:tcPr>
            <w:tcW w:type="dxa" w:w="2268"/>
            <w:shd w:fill="FFFFFF"/>
          </w:tcPr>
          <w:p>
            <w:pPr>
              <w:keepNext w:val="0"/>
              <w:spacing w:after="60"/>
            </w:pPr>
            <w:r>
              <w:rPr>
                <w:rFonts w:ascii="맑은 고딕" w:hAnsi="맑은 고딕"/>
                <w:color w:val="000000"/>
                <w:sz w:val="20"/>
              </w:rPr>
              <w:t>1년 내 만기 차입금÷(현금성자산+영업CF), 단기차입 비중, 영업CF 대 유동부채비율, 유동비율</w:t>
            </w:r>
          </w:p>
        </w:tc>
        <w:tc>
          <w:tcPr>
            <w:tcW w:type="dxa" w:w="2268"/>
            <w:shd w:fill="FFFFFF"/>
          </w:tcPr>
          <w:p>
            <w:pPr>
              <w:keepNext w:val="0"/>
              <w:spacing w:after="60"/>
            </w:pPr>
            <w:r>
              <w:rPr>
                <w:rFonts w:ascii="맑은 고딕" w:hAnsi="맑은 고딕"/>
                <w:color w:val="000000"/>
                <w:sz w:val="20"/>
              </w:rPr>
              <w:t>IV.4 유동성·자금조달, 차입금 만기표, 재무약정</w:t>
            </w:r>
          </w:p>
        </w:tc>
        <w:tc>
          <w:tcPr>
            <w:tcW w:type="dxa" w:w="2268"/>
            <w:shd w:fill="FFFFFF"/>
          </w:tcPr>
          <w:p>
            <w:pPr>
              <w:keepNext w:val="0"/>
              <w:spacing w:after="60"/>
            </w:pPr>
            <w:r>
              <w:rPr>
                <w:rFonts w:ascii="맑은 고딕" w:hAnsi="맑은 고딕"/>
                <w:color w:val="000000"/>
                <w:sz w:val="20"/>
              </w:rPr>
              <w:t>차환 의존·만기 집중에 따른 연체 전환 가능성</w:t>
            </w:r>
          </w:p>
        </w:tc>
      </w:tr>
      <w:tr>
        <w:trPr>
          <w:cantSplit/>
        </w:trPr>
        <w:tc>
          <w:tcPr>
            <w:tcW w:type="dxa" w:w="2268"/>
            <w:shd w:fill="FFFFFF"/>
          </w:tcPr>
          <w:p>
            <w:pPr>
              <w:keepNext w:val="0"/>
              <w:spacing w:after="60"/>
            </w:pPr>
            <w:r>
              <w:rPr>
                <w:rFonts w:ascii="맑은 고딕" w:hAnsi="맑은 고딕"/>
                <w:color w:val="000000"/>
                <w:sz w:val="20"/>
              </w:rPr>
              <w:t>재무구조</w:t>
            </w:r>
          </w:p>
        </w:tc>
        <w:tc>
          <w:tcPr>
            <w:tcW w:type="dxa" w:w="2268"/>
            <w:shd w:fill="FFFFFF"/>
          </w:tcPr>
          <w:p>
            <w:pPr>
              <w:keepNext w:val="0"/>
              <w:spacing w:after="60"/>
            </w:pPr>
            <w:r>
              <w:rPr>
                <w:rFonts w:ascii="맑은 고딕" w:hAnsi="맑은 고딕"/>
                <w:color w:val="000000"/>
                <w:sz w:val="20"/>
              </w:rPr>
              <w:t>자본잠식 여부, 차입금 의존도, 부채비율(업종별 보정치), 자기자본비율, 고정장기적합률</w:t>
            </w:r>
          </w:p>
        </w:tc>
        <w:tc>
          <w:tcPr>
            <w:tcW w:type="dxa" w:w="2268"/>
            <w:shd w:fill="FFFFFF"/>
          </w:tcPr>
          <w:p>
            <w:pPr>
              <w:keepNext w:val="0"/>
              <w:spacing w:after="60"/>
            </w:pPr>
            <w:r>
              <w:rPr>
                <w:rFonts w:ascii="맑은 고딕" w:hAnsi="맑은 고딕"/>
                <w:color w:val="000000"/>
                <w:sz w:val="20"/>
              </w:rPr>
              <w:t>재무상태표, 자본 변동</w:t>
            </w:r>
          </w:p>
        </w:tc>
        <w:tc>
          <w:tcPr>
            <w:tcW w:type="dxa" w:w="2268"/>
            <w:shd w:fill="FFFFFF"/>
          </w:tcPr>
          <w:p>
            <w:pPr>
              <w:keepNext w:val="0"/>
              <w:spacing w:after="60"/>
            </w:pPr>
            <w:r>
              <w:rPr>
                <w:rFonts w:ascii="맑은 고딕" w:hAnsi="맑은 고딕"/>
                <w:color w:val="000000"/>
                <w:sz w:val="20"/>
              </w:rPr>
              <w:t>업종과 무관한 심각 신호(자본잠식) 우선 표시 / 장기투자의 단기자금 의존 확인</w:t>
            </w:r>
          </w:p>
        </w:tc>
      </w:tr>
      <w:tr>
        <w:trPr>
          <w:cantSplit/>
        </w:trPr>
        <w:tc>
          <w:tcPr>
            <w:tcW w:type="dxa" w:w="2268"/>
            <w:shd w:fill="FFFFFF"/>
          </w:tcPr>
          <w:p>
            <w:pPr>
              <w:keepNext w:val="0"/>
              <w:spacing w:after="60"/>
            </w:pPr>
            <w:r>
              <w:rPr>
                <w:rFonts w:ascii="맑은 고딕" w:hAnsi="맑은 고딕"/>
                <w:color w:val="000000"/>
                <w:sz w:val="20"/>
              </w:rPr>
              <w:t>우발·부외 부담</w:t>
            </w:r>
          </w:p>
        </w:tc>
        <w:tc>
          <w:tcPr>
            <w:tcW w:type="dxa" w:w="2268"/>
            <w:shd w:fill="FFFFFF"/>
          </w:tcPr>
          <w:p>
            <w:pPr>
              <w:keepNext w:val="0"/>
              <w:spacing w:after="60"/>
            </w:pPr>
            <w:r>
              <w:rPr>
                <w:rFonts w:ascii="맑은 고딕" w:hAnsi="맑은 고딕"/>
                <w:color w:val="000000"/>
                <w:sz w:val="20"/>
              </w:rPr>
              <w:t>제공 보증·조건부 의무÷자기자본, 피소 금액÷자기자본</w:t>
            </w:r>
          </w:p>
        </w:tc>
        <w:tc>
          <w:tcPr>
            <w:tcW w:type="dxa" w:w="2268"/>
            <w:shd w:fill="FFFFFF"/>
          </w:tcPr>
          <w:p>
            <w:pPr>
              <w:keepNext w:val="0"/>
              <w:spacing w:after="60"/>
            </w:pPr>
            <w:r>
              <w:rPr>
                <w:rFonts w:ascii="맑은 고딕" w:hAnsi="맑은 고딕"/>
                <w:color w:val="000000"/>
                <w:sz w:val="20"/>
              </w:rPr>
              <w:t>XI.2 우발부채, 우발부채·약정 주석, IV.5 부외거래</w:t>
            </w:r>
          </w:p>
        </w:tc>
        <w:tc>
          <w:tcPr>
            <w:tcW w:type="dxa" w:w="2268"/>
            <w:shd w:fill="FFFFFF"/>
          </w:tcPr>
          <w:p>
            <w:pPr>
              <w:keepNext w:val="0"/>
              <w:spacing w:after="60"/>
            </w:pPr>
            <w:r>
              <w:rPr>
                <w:rFonts w:ascii="맑은 고딕" w:hAnsi="맑은 고딕"/>
                <w:color w:val="000000"/>
                <w:sz w:val="20"/>
              </w:rPr>
              <w:t>재무제표 밖 상환 부담(PF 보증·책임준공 등)</w:t>
            </w:r>
          </w:p>
        </w:tc>
      </w:tr>
      <w:tr>
        <w:trPr>
          <w:cantSplit/>
        </w:trPr>
        <w:tc>
          <w:tcPr>
            <w:tcW w:type="dxa" w:w="2268"/>
            <w:shd w:fill="FFFFFF"/>
          </w:tcPr>
          <w:p>
            <w:pPr>
              <w:keepNext w:val="0"/>
              <w:spacing w:after="60"/>
            </w:pPr>
            <w:r>
              <w:rPr>
                <w:rFonts w:ascii="맑은 고딕" w:hAnsi="맑은 고딕"/>
                <w:color w:val="000000"/>
                <w:sz w:val="20"/>
              </w:rPr>
              <w:t>외부 평가</w:t>
            </w:r>
          </w:p>
        </w:tc>
        <w:tc>
          <w:tcPr>
            <w:tcW w:type="dxa" w:w="2268"/>
            <w:shd w:fill="FFFFFF"/>
          </w:tcPr>
          <w:p>
            <w:pPr>
              <w:keepNext w:val="0"/>
              <w:spacing w:after="60"/>
            </w:pPr>
            <w:r>
              <w:rPr>
                <w:rFonts w:ascii="맑은 고딕" w:hAnsi="맑은 고딕"/>
                <w:color w:val="000000"/>
                <w:sz w:val="20"/>
              </w:rPr>
              <w:t>감사의견, 계속기업 불확실성, 신용등급·전망 변화 (감사의견 변형과 적정의견에 별도 기재된 계속기업 관련 중요한 불확실성은 구분해 저장)</w:t>
            </w:r>
          </w:p>
        </w:tc>
        <w:tc>
          <w:tcPr>
            <w:tcW w:type="dxa" w:w="2268"/>
            <w:shd w:fill="FFFFFF"/>
          </w:tcPr>
          <w:p>
            <w:pPr>
              <w:keepNext w:val="0"/>
              <w:spacing w:after="60"/>
            </w:pPr>
            <w:r>
              <w:rPr>
                <w:rFonts w:ascii="맑은 고딕" w:hAnsi="맑은 고딕"/>
                <w:color w:val="000000"/>
                <w:sz w:val="20"/>
              </w:rPr>
              <w:t>V.1 외부감사, I.1 신용등급</w:t>
            </w:r>
          </w:p>
        </w:tc>
        <w:tc>
          <w:tcPr>
            <w:tcW w:type="dxa" w:w="2268"/>
            <w:shd w:fill="FFFFFF"/>
          </w:tcPr>
          <w:p>
            <w:pPr>
              <w:keepNext w:val="0"/>
              <w:spacing w:after="60"/>
            </w:pPr>
            <w:r>
              <w:rPr>
                <w:rFonts w:ascii="맑은 고딕" w:hAnsi="맑은 고딕"/>
                <w:color w:val="000000"/>
                <w:sz w:val="20"/>
              </w:rPr>
              <w:t>재무위험 우선 확인 신호 (공시상 재무 악화는 은행의 자산건전성 분류와 직접 대응하지 않음)</w:t>
            </w:r>
          </w:p>
        </w:tc>
      </w:tr>
      <w:tr>
        <w:trPr>
          <w:cantSplit/>
        </w:trPr>
        <w:tc>
          <w:tcPr>
            <w:tcW w:type="dxa" w:w="2268"/>
            <w:shd w:fill="FFFFFF"/>
          </w:tcPr>
          <w:p>
            <w:pPr>
              <w:keepNext w:val="0"/>
              <w:spacing w:after="60"/>
            </w:pPr>
            <w:r>
              <w:rPr>
                <w:rFonts w:ascii="맑은 고딕" w:hAnsi="맑은 고딕"/>
                <w:color w:val="000000"/>
                <w:sz w:val="20"/>
              </w:rPr>
              <w:t>담보·회수 여력</w:t>
            </w:r>
          </w:p>
        </w:tc>
        <w:tc>
          <w:tcPr>
            <w:tcW w:type="dxa" w:w="2268"/>
            <w:shd w:fill="FFFFFF"/>
          </w:tcPr>
          <w:p>
            <w:pPr>
              <w:keepNext w:val="0"/>
              <w:spacing w:after="60"/>
            </w:pPr>
            <w:r>
              <w:rPr>
                <w:rFonts w:ascii="맑은 고딕" w:hAnsi="맑은 고딕"/>
                <w:color w:val="000000"/>
                <w:sz w:val="20"/>
              </w:rPr>
              <w:t>차입금÷투자부동산(LTV 성격), 담보제공 자산 비중 ※ 투자부동산 장부금액은 시장가치·담보평가액과 다르므로 LTV 확정값이 아닌 참고용 대리지표</w:t>
            </w:r>
          </w:p>
        </w:tc>
        <w:tc>
          <w:tcPr>
            <w:tcW w:type="dxa" w:w="2268"/>
            <w:shd w:fill="FFFFFF"/>
          </w:tcPr>
          <w:p>
            <w:pPr>
              <w:keepNext w:val="0"/>
              <w:spacing w:after="60"/>
            </w:pPr>
            <w:r>
              <w:rPr>
                <w:rFonts w:ascii="맑은 고딕" w:hAnsi="맑은 고딕"/>
                <w:color w:val="000000"/>
                <w:sz w:val="20"/>
              </w:rPr>
              <w:t>담보제공자산 주석, 근저당·채권최고액</w:t>
            </w:r>
          </w:p>
        </w:tc>
        <w:tc>
          <w:tcPr>
            <w:tcW w:type="dxa" w:w="2268"/>
            <w:shd w:fill="FFFFFF"/>
          </w:tcPr>
          <w:p>
            <w:pPr>
              <w:keepNext w:val="0"/>
              <w:spacing w:after="60"/>
            </w:pPr>
            <w:r>
              <w:rPr>
                <w:rFonts w:ascii="맑은 고딕" w:hAnsi="맑은 고딕"/>
                <w:color w:val="000000"/>
                <w:sz w:val="20"/>
              </w:rPr>
              <w:t>회수 가능성(회수의문·추정손실 판단 요소) 보조 정보</w:t>
            </w:r>
          </w:p>
        </w:tc>
      </w:tr>
      <w:tr>
        <w:trPr>
          <w:cantSplit/>
        </w:trPr>
        <w:tc>
          <w:tcPr>
            <w:tcW w:type="dxa" w:w="2268"/>
            <w:shd w:fill="FFFFFF"/>
          </w:tcPr>
          <w:p>
            <w:pPr>
              <w:keepNext w:val="0"/>
              <w:spacing w:after="60"/>
            </w:pPr>
            <w:r>
              <w:rPr>
                <w:rFonts w:ascii="맑은 고딕" w:hAnsi="맑은 고딕"/>
                <w:color w:val="000000"/>
                <w:sz w:val="20"/>
              </w:rPr>
              <w:t>수익성·원가구조</w:t>
            </w:r>
          </w:p>
        </w:tc>
        <w:tc>
          <w:tcPr>
            <w:tcW w:type="dxa" w:w="2268"/>
            <w:shd w:fill="FFFFFF"/>
          </w:tcPr>
          <w:p>
            <w:pPr>
              <w:keepNext w:val="0"/>
              <w:spacing w:after="60"/>
            </w:pPr>
            <w:r>
              <w:rPr>
                <w:rFonts w:ascii="맑은 고딕" w:hAnsi="맑은 고딕"/>
                <w:color w:val="000000"/>
                <w:sz w:val="20"/>
              </w:rPr>
              <w:t>매출총이익률, 매출원가율, 판관비율, 영업이익률, EBITDA마진율</w:t>
            </w:r>
          </w:p>
        </w:tc>
        <w:tc>
          <w:tcPr>
            <w:tcW w:type="dxa" w:w="2268"/>
            <w:shd w:fill="FFFFFF"/>
          </w:tcPr>
          <w:p>
            <w:pPr>
              <w:keepNext w:val="0"/>
              <w:spacing w:after="60"/>
            </w:pPr>
            <w:r>
              <w:rPr>
                <w:rFonts w:ascii="맑은 고딕" w:hAnsi="맑은 고딕"/>
                <w:color w:val="000000"/>
                <w:sz w:val="20"/>
              </w:rPr>
              <w:t>손익계산서, 영업손실·손상 주석</w:t>
            </w:r>
          </w:p>
        </w:tc>
        <w:tc>
          <w:tcPr>
            <w:tcW w:type="dxa" w:w="2268"/>
            <w:shd w:fill="FFFFFF"/>
          </w:tcPr>
          <w:p>
            <w:pPr>
              <w:keepNext w:val="0"/>
              <w:spacing w:after="60"/>
            </w:pPr>
            <w:r>
              <w:rPr>
                <w:rFonts w:ascii="맑은 고딕" w:hAnsi="맑은 고딕"/>
                <w:color w:val="000000"/>
                <w:sz w:val="20"/>
              </w:rPr>
              <w:t>비용 증가·마진 축소·영업손실 지속에 따른 상환재원 약화</w:t>
            </w:r>
          </w:p>
        </w:tc>
      </w:tr>
      <w:tr>
        <w:trPr>
          <w:cantSplit/>
        </w:trPr>
        <w:tc>
          <w:tcPr>
            <w:tcW w:type="dxa" w:w="2268"/>
            <w:shd w:fill="FFFFFF"/>
          </w:tcPr>
          <w:p>
            <w:pPr>
              <w:keepNext w:val="0"/>
              <w:spacing w:after="60"/>
            </w:pPr>
            <w:r>
              <w:rPr>
                <w:rFonts w:ascii="맑은 고딕" w:hAnsi="맑은 고딕"/>
                <w:color w:val="000000"/>
                <w:sz w:val="20"/>
              </w:rPr>
              <w:t>운전자본·활동성</w:t>
            </w:r>
          </w:p>
        </w:tc>
        <w:tc>
          <w:tcPr>
            <w:tcW w:type="dxa" w:w="2268"/>
            <w:shd w:fill="FFFFFF"/>
          </w:tcPr>
          <w:p>
            <w:pPr>
              <w:keepNext w:val="0"/>
              <w:spacing w:after="60"/>
            </w:pPr>
            <w:r>
              <w:rPr>
                <w:rFonts w:ascii="맑은 고딕" w:hAnsi="맑은 고딕"/>
                <w:color w:val="000000"/>
                <w:sz w:val="20"/>
              </w:rPr>
              <w:t>매출채권·재고자산·매입채무·순운전자본회전율</w:t>
            </w:r>
          </w:p>
        </w:tc>
        <w:tc>
          <w:tcPr>
            <w:tcW w:type="dxa" w:w="2268"/>
            <w:shd w:fill="FFFFFF"/>
          </w:tcPr>
          <w:p>
            <w:pPr>
              <w:keepNext w:val="0"/>
              <w:spacing w:after="60"/>
            </w:pPr>
            <w:r>
              <w:rPr>
                <w:rFonts w:ascii="맑은 고딕" w:hAnsi="맑은 고딕"/>
                <w:color w:val="000000"/>
                <w:sz w:val="20"/>
              </w:rPr>
              <w:t>매출채권 연령분석, 재고자산 평가손실 주석</w:t>
            </w:r>
          </w:p>
        </w:tc>
        <w:tc>
          <w:tcPr>
            <w:tcW w:type="dxa" w:w="2268"/>
            <w:shd w:fill="FFFFFF"/>
          </w:tcPr>
          <w:p>
            <w:pPr>
              <w:keepNext w:val="0"/>
              <w:spacing w:after="60"/>
            </w:pPr>
            <w:r>
              <w:rPr>
                <w:rFonts w:ascii="맑은 고딕" w:hAnsi="맑은 고딕"/>
                <w:color w:val="000000"/>
                <w:sz w:val="20"/>
              </w:rPr>
              <w:t>매출채권 회수 지연·재고 누적에 따른 운전자본 고정화</w:t>
            </w:r>
          </w:p>
        </w:tc>
      </w:tr>
      <w:tr>
        <w:trPr>
          <w:cantSplit/>
        </w:trPr>
        <w:tc>
          <w:tcPr>
            <w:tcW w:type="dxa" w:w="2268"/>
            <w:shd w:fill="FFFFFF"/>
          </w:tcPr>
          <w:p>
            <w:pPr>
              <w:keepNext w:val="0"/>
              <w:spacing w:after="60"/>
            </w:pPr>
            <w:r>
              <w:rPr>
                <w:rFonts w:ascii="맑은 고딕" w:hAnsi="맑은 고딕"/>
                <w:color w:val="000000"/>
                <w:sz w:val="20"/>
              </w:rPr>
              <w:t>성장의 질</w:t>
            </w:r>
          </w:p>
        </w:tc>
        <w:tc>
          <w:tcPr>
            <w:tcW w:type="dxa" w:w="2268"/>
            <w:shd w:fill="FFFFFF"/>
          </w:tcPr>
          <w:p>
            <w:pPr>
              <w:keepNext w:val="0"/>
              <w:spacing w:after="60"/>
            </w:pPr>
            <w:r>
              <w:rPr>
                <w:rFonts w:ascii="맑은 고딕" w:hAnsi="맑은 고딕"/>
                <w:color w:val="000000"/>
                <w:sz w:val="20"/>
              </w:rPr>
              <w:t>매출액·영업이익·총자산·자기자본증가율</w:t>
            </w:r>
          </w:p>
        </w:tc>
        <w:tc>
          <w:tcPr>
            <w:tcW w:type="dxa" w:w="2268"/>
            <w:shd w:fill="FFFFFF"/>
          </w:tcPr>
          <w:p>
            <w:pPr>
              <w:keepNext w:val="0"/>
              <w:spacing w:after="60"/>
            </w:pPr>
            <w:r>
              <w:rPr>
                <w:rFonts w:ascii="맑은 고딕" w:hAnsi="맑은 고딕"/>
                <w:color w:val="000000"/>
                <w:sz w:val="20"/>
              </w:rPr>
              <w:t>최근 3~5개년 재무제표</w:t>
            </w:r>
          </w:p>
        </w:tc>
        <w:tc>
          <w:tcPr>
            <w:tcW w:type="dxa" w:w="2268"/>
            <w:shd w:fill="FFFFFF"/>
          </w:tcPr>
          <w:p>
            <w:pPr>
              <w:keepNext w:val="0"/>
              <w:spacing w:after="60"/>
            </w:pPr>
            <w:r>
              <w:rPr>
                <w:rFonts w:ascii="맑은 고딕" w:hAnsi="맑은 고딕"/>
                <w:color w:val="000000"/>
                <w:sz w:val="20"/>
              </w:rPr>
              <w:t>외형 성장과 수익성·현금흐름 간 불일치</w:t>
            </w:r>
          </w:p>
        </w:tc>
      </w:tr>
      <w:tr>
        <w:trPr>
          <w:cantSplit/>
        </w:trPr>
        <w:tc>
          <w:tcPr>
            <w:tcW w:type="dxa" w:w="2268"/>
            <w:shd w:fill="FFFFFF"/>
          </w:tcPr>
          <w:p>
            <w:pPr>
              <w:keepNext w:val="0"/>
              <w:spacing w:after="60"/>
            </w:pPr>
            <w:r>
              <w:rPr>
                <w:rFonts w:ascii="맑은 고딕" w:hAnsi="맑은 고딕"/>
                <w:color w:val="000000"/>
                <w:sz w:val="20"/>
              </w:rPr>
              <w:t>투자·자본효율성</w:t>
            </w:r>
          </w:p>
        </w:tc>
        <w:tc>
          <w:tcPr>
            <w:tcW w:type="dxa" w:w="2268"/>
            <w:shd w:fill="FFFFFF"/>
          </w:tcPr>
          <w:p>
            <w:pPr>
              <w:keepNext w:val="0"/>
              <w:spacing w:after="60"/>
            </w:pPr>
            <w:r>
              <w:rPr>
                <w:rFonts w:ascii="맑은 고딕" w:hAnsi="맑은 고딕"/>
                <w:color w:val="000000"/>
                <w:sz w:val="20"/>
              </w:rPr>
              <w:t>ROIC, ROE, 총자산회전율, CAPEX÷영업CF</w:t>
            </w:r>
          </w:p>
        </w:tc>
        <w:tc>
          <w:tcPr>
            <w:tcW w:type="dxa" w:w="2268"/>
            <w:shd w:fill="FFFFFF"/>
          </w:tcPr>
          <w:p>
            <w:pPr>
              <w:keepNext w:val="0"/>
              <w:spacing w:after="60"/>
            </w:pPr>
            <w:r>
              <w:rPr>
                <w:rFonts w:ascii="맑은 고딕" w:hAnsi="맑은 고딕"/>
                <w:color w:val="000000"/>
                <w:sz w:val="20"/>
              </w:rPr>
              <w:t>유형자산 취득·처분 명세, 건설중인자산</w:t>
            </w:r>
          </w:p>
        </w:tc>
        <w:tc>
          <w:tcPr>
            <w:tcW w:type="dxa" w:w="2268"/>
            <w:shd w:fill="FFFFFF"/>
          </w:tcPr>
          <w:p>
            <w:pPr>
              <w:keepNext w:val="0"/>
              <w:spacing w:after="60"/>
            </w:pPr>
            <w:r>
              <w:rPr>
                <w:rFonts w:ascii="맑은 고딕" w:hAnsi="맑은 고딕"/>
                <w:color w:val="000000"/>
                <w:sz w:val="20"/>
              </w:rPr>
              <w:t>투자 확대에 따른 차입 의존·자금부담, 투자자산 활용 저하</w:t>
            </w:r>
          </w:p>
        </w:tc>
      </w:tr>
    </w:tbl>
    <w:p>
      <w:pPr>
        <w:pStyle w:val="Heading2"/>
        <w:spacing w:after="120"/>
      </w:pPr>
      <w:r>
        <w:t>업종별 핵심·보조·왜곡 지표</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268"/>
            <w:shd w:fill="44546A"/>
          </w:tcPr>
          <w:p>
            <w:pPr>
              <w:keepNext w:val="0"/>
              <w:spacing w:after="60"/>
            </w:pPr>
            <w:r>
              <w:rPr>
                <w:rFonts w:ascii="맑은 고딕" w:hAnsi="맑은 고딕"/>
                <w:color w:val="FFFFFF"/>
                <w:sz w:val="20"/>
              </w:rPr>
              <w:t>업종</w:t>
            </w:r>
          </w:p>
        </w:tc>
        <w:tc>
          <w:tcPr>
            <w:tcW w:type="dxa" w:w="2268"/>
            <w:shd w:fill="44546A"/>
          </w:tcPr>
          <w:p>
            <w:pPr>
              <w:keepNext w:val="0"/>
              <w:spacing w:after="60"/>
            </w:pPr>
            <w:r>
              <w:rPr>
                <w:rFonts w:ascii="맑은 고딕" w:hAnsi="맑은 고딕"/>
                <w:color w:val="FFFFFF"/>
                <w:sz w:val="20"/>
              </w:rPr>
              <w:t>핵심 지표 (우선순위 순)</w:t>
            </w:r>
          </w:p>
        </w:tc>
        <w:tc>
          <w:tcPr>
            <w:tcW w:type="dxa" w:w="2268"/>
            <w:shd w:fill="44546A"/>
          </w:tcPr>
          <w:p>
            <w:pPr>
              <w:keepNext w:val="0"/>
              <w:spacing w:after="60"/>
            </w:pPr>
            <w:r>
              <w:rPr>
                <w:rFonts w:ascii="맑은 고딕" w:hAnsi="맑은 고딕"/>
                <w:color w:val="FFFFFF"/>
                <w:sz w:val="20"/>
              </w:rPr>
              <w:t>보조 지표</w:t>
            </w:r>
          </w:p>
        </w:tc>
        <w:tc>
          <w:tcPr>
            <w:tcW w:type="dxa" w:w="2268"/>
            <w:shd w:fill="44546A"/>
          </w:tcPr>
          <w:p>
            <w:pPr>
              <w:keepNext w:val="0"/>
              <w:spacing w:after="60"/>
            </w:pPr>
            <w:r>
              <w:rPr>
                <w:rFonts w:ascii="맑은 고딕" w:hAnsi="맑은 고딕"/>
                <w:color w:val="FFFFFF"/>
                <w:sz w:val="20"/>
              </w:rPr>
              <w:t>그대로 쓰면 왜곡되는 지표</w:t>
            </w:r>
          </w:p>
        </w:tc>
      </w:tr>
      <w:tr>
        <w:trPr>
          <w:cantSplit/>
        </w:trPr>
        <w:tc>
          <w:tcPr>
            <w:tcW w:type="dxa" w:w="2268"/>
            <w:shd w:fill="FFFFFF"/>
          </w:tcPr>
          <w:p>
            <w:pPr>
              <w:keepNext w:val="0"/>
              <w:spacing w:after="60"/>
            </w:pPr>
            <w:r>
              <w:rPr>
                <w:rFonts w:ascii="맑은 고딕" w:hAnsi="맑은 고딕"/>
                <w:color w:val="000000"/>
                <w:sz w:val="20"/>
              </w:rPr>
              <w:t>공통 기준선</w:t>
            </w:r>
          </w:p>
        </w:tc>
        <w:tc>
          <w:tcPr>
            <w:tcW w:type="dxa" w:w="2268"/>
            <w:shd w:fill="FFFFFF"/>
          </w:tcPr>
          <w:p>
            <w:pPr>
              <w:keepNext w:val="0"/>
              <w:spacing w:after="60"/>
            </w:pPr>
            <w:r>
              <w:rPr>
                <w:rFonts w:ascii="맑은 고딕" w:hAnsi="맑은 고딕"/>
                <w:color w:val="000000"/>
                <w:sz w:val="20"/>
              </w:rPr>
              <w:t>매출액영업이익률·총자산영업이익률, 영업CF÷영업이익, 이자보상비율, 자본잠식 여부</w:t>
            </w:r>
          </w:p>
        </w:tc>
        <w:tc>
          <w:tcPr>
            <w:tcW w:type="dxa" w:w="2268"/>
            <w:shd w:fill="FFFFFF"/>
          </w:tcPr>
          <w:p>
            <w:pPr>
              <w:keepNext w:val="0"/>
              <w:spacing w:after="60"/>
            </w:pPr>
            <w:r>
              <w:rPr>
                <w:rFonts w:ascii="맑은 고딕" w:hAnsi="맑은 고딕"/>
                <w:color w:val="000000"/>
                <w:sz w:val="20"/>
              </w:rPr>
              <w:t>현금보상비율, 1년 내 만기 차입금 비중, 매출액·영업이익·자기자본증가율 및 동종 업종 상대 비교</w:t>
            </w:r>
          </w:p>
        </w:tc>
        <w:tc>
          <w:tcPr>
            <w:tcW w:type="dxa" w:w="2268"/>
            <w:shd w:fill="FFFFFF"/>
          </w:tcPr>
          <w:p>
            <w:pPr>
              <w:keepNext w:val="0"/>
              <w:spacing w:after="60"/>
            </w:pPr>
            <w:r>
              <w:rPr>
                <w:rFonts w:ascii="맑은 고딕" w:hAnsi="맑은 고딕"/>
                <w:color w:val="000000"/>
                <w:sz w:val="20"/>
              </w:rPr>
              <w:t>–</w:t>
            </w:r>
          </w:p>
        </w:tc>
      </w:tr>
      <w:tr>
        <w:trPr>
          <w:cantSplit/>
        </w:trPr>
        <w:tc>
          <w:tcPr>
            <w:tcW w:type="dxa" w:w="2268"/>
            <w:shd w:fill="FFFFFF"/>
          </w:tcPr>
          <w:p>
            <w:pPr>
              <w:keepNext w:val="0"/>
              <w:spacing w:after="60"/>
            </w:pPr>
            <w:r>
              <w:rPr>
                <w:rFonts w:ascii="맑은 고딕" w:hAnsi="맑은 고딕"/>
                <w:color w:val="000000"/>
                <w:sz w:val="20"/>
              </w:rPr>
              <w:t>제조업</w:t>
            </w:r>
          </w:p>
        </w:tc>
        <w:tc>
          <w:tcPr>
            <w:tcW w:type="dxa" w:w="2268"/>
            <w:shd w:fill="FFFFFF"/>
          </w:tcPr>
          <w:p>
            <w:pPr>
              <w:keepNext w:val="0"/>
              <w:spacing w:after="60"/>
            </w:pPr>
            <w:r>
              <w:rPr>
                <w:rFonts w:ascii="맑은 고딕" w:hAnsi="맑은 고딕"/>
                <w:color w:val="000000"/>
                <w:sz w:val="20"/>
              </w:rPr>
              <w:t>① 현금전환주기(재고보유기간+매출채권회수기간−매입채무지급기간)</w:t>
              <w:br/>
              <w:t>② 재고·매출채권 증가율−매출증가율(고정화)</w:t>
              <w:br/>
              <w:t>③ 영업CF÷영업이익</w:t>
              <w:br/>
              <w:t>④ CAPEX÷영업CF</w:t>
              <w:br/>
              <w:t>⑤ 이자보상비율</w:t>
            </w:r>
          </w:p>
        </w:tc>
        <w:tc>
          <w:tcPr>
            <w:tcW w:type="dxa" w:w="2268"/>
            <w:shd w:fill="FFFFFF"/>
          </w:tcPr>
          <w:p>
            <w:pPr>
              <w:keepNext w:val="0"/>
              <w:spacing w:after="60"/>
            </w:pPr>
            <w:r>
              <w:rPr>
                <w:rFonts w:ascii="맑은 고딕" w:hAnsi="맑은 고딕"/>
                <w:color w:val="000000"/>
                <w:sz w:val="20"/>
              </w:rPr>
              <w:t>매출원가율, 비유동장기적합률, 개발비 자산화 비중, 가동률, 고정장기적합률, ROIC, 총자산회전율, FCF÷차입금</w:t>
            </w:r>
          </w:p>
        </w:tc>
        <w:tc>
          <w:tcPr>
            <w:tcW w:type="dxa" w:w="2268"/>
            <w:shd w:fill="FFFFFF"/>
          </w:tcPr>
          <w:p>
            <w:pPr>
              <w:keepNext w:val="0"/>
              <w:spacing w:after="60"/>
            </w:pPr>
            <w:r>
              <w:rPr>
                <w:rFonts w:ascii="맑은 고딕" w:hAnsi="맑은 고딕"/>
                <w:color w:val="000000"/>
                <w:sz w:val="20"/>
              </w:rPr>
              <w:t>감가상각이 큰 장치산업의 영업이익 → EBITDA 병행</w:t>
            </w:r>
          </w:p>
        </w:tc>
      </w:tr>
      <w:tr>
        <w:trPr>
          <w:cantSplit/>
        </w:trPr>
        <w:tc>
          <w:tcPr>
            <w:tcW w:type="dxa" w:w="2268"/>
            <w:shd w:fill="FFFFFF"/>
          </w:tcPr>
          <w:p>
            <w:pPr>
              <w:keepNext w:val="0"/>
              <w:spacing w:after="60"/>
            </w:pPr>
            <w:r>
              <w:rPr>
                <w:rFonts w:ascii="맑은 고딕" w:hAnsi="맑은 고딕"/>
                <w:color w:val="000000"/>
                <w:sz w:val="20"/>
              </w:rPr>
              <w:t>도소매업</w:t>
            </w:r>
          </w:p>
        </w:tc>
        <w:tc>
          <w:tcPr>
            <w:tcW w:type="dxa" w:w="2268"/>
            <w:shd w:fill="FFFFFF"/>
          </w:tcPr>
          <w:p>
            <w:pPr>
              <w:keepNext w:val="0"/>
              <w:spacing w:after="60"/>
            </w:pPr>
            <w:r>
              <w:rPr>
                <w:rFonts w:ascii="맑은 고딕" w:hAnsi="맑은 고딕"/>
                <w:color w:val="000000"/>
                <w:sz w:val="20"/>
              </w:rPr>
              <w:t>① 매출총이익률 변화(%p)</w:t>
              <w:br/>
              <w:t>② 재고자산회전율</w:t>
              <w:br/>
              <w:t>③ 매입채무 지급일수 변화(급감=거래처 신용 축소)</w:t>
              <w:br/>
              <w:t>④ 현금전환주기</w:t>
              <w:br/>
              <w:t>⑤ 리스부채 포함 부채비율</w:t>
            </w:r>
          </w:p>
        </w:tc>
        <w:tc>
          <w:tcPr>
            <w:tcW w:type="dxa" w:w="2268"/>
            <w:shd w:fill="FFFFFF"/>
          </w:tcPr>
          <w:p>
            <w:pPr>
              <w:keepNext w:val="0"/>
              <w:spacing w:after="60"/>
            </w:pPr>
            <w:r>
              <w:rPr>
                <w:rFonts w:ascii="맑은 고딕" w:hAnsi="맑은 고딕"/>
                <w:color w:val="000000"/>
                <w:sz w:val="20"/>
              </w:rPr>
              <w:t>매출채권회전율(도매), 임차료·물류비 등 판관비율, 총자산회전율, 순운전자본회전율, FCF÷매출액</w:t>
            </w:r>
          </w:p>
        </w:tc>
        <w:tc>
          <w:tcPr>
            <w:tcW w:type="dxa" w:w="2268"/>
            <w:shd w:fill="FFFFFF"/>
          </w:tcPr>
          <w:p>
            <w:pPr>
              <w:keepNext w:val="0"/>
              <w:spacing w:after="60"/>
            </w:pPr>
            <w:r>
              <w:rPr>
                <w:rFonts w:ascii="맑은 고딕" w:hAnsi="맑은 고딕"/>
                <w:color w:val="000000"/>
                <w:sz w:val="20"/>
              </w:rPr>
              <w:t>소매의 유동비율(현금전환주기가 음수라 낮아도 정상)</w:t>
            </w:r>
          </w:p>
        </w:tc>
      </w:tr>
      <w:tr>
        <w:trPr>
          <w:cantSplit/>
        </w:trPr>
        <w:tc>
          <w:tcPr>
            <w:tcW w:type="dxa" w:w="2268"/>
            <w:shd w:fill="FFFFFF"/>
          </w:tcPr>
          <w:p>
            <w:pPr>
              <w:keepNext w:val="0"/>
              <w:spacing w:after="60"/>
            </w:pPr>
            <w:r>
              <w:rPr>
                <w:rFonts w:ascii="맑은 고딕" w:hAnsi="맑은 고딕"/>
                <w:color w:val="000000"/>
                <w:sz w:val="20"/>
              </w:rPr>
              <w:t>건설업</w:t>
            </w:r>
          </w:p>
        </w:tc>
        <w:tc>
          <w:tcPr>
            <w:tcW w:type="dxa" w:w="2268"/>
            <w:shd w:fill="FFFFFF"/>
          </w:tcPr>
          <w:p>
            <w:pPr>
              <w:keepNext w:val="0"/>
              <w:spacing w:after="60"/>
            </w:pPr>
            <w:r>
              <w:rPr>
                <w:rFonts w:ascii="맑은 고딕" w:hAnsi="맑은 고딕"/>
                <w:color w:val="000000"/>
                <w:sz w:val="20"/>
              </w:rPr>
              <w:t>① 계약자산(미청구공사) 증가율−매출증가율</w:t>
              <w:br/>
              <w:t>② 공사미수금 회수기간</w:t>
              <w:br/>
              <w:t>③ 공사원가율</w:t>
              <w:br/>
              <w:t>④ PF 보증·조건부 의무÷자기자본, 1년 내 만기 PF 보증 비중</w:t>
              <w:br/>
              <w:t>⑤ 영업CF 대 유동부채비율</w:t>
            </w:r>
          </w:p>
        </w:tc>
        <w:tc>
          <w:tcPr>
            <w:tcW w:type="dxa" w:w="2268"/>
            <w:shd w:fill="FFFFFF"/>
          </w:tcPr>
          <w:p>
            <w:pPr>
              <w:keepNext w:val="0"/>
              <w:spacing w:after="60"/>
            </w:pPr>
            <w:r>
              <w:rPr>
                <w:rFonts w:ascii="맑은 고딕" w:hAnsi="맑은 고딕"/>
                <w:color w:val="000000"/>
                <w:sz w:val="20"/>
              </w:rPr>
              <w:t>선수금 제외 부채비율, 차입금 의존도, 단기차입 비중, 수주잔고, 총자산증가율, 고정장기적합률, 영업이익증가율, FCF÷차입금</w:t>
            </w:r>
          </w:p>
        </w:tc>
        <w:tc>
          <w:tcPr>
            <w:tcW w:type="dxa" w:w="2268"/>
            <w:shd w:fill="FFFFFF"/>
          </w:tcPr>
          <w:p>
            <w:pPr>
              <w:keepNext w:val="0"/>
              <w:spacing w:after="60"/>
            </w:pPr>
            <w:r>
              <w:rPr>
                <w:rFonts w:ascii="맑은 고딕" w:hAnsi="맑은 고딕"/>
                <w:color w:val="000000"/>
                <w:sz w:val="20"/>
              </w:rPr>
              <w:t>표시 부채비율(분양 선수금), 진행률 기준 이익</w:t>
            </w:r>
          </w:p>
        </w:tc>
      </w:tr>
      <w:tr>
        <w:trPr>
          <w:cantSplit/>
        </w:trPr>
        <w:tc>
          <w:tcPr>
            <w:tcW w:type="dxa" w:w="2268"/>
            <w:shd w:fill="FFFFFF"/>
          </w:tcPr>
          <w:p>
            <w:pPr>
              <w:keepNext w:val="0"/>
              <w:spacing w:after="60"/>
            </w:pPr>
            <w:r>
              <w:rPr>
                <w:rFonts w:ascii="맑은 고딕" w:hAnsi="맑은 고딕"/>
                <w:color w:val="000000"/>
                <w:sz w:val="20"/>
              </w:rPr>
              <w:t>부동산·임대업</w:t>
            </w:r>
          </w:p>
        </w:tc>
        <w:tc>
          <w:tcPr>
            <w:tcW w:type="dxa" w:w="2268"/>
            <w:shd w:fill="FFFFFF"/>
          </w:tcPr>
          <w:p>
            <w:pPr>
              <w:keepNext w:val="0"/>
              <w:spacing w:after="60"/>
            </w:pPr>
            <w:r>
              <w:rPr>
                <w:rFonts w:ascii="맑은 고딕" w:hAnsi="맑은 고딕"/>
                <w:color w:val="000000"/>
                <w:sz w:val="20"/>
              </w:rPr>
              <w:t>① EBITDA 이자보상배율</w:t>
              <w:br/>
              <w:t>② 차입금÷투자부동산(LTV 성격)</w:t>
              <w:br/>
              <w:t>③ 1년 내 만기 차입 비중(차환 위험)</w:t>
              <w:br/>
              <w:t>④ 현금보상비율</w:t>
              <w:br/>
              <w:t>⑤ 평균 조달금리 변화</w:t>
            </w:r>
          </w:p>
        </w:tc>
        <w:tc>
          <w:tcPr>
            <w:tcW w:type="dxa" w:w="2268"/>
            <w:shd w:fill="FFFFFF"/>
          </w:tcPr>
          <w:p>
            <w:pPr>
              <w:keepNext w:val="0"/>
              <w:spacing w:after="60"/>
            </w:pPr>
            <w:r>
              <w:rPr>
                <w:rFonts w:ascii="맑은 고딕" w:hAnsi="맑은 고딕"/>
                <w:color w:val="000000"/>
                <w:sz w:val="20"/>
              </w:rPr>
              <w:t>임대율·주요 임차인 집중도, 공정가치 평가손익, 임대수익 계상 위치, 자기자본비율, FCF÷차입금, 임대수익 증가율, ROIC, 자산처분손익</w:t>
            </w:r>
          </w:p>
        </w:tc>
        <w:tc>
          <w:tcPr>
            <w:tcW w:type="dxa" w:w="2268"/>
            <w:shd w:fill="FFFFFF"/>
          </w:tcPr>
          <w:p>
            <w:pPr>
              <w:keepNext w:val="0"/>
              <w:spacing w:after="60"/>
            </w:pPr>
            <w:r>
              <w:rPr>
                <w:rFonts w:ascii="맑은 고딕" w:hAnsi="맑은 고딕"/>
                <w:color w:val="000000"/>
                <w:sz w:val="20"/>
              </w:rPr>
              <w:t>부채비율, 유동비율, 영업이익</w:t>
            </w:r>
          </w:p>
        </w:tc>
      </w:tr>
    </w:tbl>
    <w:p>
      <w:pPr>
        <w:pStyle w:val="Heading2"/>
        <w:spacing w:after="120"/>
      </w:pPr>
      <w:r>
        <w:t>공통 주석 추출</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1814"/>
            <w:shd w:fill="44546A"/>
          </w:tcPr>
          <w:p>
            <w:pPr>
              <w:keepNext w:val="0"/>
              <w:spacing w:after="60"/>
            </w:pPr>
            <w:r>
              <w:rPr>
                <w:rFonts w:ascii="맑은 고딕" w:hAnsi="맑은 고딕"/>
                <w:color w:val="FFFFFF"/>
                <w:sz w:val="20"/>
              </w:rPr>
              <w:t>항목</w:t>
            </w:r>
          </w:p>
        </w:tc>
        <w:tc>
          <w:tcPr>
            <w:tcW w:type="dxa" w:w="1814"/>
            <w:shd w:fill="44546A"/>
          </w:tcPr>
          <w:p>
            <w:pPr>
              <w:keepNext w:val="0"/>
              <w:spacing w:after="60"/>
            </w:pPr>
            <w:r>
              <w:rPr>
                <w:rFonts w:ascii="맑은 고딕" w:hAnsi="맑은 고딕"/>
                <w:color w:val="FFFFFF"/>
                <w:sz w:val="20"/>
              </w:rPr>
              <w:t>검색어</w:t>
            </w:r>
          </w:p>
        </w:tc>
        <w:tc>
          <w:tcPr>
            <w:tcW w:type="dxa" w:w="1814"/>
            <w:shd w:fill="44546A"/>
          </w:tcPr>
          <w:p>
            <w:pPr>
              <w:keepNext w:val="0"/>
              <w:spacing w:after="60"/>
            </w:pPr>
            <w:r>
              <w:rPr>
                <w:rFonts w:ascii="맑은 고딕" w:hAnsi="맑은 고딕"/>
                <w:color w:val="FFFFFF"/>
                <w:sz w:val="20"/>
              </w:rPr>
              <w:t>추출 범위</w:t>
            </w:r>
          </w:p>
        </w:tc>
        <w:tc>
          <w:tcPr>
            <w:tcW w:type="dxa" w:w="1814"/>
            <w:shd w:fill="44546A"/>
          </w:tcPr>
          <w:p>
            <w:pPr>
              <w:keepNext w:val="0"/>
              <w:spacing w:after="60"/>
            </w:pPr>
            <w:r>
              <w:rPr>
                <w:rFonts w:ascii="맑은 고딕" w:hAnsi="맑은 고딕"/>
                <w:color w:val="FFFFFF"/>
                <w:sz w:val="20"/>
              </w:rPr>
              <w:t>추출 내용</w:t>
            </w:r>
          </w:p>
        </w:tc>
        <w:tc>
          <w:tcPr>
            <w:tcW w:type="dxa" w:w="1814"/>
            <w:shd w:fill="44546A"/>
          </w:tcPr>
          <w:p>
            <w:pPr>
              <w:keepNext w:val="0"/>
              <w:spacing w:after="60"/>
            </w:pPr>
            <w:r>
              <w:rPr>
                <w:rFonts w:ascii="맑은 고딕" w:hAnsi="맑은 고딕"/>
                <w:color w:val="FFFFFF"/>
                <w:sz w:val="20"/>
              </w:rPr>
              <w:t>주의</w:t>
            </w:r>
          </w:p>
        </w:tc>
      </w:tr>
      <w:tr>
        <w:trPr>
          <w:cantSplit/>
        </w:trPr>
        <w:tc>
          <w:tcPr>
            <w:tcW w:type="dxa" w:w="1814"/>
            <w:shd w:fill="FFFFFF"/>
          </w:tcPr>
          <w:p>
            <w:pPr>
              <w:keepNext w:val="0"/>
              <w:spacing w:after="60"/>
            </w:pPr>
            <w:r>
              <w:rPr>
                <w:rFonts w:ascii="맑은 고딕" w:hAnsi="맑은 고딕"/>
                <w:color w:val="000000"/>
                <w:sz w:val="20"/>
              </w:rPr>
              <w:t>감사의견·계속기업</w:t>
            </w:r>
          </w:p>
        </w:tc>
        <w:tc>
          <w:tcPr>
            <w:tcW w:type="dxa" w:w="1814"/>
            <w:shd w:fill="FFFFFF"/>
          </w:tcPr>
          <w:p>
            <w:pPr>
              <w:keepNext w:val="0"/>
              <w:spacing w:after="60"/>
            </w:pPr>
            <w:r>
              <w:rPr>
                <w:rFonts w:ascii="맑은 고딕" w:hAnsi="맑은 고딕"/>
                <w:color w:val="000000"/>
                <w:sz w:val="20"/>
              </w:rPr>
              <w:t>감사의견, 의견변형, 계속기업, 중요한 불확실성, 강조사항, 핵심감사사항</w:t>
            </w:r>
          </w:p>
        </w:tc>
        <w:tc>
          <w:tcPr>
            <w:tcW w:type="dxa" w:w="1814"/>
            <w:shd w:fill="FFFFFF"/>
          </w:tcPr>
          <w:p>
            <w:pPr>
              <w:keepNext w:val="0"/>
              <w:spacing w:after="60"/>
            </w:pPr>
            <w:r>
              <w:rPr>
                <w:rFonts w:ascii="맑은 고딕" w:hAnsi="맑은 고딕"/>
                <w:color w:val="000000"/>
                <w:sz w:val="20"/>
              </w:rPr>
              <w:t>V.1 외부감사 표, 감사보고서 해당 단락</w:t>
            </w:r>
          </w:p>
        </w:tc>
        <w:tc>
          <w:tcPr>
            <w:tcW w:type="dxa" w:w="1814"/>
            <w:shd w:fill="FFFFFF"/>
          </w:tcPr>
          <w:p>
            <w:pPr>
              <w:keepNext w:val="0"/>
              <w:spacing w:after="60"/>
            </w:pPr>
            <w:r>
              <w:rPr>
                <w:rFonts w:ascii="맑은 고딕" w:hAnsi="맑은 고딕"/>
                <w:color w:val="000000"/>
                <w:sz w:val="20"/>
              </w:rPr>
              <w:t>당기 의견 종류(적정·한정·부적정·의견거절), 불확실성 문장, 강조사항</w:t>
            </w:r>
          </w:p>
        </w:tc>
        <w:tc>
          <w:tcPr>
            <w:tcW w:type="dxa" w:w="1814"/>
            <w:shd w:fill="FFFFFF"/>
          </w:tcPr>
          <w:p>
            <w:pPr>
              <w:keepNext w:val="0"/>
              <w:spacing w:after="60"/>
            </w:pPr>
            <w:r>
              <w:rPr>
                <w:rFonts w:ascii="맑은 고딕" w:hAnsi="맑은 고딕"/>
                <w:color w:val="000000"/>
                <w:sz w:val="20"/>
              </w:rPr>
              <w:t>당기 행만 신호로 사용, 전기는 비교용</w:t>
            </w:r>
          </w:p>
        </w:tc>
      </w:tr>
      <w:tr>
        <w:trPr>
          <w:cantSplit/>
        </w:trPr>
        <w:tc>
          <w:tcPr>
            <w:tcW w:type="dxa" w:w="1814"/>
            <w:shd w:fill="FFFFFF"/>
          </w:tcPr>
          <w:p>
            <w:pPr>
              <w:keepNext w:val="0"/>
              <w:spacing w:after="60"/>
            </w:pPr>
            <w:r>
              <w:rPr>
                <w:rFonts w:ascii="맑은 고딕" w:hAnsi="맑은 고딕"/>
                <w:color w:val="000000"/>
                <w:sz w:val="20"/>
              </w:rPr>
              <w:t>차입 만기·재무약정</w:t>
            </w:r>
          </w:p>
        </w:tc>
        <w:tc>
          <w:tcPr>
            <w:tcW w:type="dxa" w:w="1814"/>
            <w:shd w:fill="FFFFFF"/>
          </w:tcPr>
          <w:p>
            <w:pPr>
              <w:keepNext w:val="0"/>
              <w:spacing w:after="60"/>
            </w:pPr>
            <w:r>
              <w:rPr>
                <w:rFonts w:ascii="맑은 고딕" w:hAnsi="맑은 고딕"/>
                <w:color w:val="000000"/>
                <w:sz w:val="20"/>
              </w:rPr>
              <w:t>차입금, 사채, 만기, 상환계획, 유동성장기, 기한이익상실, 재무약정, 준수, 위반, 차환</w:t>
            </w:r>
          </w:p>
        </w:tc>
        <w:tc>
          <w:tcPr>
            <w:tcW w:type="dxa" w:w="1814"/>
            <w:shd w:fill="FFFFFF"/>
          </w:tcPr>
          <w:p>
            <w:pPr>
              <w:keepNext w:val="0"/>
              <w:spacing w:after="60"/>
            </w:pPr>
            <w:r>
              <w:rPr>
                <w:rFonts w:ascii="맑은 고딕" w:hAnsi="맑은 고딕"/>
                <w:color w:val="000000"/>
                <w:sz w:val="20"/>
              </w:rPr>
              <w:t>IV.4 유동성·자금조달, 차입금·사채 주석</w:t>
            </w:r>
          </w:p>
        </w:tc>
        <w:tc>
          <w:tcPr>
            <w:tcW w:type="dxa" w:w="1814"/>
            <w:shd w:fill="FFFFFF"/>
          </w:tcPr>
          <w:p>
            <w:pPr>
              <w:keepNext w:val="0"/>
              <w:spacing w:after="60"/>
            </w:pPr>
            <w:r>
              <w:rPr>
                <w:rFonts w:ascii="맑은 고딕" w:hAnsi="맑은 고딕"/>
                <w:color w:val="000000"/>
                <w:sz w:val="20"/>
              </w:rPr>
              <w:t>1년 내 만기 금액, 차입처·금리, 재무비율 유지 조건과 위반 여부, 등급 하락 트리거</w:t>
            </w:r>
          </w:p>
        </w:tc>
        <w:tc>
          <w:tcPr>
            <w:tcW w:type="dxa" w:w="1814"/>
            <w:shd w:fill="FFFFFF"/>
          </w:tcPr>
          <w:p>
            <w:pPr>
              <w:keepNext w:val="0"/>
              <w:spacing w:after="60"/>
            </w:pPr>
            <w:r>
              <w:rPr>
                <w:rFonts w:ascii="맑은 고딕" w:hAnsi="맑은 고딕"/>
                <w:color w:val="000000"/>
                <w:sz w:val="20"/>
              </w:rPr>
              <w:t>한도와 실행잔액 구분, 약정 존재만으로 위험 확정 X</w:t>
            </w:r>
          </w:p>
        </w:tc>
      </w:tr>
      <w:tr>
        <w:trPr>
          <w:cantSplit/>
        </w:trPr>
        <w:tc>
          <w:tcPr>
            <w:tcW w:type="dxa" w:w="1814"/>
            <w:shd w:fill="FFFFFF"/>
          </w:tcPr>
          <w:p>
            <w:pPr>
              <w:keepNext w:val="0"/>
              <w:spacing w:after="60"/>
            </w:pPr>
            <w:r>
              <w:rPr>
                <w:rFonts w:ascii="맑은 고딕" w:hAnsi="맑은 고딕"/>
                <w:color w:val="000000"/>
                <w:sz w:val="20"/>
              </w:rPr>
              <w:t>신용등급</w:t>
            </w:r>
          </w:p>
        </w:tc>
        <w:tc>
          <w:tcPr>
            <w:tcW w:type="dxa" w:w="1814"/>
            <w:shd w:fill="FFFFFF"/>
          </w:tcPr>
          <w:p>
            <w:pPr>
              <w:keepNext w:val="0"/>
              <w:spacing w:after="60"/>
            </w:pPr>
            <w:r>
              <w:rPr>
                <w:rFonts w:ascii="맑은 고딕" w:hAnsi="맑은 고딕"/>
                <w:color w:val="000000"/>
                <w:sz w:val="20"/>
              </w:rPr>
              <w:t>신용등급, 평가일, 등급전망, 부정적, 하향</w:t>
            </w:r>
          </w:p>
        </w:tc>
        <w:tc>
          <w:tcPr>
            <w:tcW w:type="dxa" w:w="1814"/>
            <w:shd w:fill="FFFFFF"/>
          </w:tcPr>
          <w:p>
            <w:pPr>
              <w:keepNext w:val="0"/>
              <w:spacing w:after="60"/>
            </w:pPr>
            <w:r>
              <w:rPr>
                <w:rFonts w:ascii="맑은 고딕" w:hAnsi="맑은 고딕"/>
                <w:color w:val="000000"/>
                <w:sz w:val="20"/>
              </w:rPr>
              <w:t>I.1 회사의 개요 신용등급 표</w:t>
            </w:r>
          </w:p>
        </w:tc>
        <w:tc>
          <w:tcPr>
            <w:tcW w:type="dxa" w:w="1814"/>
            <w:shd w:fill="FFFFFF"/>
          </w:tcPr>
          <w:p>
            <w:pPr>
              <w:keepNext w:val="0"/>
              <w:spacing w:after="60"/>
            </w:pPr>
            <w:r>
              <w:rPr>
                <w:rFonts w:ascii="맑은 고딕" w:hAnsi="맑은 고딕"/>
                <w:color w:val="000000"/>
                <w:sz w:val="20"/>
              </w:rPr>
              <w:t>최근 등급·전망, 직전 대비 변경 방향</w:t>
            </w:r>
          </w:p>
        </w:tc>
        <w:tc>
          <w:tcPr>
            <w:tcW w:type="dxa" w:w="1814"/>
            <w:shd w:fill="FFFFFF"/>
          </w:tcPr>
          <w:p>
            <w:pPr>
              <w:keepNext w:val="0"/>
              <w:spacing w:after="60"/>
            </w:pPr>
            <w:r>
              <w:rPr>
                <w:rFonts w:ascii="맑은 고딕" w:hAnsi="맑은 고딕"/>
                <w:color w:val="000000"/>
                <w:sz w:val="20"/>
              </w:rPr>
              <w:t>평가 대상(회사채·CP·전단채) 구분</w:t>
            </w:r>
          </w:p>
        </w:tc>
      </w:tr>
      <w:tr>
        <w:trPr>
          <w:cantSplit/>
        </w:trPr>
        <w:tc>
          <w:tcPr>
            <w:tcW w:type="dxa" w:w="1814"/>
            <w:shd w:fill="FFFFFF"/>
          </w:tcPr>
          <w:p>
            <w:pPr>
              <w:keepNext w:val="0"/>
              <w:spacing w:after="60"/>
            </w:pPr>
            <w:r>
              <w:rPr>
                <w:rFonts w:ascii="맑은 고딕" w:hAnsi="맑은 고딕"/>
                <w:color w:val="000000"/>
                <w:sz w:val="20"/>
              </w:rPr>
              <w:t>담보 제공</w:t>
            </w:r>
          </w:p>
        </w:tc>
        <w:tc>
          <w:tcPr>
            <w:tcW w:type="dxa" w:w="1814"/>
            <w:shd w:fill="FFFFFF"/>
          </w:tcPr>
          <w:p>
            <w:pPr>
              <w:keepNext w:val="0"/>
              <w:spacing w:after="60"/>
            </w:pPr>
            <w:r>
              <w:rPr>
                <w:rFonts w:ascii="맑은 고딕" w:hAnsi="맑은 고딕"/>
                <w:color w:val="000000"/>
                <w:sz w:val="20"/>
              </w:rPr>
              <w:t>담보로 제공, 담보제공자산, 근저당, 질권, 채권최고액, 견질</w:t>
            </w:r>
          </w:p>
        </w:tc>
        <w:tc>
          <w:tcPr>
            <w:tcW w:type="dxa" w:w="1814"/>
            <w:shd w:fill="FFFFFF"/>
          </w:tcPr>
          <w:p>
            <w:pPr>
              <w:keepNext w:val="0"/>
              <w:spacing w:after="60"/>
            </w:pPr>
            <w:r>
              <w:rPr>
                <w:rFonts w:ascii="맑은 고딕" w:hAnsi="맑은 고딕"/>
                <w:color w:val="000000"/>
                <w:sz w:val="20"/>
              </w:rPr>
              <w:t>담보 주석 제목~다음 주석, 특수관계자 주석</w:t>
            </w:r>
          </w:p>
        </w:tc>
        <w:tc>
          <w:tcPr>
            <w:tcW w:type="dxa" w:w="1814"/>
            <w:shd w:fill="FFFFFF"/>
          </w:tcPr>
          <w:p>
            <w:pPr>
              <w:keepNext w:val="0"/>
              <w:spacing w:after="60"/>
            </w:pPr>
            <w:r>
              <w:rPr>
                <w:rFonts w:ascii="맑은 고딕" w:hAnsi="맑은 고딕"/>
                <w:color w:val="000000"/>
                <w:sz w:val="20"/>
              </w:rPr>
              <w:t>담보 자산·장부금액·채권최고액·담보권자·관련 차입금, 견질어음·수표 매수</w:t>
            </w:r>
          </w:p>
        </w:tc>
        <w:tc>
          <w:tcPr>
            <w:tcW w:type="dxa" w:w="1814"/>
            <w:shd w:fill="FFFFFF"/>
          </w:tcPr>
          <w:p>
            <w:pPr>
              <w:keepNext w:val="0"/>
              <w:spacing w:after="60"/>
            </w:pPr>
            <w:r>
              <w:rPr>
                <w:rFonts w:ascii="맑은 고딕" w:hAnsi="맑은 고딕"/>
                <w:color w:val="000000"/>
                <w:sz w:val="20"/>
              </w:rPr>
              <w:t>제공받은 담보는 별도, 우발부채 자동 확정 X</w:t>
            </w:r>
          </w:p>
        </w:tc>
      </w:tr>
      <w:tr>
        <w:trPr>
          <w:cantSplit/>
        </w:trPr>
        <w:tc>
          <w:tcPr>
            <w:tcW w:type="dxa" w:w="1814"/>
            <w:shd w:fill="FFFFFF"/>
          </w:tcPr>
          <w:p>
            <w:pPr>
              <w:keepNext w:val="0"/>
              <w:spacing w:after="60"/>
            </w:pPr>
            <w:r>
              <w:rPr>
                <w:rFonts w:ascii="맑은 고딕" w:hAnsi="맑은 고딕"/>
                <w:color w:val="000000"/>
                <w:sz w:val="20"/>
              </w:rPr>
              <w:t>소송·제재</w:t>
            </w:r>
          </w:p>
        </w:tc>
        <w:tc>
          <w:tcPr>
            <w:tcW w:type="dxa" w:w="1814"/>
            <w:shd w:fill="FFFFFF"/>
          </w:tcPr>
          <w:p>
            <w:pPr>
              <w:keepNext w:val="0"/>
              <w:spacing w:after="60"/>
            </w:pPr>
            <w:r>
              <w:rPr>
                <w:rFonts w:ascii="맑은 고딕" w:hAnsi="맑은 고딕"/>
                <w:color w:val="000000"/>
                <w:sz w:val="20"/>
              </w:rPr>
              <w:t>소송, 피소, 제소, 계류, 중재, 제재, 과징금, 영업정지</w:t>
            </w:r>
          </w:p>
        </w:tc>
        <w:tc>
          <w:tcPr>
            <w:tcW w:type="dxa" w:w="1814"/>
            <w:shd w:fill="FFFFFF"/>
          </w:tcPr>
          <w:p>
            <w:pPr>
              <w:keepNext w:val="0"/>
              <w:spacing w:after="60"/>
            </w:pPr>
            <w:r>
              <w:rPr>
                <w:rFonts w:ascii="맑은 고딕" w:hAnsi="맑은 고딕"/>
                <w:color w:val="000000"/>
                <w:sz w:val="20"/>
              </w:rPr>
              <w:t>XI.2·XI.3, 우발부채 주석</w:t>
            </w:r>
          </w:p>
        </w:tc>
        <w:tc>
          <w:tcPr>
            <w:tcW w:type="dxa" w:w="1814"/>
            <w:shd w:fill="FFFFFF"/>
          </w:tcPr>
          <w:p>
            <w:pPr>
              <w:keepNext w:val="0"/>
              <w:spacing w:after="60"/>
            </w:pPr>
            <w:r>
              <w:rPr>
                <w:rFonts w:ascii="맑은 고딕" w:hAnsi="맑은 고딕"/>
                <w:color w:val="000000"/>
                <w:sz w:val="20"/>
              </w:rPr>
              <w:t>당기 피고 건수·금액, 중재, 계류 중 문장, 제재 내용·금액</w:t>
            </w:r>
          </w:p>
        </w:tc>
        <w:tc>
          <w:tcPr>
            <w:tcW w:type="dxa" w:w="1814"/>
            <w:shd w:fill="FFFFFF"/>
          </w:tcPr>
          <w:p>
            <w:pPr>
              <w:keepNext w:val="0"/>
              <w:spacing w:after="60"/>
            </w:pPr>
            <w:r>
              <w:rPr>
                <w:rFonts w:ascii="맑은 고딕" w:hAnsi="맑은 고딕"/>
                <w:color w:val="000000"/>
                <w:sz w:val="20"/>
              </w:rPr>
              <w:t>원고/피고 구분, 외화 금액은 통화 보존</w:t>
            </w:r>
          </w:p>
        </w:tc>
      </w:tr>
      <w:tr>
        <w:trPr>
          <w:cantSplit/>
        </w:trPr>
        <w:tc>
          <w:tcPr>
            <w:tcW w:type="dxa" w:w="1814"/>
            <w:shd w:fill="FFFFFF"/>
          </w:tcPr>
          <w:p>
            <w:pPr>
              <w:keepNext w:val="0"/>
              <w:spacing w:after="60"/>
            </w:pPr>
            <w:r>
              <w:rPr>
                <w:rFonts w:ascii="맑은 고딕" w:hAnsi="맑은 고딕"/>
                <w:color w:val="000000"/>
                <w:sz w:val="20"/>
              </w:rPr>
              <w:t>부외거래·후속사건</w:t>
            </w:r>
          </w:p>
        </w:tc>
        <w:tc>
          <w:tcPr>
            <w:tcW w:type="dxa" w:w="1814"/>
            <w:shd w:fill="FFFFFF"/>
          </w:tcPr>
          <w:p>
            <w:pPr>
              <w:keepNext w:val="0"/>
              <w:spacing w:after="60"/>
            </w:pPr>
            <w:r>
              <w:rPr>
                <w:rFonts w:ascii="맑은 고딕" w:hAnsi="맑은 고딕"/>
                <w:color w:val="000000"/>
                <w:sz w:val="20"/>
              </w:rPr>
              <w:t>부외거래, 작성기준일 이후, 보고기간후사건, 후속사건</w:t>
            </w:r>
          </w:p>
        </w:tc>
        <w:tc>
          <w:tcPr>
            <w:tcW w:type="dxa" w:w="1814"/>
            <w:shd w:fill="FFFFFF"/>
          </w:tcPr>
          <w:p>
            <w:pPr>
              <w:keepNext w:val="0"/>
              <w:spacing w:after="60"/>
            </w:pPr>
            <w:r>
              <w:rPr>
                <w:rFonts w:ascii="맑은 고딕" w:hAnsi="맑은 고딕"/>
                <w:color w:val="000000"/>
                <w:sz w:val="20"/>
              </w:rPr>
              <w:t>IV.5, XI.4, 보고기간후사건 주석</w:t>
            </w:r>
          </w:p>
        </w:tc>
        <w:tc>
          <w:tcPr>
            <w:tcW w:type="dxa" w:w="1814"/>
            <w:shd w:fill="FFFFFF"/>
          </w:tcPr>
          <w:p>
            <w:pPr>
              <w:keepNext w:val="0"/>
              <w:spacing w:after="60"/>
            </w:pPr>
            <w:r>
              <w:rPr>
                <w:rFonts w:ascii="맑은 고딕" w:hAnsi="맑은 고딕"/>
                <w:color w:val="000000"/>
                <w:sz w:val="20"/>
              </w:rPr>
              <w:t>신규 차입·보증, 회생·워크아웃, 증자, 자산 매각</w:t>
            </w:r>
          </w:p>
        </w:tc>
        <w:tc>
          <w:tcPr>
            <w:tcW w:type="dxa" w:w="1814"/>
            <w:shd w:fill="FFFFFF"/>
          </w:tcPr>
          <w:p>
            <w:pPr>
              <w:keepNext w:val="0"/>
              <w:spacing w:after="60"/>
            </w:pPr>
            <w:r>
              <w:rPr>
                <w:rFonts w:ascii="맑은 고딕" w:hAnsi="맑은 고딕"/>
                <w:color w:val="000000"/>
                <w:sz w:val="20"/>
              </w:rPr>
              <w:t>참조 문장은 참조 위치에서 재추출</w:t>
            </w:r>
          </w:p>
        </w:tc>
      </w:tr>
    </w:tbl>
    <w:p>
      <w:pPr>
        <w:pStyle w:val="Heading2"/>
        <w:spacing w:after="120"/>
      </w:pPr>
      <w:r>
        <w:t>v2.1 추가 주석 항목</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268"/>
            <w:shd w:fill="44546A"/>
          </w:tcPr>
          <w:p>
            <w:pPr>
              <w:keepNext w:val="0"/>
              <w:spacing w:after="60"/>
            </w:pPr>
            <w:r>
              <w:rPr>
                <w:rFonts w:ascii="맑은 고딕" w:hAnsi="맑은 고딕"/>
                <w:color w:val="FFFFFF"/>
                <w:sz w:val="20"/>
              </w:rPr>
              <w:t>추가 항목</w:t>
            </w:r>
          </w:p>
        </w:tc>
        <w:tc>
          <w:tcPr>
            <w:tcW w:type="dxa" w:w="2268"/>
            <w:shd w:fill="44546A"/>
          </w:tcPr>
          <w:p>
            <w:pPr>
              <w:keepNext w:val="0"/>
              <w:spacing w:after="60"/>
            </w:pPr>
            <w:r>
              <w:rPr>
                <w:rFonts w:ascii="맑은 고딕" w:hAnsi="맑은 고딕"/>
                <w:color w:val="FFFFFF"/>
                <w:sz w:val="20"/>
              </w:rPr>
              <w:t>검색어</w:t>
            </w:r>
          </w:p>
        </w:tc>
        <w:tc>
          <w:tcPr>
            <w:tcW w:type="dxa" w:w="2268"/>
            <w:shd w:fill="44546A"/>
          </w:tcPr>
          <w:p>
            <w:pPr>
              <w:keepNext w:val="0"/>
              <w:spacing w:after="60"/>
            </w:pPr>
            <w:r>
              <w:rPr>
                <w:rFonts w:ascii="맑은 고딕" w:hAnsi="맑은 고딕"/>
                <w:color w:val="FFFFFF"/>
                <w:sz w:val="20"/>
              </w:rPr>
              <w:t>추출 정보</w:t>
            </w:r>
          </w:p>
        </w:tc>
        <w:tc>
          <w:tcPr>
            <w:tcW w:type="dxa" w:w="2268"/>
            <w:shd w:fill="44546A"/>
          </w:tcPr>
          <w:p>
            <w:pPr>
              <w:keepNext w:val="0"/>
              <w:spacing w:after="60"/>
            </w:pPr>
            <w:r>
              <w:rPr>
                <w:rFonts w:ascii="맑은 고딕" w:hAnsi="맑은 고딕"/>
                <w:color w:val="FFFFFF"/>
                <w:sz w:val="20"/>
              </w:rPr>
              <w:t>연결 지표</w:t>
            </w:r>
          </w:p>
        </w:tc>
      </w:tr>
      <w:tr>
        <w:trPr>
          <w:cantSplit/>
        </w:trPr>
        <w:tc>
          <w:tcPr>
            <w:tcW w:type="dxa" w:w="2268"/>
            <w:shd w:fill="FFFFFF"/>
          </w:tcPr>
          <w:p>
            <w:pPr>
              <w:keepNext w:val="0"/>
              <w:spacing w:after="60"/>
            </w:pPr>
            <w:r>
              <w:rPr>
                <w:rFonts w:ascii="맑은 고딕" w:hAnsi="맑은 고딕"/>
                <w:color w:val="000000"/>
                <w:sz w:val="20"/>
              </w:rPr>
              <w:t>영업손실·손상</w:t>
            </w:r>
          </w:p>
        </w:tc>
        <w:tc>
          <w:tcPr>
            <w:tcW w:type="dxa" w:w="2268"/>
            <w:shd w:fill="FFFFFF"/>
          </w:tcPr>
          <w:p>
            <w:pPr>
              <w:keepNext w:val="0"/>
              <w:spacing w:after="60"/>
            </w:pPr>
            <w:r>
              <w:rPr>
                <w:rFonts w:ascii="맑은 고딕" w:hAnsi="맑은 고딕"/>
                <w:color w:val="000000"/>
                <w:sz w:val="20"/>
              </w:rPr>
              <w:t>영업손실, 손상차손, 손실충당금, 손실부담계약</w:t>
            </w:r>
          </w:p>
        </w:tc>
        <w:tc>
          <w:tcPr>
            <w:tcW w:type="dxa" w:w="2268"/>
            <w:shd w:fill="FFFFFF"/>
          </w:tcPr>
          <w:p>
            <w:pPr>
              <w:keepNext w:val="0"/>
              <w:spacing w:after="60"/>
            </w:pPr>
            <w:r>
              <w:rPr>
                <w:rFonts w:ascii="맑은 고딕" w:hAnsi="맑은 고딕"/>
                <w:color w:val="000000"/>
                <w:sz w:val="20"/>
              </w:rPr>
              <w:t>손실 종류·금액·발생기간</w:t>
            </w:r>
          </w:p>
        </w:tc>
        <w:tc>
          <w:tcPr>
            <w:tcW w:type="dxa" w:w="2268"/>
            <w:shd w:fill="FFFFFF"/>
          </w:tcPr>
          <w:p>
            <w:pPr>
              <w:keepNext w:val="0"/>
              <w:spacing w:after="60"/>
            </w:pPr>
            <w:r>
              <w:rPr>
                <w:rFonts w:ascii="맑은 고딕" w:hAnsi="맑은 고딕"/>
                <w:color w:val="000000"/>
                <w:sz w:val="20"/>
              </w:rPr>
              <w:t>영업이익률, ROE, 자기자본증가율</w:t>
            </w:r>
          </w:p>
        </w:tc>
      </w:tr>
      <w:tr>
        <w:trPr>
          <w:cantSplit/>
        </w:trPr>
        <w:tc>
          <w:tcPr>
            <w:tcW w:type="dxa" w:w="2268"/>
            <w:shd w:fill="FFFFFF"/>
          </w:tcPr>
          <w:p>
            <w:pPr>
              <w:keepNext w:val="0"/>
              <w:spacing w:after="60"/>
            </w:pPr>
            <w:r>
              <w:rPr>
                <w:rFonts w:ascii="맑은 고딕" w:hAnsi="맑은 고딕"/>
                <w:color w:val="000000"/>
                <w:sz w:val="20"/>
              </w:rPr>
              <w:t>매출채권 회수</w:t>
            </w:r>
          </w:p>
        </w:tc>
        <w:tc>
          <w:tcPr>
            <w:tcW w:type="dxa" w:w="2268"/>
            <w:shd w:fill="FFFFFF"/>
          </w:tcPr>
          <w:p>
            <w:pPr>
              <w:keepNext w:val="0"/>
              <w:spacing w:after="60"/>
            </w:pPr>
            <w:r>
              <w:rPr>
                <w:rFonts w:ascii="맑은 고딕" w:hAnsi="맑은 고딕"/>
                <w:color w:val="000000"/>
                <w:sz w:val="20"/>
              </w:rPr>
              <w:t>연령분석, 연체, 기대신용손실, 손실충당금</w:t>
            </w:r>
          </w:p>
        </w:tc>
        <w:tc>
          <w:tcPr>
            <w:tcW w:type="dxa" w:w="2268"/>
            <w:shd w:fill="FFFFFF"/>
          </w:tcPr>
          <w:p>
            <w:pPr>
              <w:keepNext w:val="0"/>
              <w:spacing w:after="60"/>
            </w:pPr>
            <w:r>
              <w:rPr>
                <w:rFonts w:ascii="맑은 고딕" w:hAnsi="맑은 고딕"/>
                <w:color w:val="000000"/>
                <w:sz w:val="20"/>
              </w:rPr>
              <w:t>연령 구간별 채권, 손실충당금 변동</w:t>
            </w:r>
          </w:p>
        </w:tc>
        <w:tc>
          <w:tcPr>
            <w:tcW w:type="dxa" w:w="2268"/>
            <w:shd w:fill="FFFFFF"/>
          </w:tcPr>
          <w:p>
            <w:pPr>
              <w:keepNext w:val="0"/>
              <w:spacing w:after="60"/>
            </w:pPr>
            <w:r>
              <w:rPr>
                <w:rFonts w:ascii="맑은 고딕" w:hAnsi="맑은 고딕"/>
                <w:color w:val="000000"/>
                <w:sz w:val="20"/>
              </w:rPr>
              <w:t>매출채권회전율, 회수기간</w:t>
            </w:r>
          </w:p>
        </w:tc>
      </w:tr>
      <w:tr>
        <w:trPr>
          <w:cantSplit/>
        </w:trPr>
        <w:tc>
          <w:tcPr>
            <w:tcW w:type="dxa" w:w="2268"/>
            <w:shd w:fill="FFFFFF"/>
          </w:tcPr>
          <w:p>
            <w:pPr>
              <w:keepNext w:val="0"/>
              <w:spacing w:after="60"/>
            </w:pPr>
            <w:r>
              <w:rPr>
                <w:rFonts w:ascii="맑은 고딕" w:hAnsi="맑은 고딕"/>
                <w:color w:val="000000"/>
                <w:sz w:val="20"/>
              </w:rPr>
              <w:t>재고자산</w:t>
            </w:r>
          </w:p>
        </w:tc>
        <w:tc>
          <w:tcPr>
            <w:tcW w:type="dxa" w:w="2268"/>
            <w:shd w:fill="FFFFFF"/>
          </w:tcPr>
          <w:p>
            <w:pPr>
              <w:keepNext w:val="0"/>
              <w:spacing w:after="60"/>
            </w:pPr>
            <w:r>
              <w:rPr>
                <w:rFonts w:ascii="맑은 고딕" w:hAnsi="맑은 고딕"/>
                <w:color w:val="000000"/>
                <w:sz w:val="20"/>
              </w:rPr>
              <w:t>평가손실, 평가충당금, 순실현가능가치</w:t>
            </w:r>
          </w:p>
        </w:tc>
        <w:tc>
          <w:tcPr>
            <w:tcW w:type="dxa" w:w="2268"/>
            <w:shd w:fill="FFFFFF"/>
          </w:tcPr>
          <w:p>
            <w:pPr>
              <w:keepNext w:val="0"/>
              <w:spacing w:after="60"/>
            </w:pPr>
            <w:r>
              <w:rPr>
                <w:rFonts w:ascii="맑은 고딕" w:hAnsi="맑은 고딕"/>
                <w:color w:val="000000"/>
                <w:sz w:val="20"/>
              </w:rPr>
              <w:t>평가손실·환입, 장기체화 재고</w:t>
            </w:r>
          </w:p>
        </w:tc>
        <w:tc>
          <w:tcPr>
            <w:tcW w:type="dxa" w:w="2268"/>
            <w:shd w:fill="FFFFFF"/>
          </w:tcPr>
          <w:p>
            <w:pPr>
              <w:keepNext w:val="0"/>
              <w:spacing w:after="60"/>
            </w:pPr>
            <w:r>
              <w:rPr>
                <w:rFonts w:ascii="맑은 고딕" w:hAnsi="맑은 고딕"/>
                <w:color w:val="000000"/>
                <w:sz w:val="20"/>
              </w:rPr>
              <w:t>재고자산회전율, 매출원가율</w:t>
            </w:r>
          </w:p>
        </w:tc>
      </w:tr>
      <w:tr>
        <w:trPr>
          <w:cantSplit/>
        </w:trPr>
        <w:tc>
          <w:tcPr>
            <w:tcW w:type="dxa" w:w="2268"/>
            <w:shd w:fill="FFFFFF"/>
          </w:tcPr>
          <w:p>
            <w:pPr>
              <w:keepNext w:val="0"/>
              <w:spacing w:after="60"/>
            </w:pPr>
            <w:r>
              <w:rPr>
                <w:rFonts w:ascii="맑은 고딕" w:hAnsi="맑은 고딕"/>
                <w:color w:val="000000"/>
                <w:sz w:val="20"/>
              </w:rPr>
              <w:t>차입금 증가</w:t>
            </w:r>
          </w:p>
        </w:tc>
        <w:tc>
          <w:tcPr>
            <w:tcW w:type="dxa" w:w="2268"/>
            <w:shd w:fill="FFFFFF"/>
          </w:tcPr>
          <w:p>
            <w:pPr>
              <w:keepNext w:val="0"/>
              <w:spacing w:after="60"/>
            </w:pPr>
            <w:r>
              <w:rPr>
                <w:rFonts w:ascii="맑은 고딕" w:hAnsi="맑은 고딕"/>
                <w:color w:val="000000"/>
                <w:sz w:val="20"/>
              </w:rPr>
              <w:t>신규차입, 차입금 증감, 유동성대체</w:t>
            </w:r>
          </w:p>
        </w:tc>
        <w:tc>
          <w:tcPr>
            <w:tcW w:type="dxa" w:w="2268"/>
            <w:shd w:fill="FFFFFF"/>
          </w:tcPr>
          <w:p>
            <w:pPr>
              <w:keepNext w:val="0"/>
              <w:spacing w:after="60"/>
            </w:pPr>
            <w:r>
              <w:rPr>
                <w:rFonts w:ascii="맑은 고딕" w:hAnsi="맑은 고딕"/>
                <w:color w:val="000000"/>
                <w:sz w:val="20"/>
              </w:rPr>
              <w:t>신규·상환 금액, 만기, 금리</w:t>
            </w:r>
          </w:p>
        </w:tc>
        <w:tc>
          <w:tcPr>
            <w:tcW w:type="dxa" w:w="2268"/>
            <w:shd w:fill="FFFFFF"/>
          </w:tcPr>
          <w:p>
            <w:pPr>
              <w:keepNext w:val="0"/>
              <w:spacing w:after="60"/>
            </w:pPr>
            <w:r>
              <w:rPr>
                <w:rFonts w:ascii="맑은 고딕" w:hAnsi="맑은 고딕"/>
                <w:color w:val="000000"/>
                <w:sz w:val="20"/>
              </w:rPr>
              <w:t>차입금의존도, 단기차입 비중</w:t>
            </w:r>
          </w:p>
        </w:tc>
      </w:tr>
      <w:tr>
        <w:trPr>
          <w:cantSplit/>
        </w:trPr>
        <w:tc>
          <w:tcPr>
            <w:tcW w:type="dxa" w:w="2268"/>
            <w:shd w:fill="FFFFFF"/>
          </w:tcPr>
          <w:p>
            <w:pPr>
              <w:keepNext w:val="0"/>
              <w:spacing w:after="60"/>
            </w:pPr>
            <w:r>
              <w:rPr>
                <w:rFonts w:ascii="맑은 고딕" w:hAnsi="맑은 고딕"/>
                <w:color w:val="000000"/>
                <w:sz w:val="20"/>
              </w:rPr>
              <w:t>자본잠식</w:t>
            </w:r>
          </w:p>
        </w:tc>
        <w:tc>
          <w:tcPr>
            <w:tcW w:type="dxa" w:w="2268"/>
            <w:shd w:fill="FFFFFF"/>
          </w:tcPr>
          <w:p>
            <w:pPr>
              <w:keepNext w:val="0"/>
              <w:spacing w:after="60"/>
            </w:pPr>
            <w:r>
              <w:rPr>
                <w:rFonts w:ascii="맑은 고딕" w:hAnsi="맑은 고딕"/>
                <w:color w:val="000000"/>
                <w:sz w:val="20"/>
              </w:rPr>
              <w:t>자본금, 자본총계, 결손금, 감자</w:t>
            </w:r>
          </w:p>
        </w:tc>
        <w:tc>
          <w:tcPr>
            <w:tcW w:type="dxa" w:w="2268"/>
            <w:shd w:fill="FFFFFF"/>
          </w:tcPr>
          <w:p>
            <w:pPr>
              <w:keepNext w:val="0"/>
              <w:spacing w:after="60"/>
            </w:pPr>
            <w:r>
              <w:rPr>
                <w:rFonts w:ascii="맑은 고딕" w:hAnsi="맑은 고딕"/>
                <w:color w:val="000000"/>
                <w:sz w:val="20"/>
              </w:rPr>
              <w:t>납입자본금, 자기자본, 결손금</w:t>
            </w:r>
          </w:p>
        </w:tc>
        <w:tc>
          <w:tcPr>
            <w:tcW w:type="dxa" w:w="2268"/>
            <w:shd w:fill="FFFFFF"/>
          </w:tcPr>
          <w:p>
            <w:pPr>
              <w:keepNext w:val="0"/>
              <w:spacing w:after="60"/>
            </w:pPr>
            <w:r>
              <w:rPr>
                <w:rFonts w:ascii="맑은 고딕" w:hAnsi="맑은 고딕"/>
                <w:color w:val="000000"/>
                <w:sz w:val="20"/>
              </w:rPr>
              <w:t>자기자본비율, 자본잠식 여부</w:t>
            </w:r>
          </w:p>
        </w:tc>
      </w:tr>
      <w:tr>
        <w:trPr>
          <w:cantSplit/>
        </w:trPr>
        <w:tc>
          <w:tcPr>
            <w:tcW w:type="dxa" w:w="2268"/>
            <w:shd w:fill="FFFFFF"/>
          </w:tcPr>
          <w:p>
            <w:pPr>
              <w:keepNext w:val="0"/>
              <w:spacing w:after="60"/>
            </w:pPr>
            <w:r>
              <w:rPr>
                <w:rFonts w:ascii="맑은 고딕" w:hAnsi="맑은 고딕"/>
                <w:color w:val="000000"/>
                <w:sz w:val="20"/>
              </w:rPr>
              <w:t>자산 투자·처분</w:t>
            </w:r>
          </w:p>
        </w:tc>
        <w:tc>
          <w:tcPr>
            <w:tcW w:type="dxa" w:w="2268"/>
            <w:shd w:fill="FFFFFF"/>
          </w:tcPr>
          <w:p>
            <w:pPr>
              <w:keepNext w:val="0"/>
              <w:spacing w:after="60"/>
            </w:pPr>
            <w:r>
              <w:rPr>
                <w:rFonts w:ascii="맑은 고딕" w:hAnsi="맑은 고딕"/>
                <w:color w:val="000000"/>
                <w:sz w:val="20"/>
              </w:rPr>
              <w:t>토지, 건물, 기계장치, 건설중인자산, 처분</w:t>
            </w:r>
          </w:p>
        </w:tc>
        <w:tc>
          <w:tcPr>
            <w:tcW w:type="dxa" w:w="2268"/>
            <w:shd w:fill="FFFFFF"/>
          </w:tcPr>
          <w:p>
            <w:pPr>
              <w:keepNext w:val="0"/>
              <w:spacing w:after="60"/>
            </w:pPr>
            <w:r>
              <w:rPr>
                <w:rFonts w:ascii="맑은 고딕" w:hAnsi="맑은 고딕"/>
                <w:color w:val="000000"/>
                <w:sz w:val="20"/>
              </w:rPr>
              <w:t>취득·처분·감가상각·손상·재분류</w:t>
            </w:r>
          </w:p>
        </w:tc>
        <w:tc>
          <w:tcPr>
            <w:tcW w:type="dxa" w:w="2268"/>
            <w:shd w:fill="FFFFFF"/>
          </w:tcPr>
          <w:p>
            <w:pPr>
              <w:keepNext w:val="0"/>
              <w:spacing w:after="60"/>
            </w:pPr>
            <w:r>
              <w:rPr>
                <w:rFonts w:ascii="맑은 고딕" w:hAnsi="맑은 고딕"/>
                <w:color w:val="000000"/>
                <w:sz w:val="20"/>
              </w:rPr>
              <w:t>총자산증가율, CAPEX, FCF</w:t>
            </w:r>
          </w:p>
        </w:tc>
      </w:tr>
      <w:tr>
        <w:trPr>
          <w:cantSplit/>
        </w:trPr>
        <w:tc>
          <w:tcPr>
            <w:tcW w:type="dxa" w:w="2268"/>
            <w:shd w:fill="FFFFFF"/>
          </w:tcPr>
          <w:p>
            <w:pPr>
              <w:keepNext w:val="0"/>
              <w:spacing w:after="60"/>
            </w:pPr>
            <w:r>
              <w:rPr>
                <w:rFonts w:ascii="맑은 고딕" w:hAnsi="맑은 고딕"/>
                <w:color w:val="000000"/>
                <w:sz w:val="20"/>
              </w:rPr>
              <w:t>관계자 자금거래</w:t>
            </w:r>
          </w:p>
        </w:tc>
        <w:tc>
          <w:tcPr>
            <w:tcW w:type="dxa" w:w="2268"/>
            <w:shd w:fill="FFFFFF"/>
          </w:tcPr>
          <w:p>
            <w:pPr>
              <w:keepNext w:val="0"/>
              <w:spacing w:after="60"/>
            </w:pPr>
            <w:r>
              <w:rPr>
                <w:rFonts w:ascii="맑은 고딕" w:hAnsi="맑은 고딕"/>
                <w:color w:val="000000"/>
                <w:sz w:val="20"/>
              </w:rPr>
              <w:t>가지급금, 대여금, 특수관계자, 임직원</w:t>
            </w:r>
          </w:p>
        </w:tc>
        <w:tc>
          <w:tcPr>
            <w:tcW w:type="dxa" w:w="2268"/>
            <w:shd w:fill="FFFFFF"/>
          </w:tcPr>
          <w:p>
            <w:pPr>
              <w:keepNext w:val="0"/>
              <w:spacing w:after="60"/>
            </w:pPr>
            <w:r>
              <w:rPr>
                <w:rFonts w:ascii="맑은 고딕" w:hAnsi="맑은 고딕"/>
                <w:color w:val="000000"/>
                <w:sz w:val="20"/>
              </w:rPr>
              <w:t>상대방, 잔액, 신규 대여·회수, 충당금</w:t>
            </w:r>
          </w:p>
        </w:tc>
        <w:tc>
          <w:tcPr>
            <w:tcW w:type="dxa" w:w="2268"/>
            <w:shd w:fill="FFFFFF"/>
          </w:tcPr>
          <w:p>
            <w:pPr>
              <w:keepNext w:val="0"/>
              <w:spacing w:after="60"/>
            </w:pPr>
            <w:r>
              <w:rPr>
                <w:rFonts w:ascii="맑은 고딕" w:hAnsi="맑은 고딕"/>
                <w:color w:val="000000"/>
                <w:sz w:val="20"/>
              </w:rPr>
              <w:t>자금유출 및 회수 가능성</w:t>
            </w:r>
          </w:p>
        </w:tc>
      </w:tr>
      <w:tr>
        <w:trPr>
          <w:cantSplit/>
        </w:trPr>
        <w:tc>
          <w:tcPr>
            <w:tcW w:type="dxa" w:w="2268"/>
            <w:shd w:fill="FFFFFF"/>
          </w:tcPr>
          <w:p>
            <w:pPr>
              <w:keepNext w:val="0"/>
              <w:spacing w:after="60"/>
            </w:pPr>
            <w:r>
              <w:rPr>
                <w:rFonts w:ascii="맑은 고딕" w:hAnsi="맑은 고딕"/>
                <w:color w:val="000000"/>
                <w:sz w:val="20"/>
              </w:rPr>
              <w:t>현금흐름 악화</w:t>
            </w:r>
          </w:p>
        </w:tc>
        <w:tc>
          <w:tcPr>
            <w:tcW w:type="dxa" w:w="2268"/>
            <w:shd w:fill="FFFFFF"/>
          </w:tcPr>
          <w:p>
            <w:pPr>
              <w:keepNext w:val="0"/>
              <w:spacing w:after="60"/>
            </w:pPr>
            <w:r>
              <w:rPr>
                <w:rFonts w:ascii="맑은 고딕" w:hAnsi="맑은 고딕"/>
                <w:color w:val="000000"/>
                <w:sz w:val="20"/>
              </w:rPr>
              <w:t>영업활동현금흐름, 운전자본변동, 이자지급</w:t>
            </w:r>
          </w:p>
        </w:tc>
        <w:tc>
          <w:tcPr>
            <w:tcW w:type="dxa" w:w="2268"/>
            <w:shd w:fill="FFFFFF"/>
          </w:tcPr>
          <w:p>
            <w:pPr>
              <w:keepNext w:val="0"/>
              <w:spacing w:after="60"/>
            </w:pPr>
            <w:r>
              <w:rPr>
                <w:rFonts w:ascii="맑은 고딕" w:hAnsi="맑은 고딕"/>
                <w:color w:val="000000"/>
                <w:sz w:val="20"/>
              </w:rPr>
              <w:t>현금흐름의 주요 변동 원인</w:t>
            </w:r>
          </w:p>
        </w:tc>
        <w:tc>
          <w:tcPr>
            <w:tcW w:type="dxa" w:w="2268"/>
            <w:shd w:fill="FFFFFF"/>
          </w:tcPr>
          <w:p>
            <w:pPr>
              <w:keepNext w:val="0"/>
              <w:spacing w:after="60"/>
            </w:pPr>
            <w:r>
              <w:rPr>
                <w:rFonts w:ascii="맑은 고딕" w:hAnsi="맑은 고딕"/>
                <w:color w:val="000000"/>
                <w:sz w:val="20"/>
              </w:rPr>
              <w:t>영업CF, FCF, 현금보상비율</w:t>
            </w:r>
          </w:p>
        </w:tc>
      </w:tr>
    </w:tbl>
    <w:p>
      <w:pPr>
        <w:pStyle w:val="Heading2"/>
        <w:spacing w:after="120"/>
      </w:pPr>
      <w:r>
        <w:t>보완 산식</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024"/>
            <w:shd w:fill="44546A"/>
          </w:tcPr>
          <w:p>
            <w:pPr>
              <w:keepNext w:val="0"/>
              <w:spacing w:after="60"/>
            </w:pPr>
            <w:r>
              <w:rPr>
                <w:rFonts w:ascii="맑은 고딕" w:hAnsi="맑은 고딕"/>
                <w:color w:val="FFFFFF"/>
                <w:sz w:val="20"/>
              </w:rPr>
              <w:t>지표</w:t>
            </w:r>
          </w:p>
        </w:tc>
        <w:tc>
          <w:tcPr>
            <w:tcW w:type="dxa" w:w="3024"/>
            <w:shd w:fill="44546A"/>
          </w:tcPr>
          <w:p>
            <w:pPr>
              <w:keepNext w:val="0"/>
              <w:spacing w:after="60"/>
            </w:pPr>
            <w:r>
              <w:rPr>
                <w:rFonts w:ascii="맑은 고딕" w:hAnsi="맑은 고딕"/>
                <w:color w:val="FFFFFF"/>
                <w:sz w:val="20"/>
              </w:rPr>
              <w:t>산식</w:t>
            </w:r>
          </w:p>
        </w:tc>
        <w:tc>
          <w:tcPr>
            <w:tcW w:type="dxa" w:w="3024"/>
            <w:shd w:fill="44546A"/>
          </w:tcPr>
          <w:p>
            <w:pPr>
              <w:keepNext w:val="0"/>
              <w:spacing w:after="60"/>
            </w:pPr>
            <w:r>
              <w:rPr>
                <w:rFonts w:ascii="맑은 고딕" w:hAnsi="맑은 고딕"/>
                <w:color w:val="FFFFFF"/>
                <w:sz w:val="20"/>
              </w:rPr>
              <w:t>해석 및 주의사항</w:t>
            </w:r>
          </w:p>
        </w:tc>
      </w:tr>
      <w:tr>
        <w:trPr>
          <w:cantSplit/>
        </w:trPr>
        <w:tc>
          <w:tcPr>
            <w:tcW w:type="dxa" w:w="3024"/>
            <w:shd w:fill="FFFFFF"/>
          </w:tcPr>
          <w:p>
            <w:pPr>
              <w:keepNext w:val="0"/>
              <w:spacing w:after="60"/>
            </w:pPr>
            <w:r>
              <w:rPr>
                <w:rFonts w:ascii="맑은 고딕" w:hAnsi="맑은 고딕"/>
                <w:color w:val="000000"/>
                <w:sz w:val="20"/>
              </w:rPr>
              <w:t>매출원가율</w:t>
            </w:r>
          </w:p>
        </w:tc>
        <w:tc>
          <w:tcPr>
            <w:tcW w:type="dxa" w:w="3024"/>
            <w:shd w:fill="FFFFFF"/>
          </w:tcPr>
          <w:p>
            <w:pPr>
              <w:keepNext w:val="0"/>
              <w:spacing w:after="60"/>
            </w:pPr>
            <w:r>
              <w:rPr>
                <w:rFonts w:ascii="맑은 고딕" w:hAnsi="맑은 고딕"/>
                <w:color w:val="000000"/>
                <w:sz w:val="20"/>
              </w:rPr>
              <w:t>매출원가÷매출액×100</w:t>
            </w:r>
          </w:p>
        </w:tc>
        <w:tc>
          <w:tcPr>
            <w:tcW w:type="dxa" w:w="3024"/>
            <w:shd w:fill="FFFFFF"/>
          </w:tcPr>
          <w:p>
            <w:pPr>
              <w:keepNext w:val="0"/>
              <w:spacing w:after="60"/>
            </w:pPr>
            <w:r>
              <w:rPr>
                <w:rFonts w:ascii="맑은 고딕" w:hAnsi="맑은 고딕"/>
                <w:color w:val="000000"/>
                <w:sz w:val="20"/>
              </w:rPr>
              <w:t>상승할수록 원가 부담 심화 가능. 업종 내 상대 수준과 전년 대비 상승폭을 함께 봄</w:t>
            </w:r>
          </w:p>
        </w:tc>
      </w:tr>
      <w:tr>
        <w:trPr>
          <w:cantSplit/>
        </w:trPr>
        <w:tc>
          <w:tcPr>
            <w:tcW w:type="dxa" w:w="3024"/>
            <w:shd w:fill="FFFFFF"/>
          </w:tcPr>
          <w:p>
            <w:pPr>
              <w:keepNext w:val="0"/>
              <w:spacing w:after="60"/>
            </w:pPr>
            <w:r>
              <w:rPr>
                <w:rFonts w:ascii="맑은 고딕" w:hAnsi="맑은 고딕"/>
                <w:color w:val="000000"/>
                <w:sz w:val="20"/>
              </w:rPr>
              <w:t>판관비율</w:t>
            </w:r>
          </w:p>
        </w:tc>
        <w:tc>
          <w:tcPr>
            <w:tcW w:type="dxa" w:w="3024"/>
            <w:shd w:fill="FFFFFF"/>
          </w:tcPr>
          <w:p>
            <w:pPr>
              <w:keepNext w:val="0"/>
              <w:spacing w:after="60"/>
            </w:pPr>
            <w:r>
              <w:rPr>
                <w:rFonts w:ascii="맑은 고딕" w:hAnsi="맑은 고딕"/>
                <w:color w:val="000000"/>
                <w:sz w:val="20"/>
              </w:rPr>
              <w:t>판관비÷매출액×100</w:t>
            </w:r>
          </w:p>
        </w:tc>
        <w:tc>
          <w:tcPr>
            <w:tcW w:type="dxa" w:w="3024"/>
            <w:shd w:fill="FFFFFF"/>
          </w:tcPr>
          <w:p>
            <w:pPr>
              <w:keepNext w:val="0"/>
              <w:spacing w:after="60"/>
            </w:pPr>
            <w:r>
              <w:rPr>
                <w:rFonts w:ascii="맑은 고딕" w:hAnsi="맑은 고딕"/>
                <w:color w:val="000000"/>
                <w:sz w:val="20"/>
              </w:rPr>
              <w:t>상승 원인을 고정비·변동비로 구분</w:t>
            </w:r>
          </w:p>
        </w:tc>
      </w:tr>
      <w:tr>
        <w:trPr>
          <w:cantSplit/>
        </w:trPr>
        <w:tc>
          <w:tcPr>
            <w:tcW w:type="dxa" w:w="3024"/>
            <w:shd w:fill="FFFFFF"/>
          </w:tcPr>
          <w:p>
            <w:pPr>
              <w:keepNext w:val="0"/>
              <w:spacing w:after="60"/>
            </w:pPr>
            <w:r>
              <w:rPr>
                <w:rFonts w:ascii="맑은 고딕" w:hAnsi="맑은 고딕"/>
                <w:color w:val="000000"/>
                <w:sz w:val="20"/>
              </w:rPr>
              <w:t>EBITDA마진율</w:t>
            </w:r>
          </w:p>
        </w:tc>
        <w:tc>
          <w:tcPr>
            <w:tcW w:type="dxa" w:w="3024"/>
            <w:shd w:fill="FFFFFF"/>
          </w:tcPr>
          <w:p>
            <w:pPr>
              <w:keepNext w:val="0"/>
              <w:spacing w:after="60"/>
            </w:pPr>
            <w:r>
              <w:rPr>
                <w:rFonts w:ascii="맑은 고딕" w:hAnsi="맑은 고딕"/>
                <w:color w:val="000000"/>
                <w:sz w:val="20"/>
              </w:rPr>
              <w:t>EBITDA÷매출액×100</w:t>
            </w:r>
          </w:p>
        </w:tc>
        <w:tc>
          <w:tcPr>
            <w:tcW w:type="dxa" w:w="3024"/>
            <w:shd w:fill="FFFFFF"/>
          </w:tcPr>
          <w:p>
            <w:pPr>
              <w:keepNext w:val="0"/>
              <w:spacing w:after="60"/>
            </w:pPr>
            <w:r>
              <w:rPr>
                <w:rFonts w:ascii="맑은 고딕" w:hAnsi="맑은 고딕"/>
                <w:color w:val="000000"/>
                <w:sz w:val="20"/>
              </w:rPr>
              <w:t>영업현금흐름과 동일하지 않음</w:t>
            </w:r>
          </w:p>
        </w:tc>
      </w:tr>
      <w:tr>
        <w:trPr>
          <w:cantSplit/>
        </w:trPr>
        <w:tc>
          <w:tcPr>
            <w:tcW w:type="dxa" w:w="3024"/>
            <w:shd w:fill="FFFFFF"/>
          </w:tcPr>
          <w:p>
            <w:pPr>
              <w:keepNext w:val="0"/>
              <w:spacing w:after="60"/>
            </w:pPr>
            <w:r>
              <w:rPr>
                <w:rFonts w:ascii="맑은 고딕" w:hAnsi="맑은 고딕"/>
                <w:color w:val="000000"/>
                <w:sz w:val="20"/>
              </w:rPr>
              <w:t>차입금의존도</w:t>
            </w:r>
          </w:p>
        </w:tc>
        <w:tc>
          <w:tcPr>
            <w:tcW w:type="dxa" w:w="3024"/>
            <w:shd w:fill="FFFFFF"/>
          </w:tcPr>
          <w:p>
            <w:pPr>
              <w:keepNext w:val="0"/>
              <w:spacing w:after="60"/>
            </w:pPr>
            <w:r>
              <w:rPr>
                <w:rFonts w:ascii="맑은 고딕" w:hAnsi="맑은 고딕"/>
                <w:color w:val="000000"/>
                <w:sz w:val="20"/>
              </w:rPr>
              <w:t>이자부 차입금÷총자산×100</w:t>
            </w:r>
          </w:p>
        </w:tc>
        <w:tc>
          <w:tcPr>
            <w:tcW w:type="dxa" w:w="3024"/>
            <w:shd w:fill="FFFFFF"/>
          </w:tcPr>
          <w:p>
            <w:pPr>
              <w:keepNext w:val="0"/>
              <w:spacing w:after="60"/>
            </w:pPr>
            <w:r>
              <w:rPr>
                <w:rFonts w:ascii="맑은 고딕" w:hAnsi="맑은 고딕"/>
                <w:color w:val="000000"/>
                <w:sz w:val="20"/>
              </w:rPr>
              <w:t>포함할 차입금·리스부채 범위를 통일. 업종별 자산구조 차이가 커 고정 경고 기준보다 비교·추세 지표로 활용</w:t>
            </w:r>
          </w:p>
        </w:tc>
      </w:tr>
      <w:tr>
        <w:trPr>
          <w:cantSplit/>
        </w:trPr>
        <w:tc>
          <w:tcPr>
            <w:tcW w:type="dxa" w:w="3024"/>
            <w:shd w:fill="FFFFFF"/>
          </w:tcPr>
          <w:p>
            <w:pPr>
              <w:keepNext w:val="0"/>
              <w:spacing w:after="60"/>
            </w:pPr>
            <w:r>
              <w:rPr>
                <w:rFonts w:ascii="맑은 고딕" w:hAnsi="맑은 고딕"/>
                <w:color w:val="000000"/>
                <w:sz w:val="20"/>
              </w:rPr>
              <w:t>고정장기적합률</w:t>
            </w:r>
          </w:p>
        </w:tc>
        <w:tc>
          <w:tcPr>
            <w:tcW w:type="dxa" w:w="3024"/>
            <w:shd w:fill="FFFFFF"/>
          </w:tcPr>
          <w:p>
            <w:pPr>
              <w:keepNext w:val="0"/>
              <w:spacing w:after="60"/>
            </w:pPr>
            <w:r>
              <w:rPr>
                <w:rFonts w:ascii="맑은 고딕" w:hAnsi="맑은 고딕"/>
                <w:color w:val="000000"/>
                <w:sz w:val="20"/>
              </w:rPr>
              <w:t>비유동자산÷(자기자본+비유동부채)×100</w:t>
            </w:r>
          </w:p>
        </w:tc>
        <w:tc>
          <w:tcPr>
            <w:tcW w:type="dxa" w:w="3024"/>
            <w:shd w:fill="FFFFFF"/>
          </w:tcPr>
          <w:p>
            <w:pPr>
              <w:keepNext w:val="0"/>
              <w:spacing w:after="60"/>
            </w:pPr>
            <w:r>
              <w:rPr>
                <w:rFonts w:ascii="맑은 고딕" w:hAnsi="맑은 고딕"/>
                <w:color w:val="000000"/>
                <w:sz w:val="20"/>
              </w:rPr>
              <w:t>높을수록 장기자금 조달 부담 가능</w:t>
            </w:r>
          </w:p>
        </w:tc>
      </w:tr>
      <w:tr>
        <w:trPr>
          <w:cantSplit/>
        </w:trPr>
        <w:tc>
          <w:tcPr>
            <w:tcW w:type="dxa" w:w="3024"/>
            <w:shd w:fill="FFFFFF"/>
          </w:tcPr>
          <w:p>
            <w:pPr>
              <w:keepNext w:val="0"/>
              <w:spacing w:after="60"/>
            </w:pPr>
            <w:r>
              <w:rPr>
                <w:rFonts w:ascii="맑은 고딕" w:hAnsi="맑은 고딕"/>
                <w:color w:val="000000"/>
                <w:sz w:val="20"/>
              </w:rPr>
              <w:t>순운전자본회전율</w:t>
            </w:r>
          </w:p>
        </w:tc>
        <w:tc>
          <w:tcPr>
            <w:tcW w:type="dxa" w:w="3024"/>
            <w:shd w:fill="FFFFFF"/>
          </w:tcPr>
          <w:p>
            <w:pPr>
              <w:keepNext w:val="0"/>
              <w:spacing w:after="60"/>
            </w:pPr>
            <w:r>
              <w:rPr>
                <w:rFonts w:ascii="맑은 고딕" w:hAnsi="맑은 고딕"/>
                <w:color w:val="000000"/>
                <w:sz w:val="20"/>
              </w:rPr>
              <w:t>매출액÷평균 순운전자본</w:t>
            </w:r>
          </w:p>
        </w:tc>
        <w:tc>
          <w:tcPr>
            <w:tcW w:type="dxa" w:w="3024"/>
            <w:shd w:fill="FFFFFF"/>
          </w:tcPr>
          <w:p>
            <w:pPr>
              <w:keepNext w:val="0"/>
              <w:spacing w:after="60"/>
            </w:pPr>
            <w:r>
              <w:rPr>
                <w:rFonts w:ascii="맑은 고딕" w:hAnsi="맑은 고딕"/>
                <w:color w:val="000000"/>
                <w:sz w:val="20"/>
              </w:rPr>
              <w:t>순운전자본이 0 이하이면 해석 제한</w:t>
            </w:r>
          </w:p>
        </w:tc>
      </w:tr>
      <w:tr>
        <w:trPr>
          <w:cantSplit/>
        </w:trPr>
        <w:tc>
          <w:tcPr>
            <w:tcW w:type="dxa" w:w="3024"/>
            <w:shd w:fill="FFFFFF"/>
          </w:tcPr>
          <w:p>
            <w:pPr>
              <w:keepNext w:val="0"/>
              <w:spacing w:after="60"/>
            </w:pPr>
            <w:r>
              <w:rPr>
                <w:rFonts w:ascii="맑은 고딕" w:hAnsi="맑은 고딕"/>
                <w:color w:val="000000"/>
                <w:sz w:val="20"/>
              </w:rPr>
              <w:t>총자산회전율</w:t>
            </w:r>
          </w:p>
        </w:tc>
        <w:tc>
          <w:tcPr>
            <w:tcW w:type="dxa" w:w="3024"/>
            <w:shd w:fill="FFFFFF"/>
          </w:tcPr>
          <w:p>
            <w:pPr>
              <w:keepNext w:val="0"/>
              <w:spacing w:after="60"/>
            </w:pPr>
            <w:r>
              <w:rPr>
                <w:rFonts w:ascii="맑은 고딕" w:hAnsi="맑은 고딕"/>
                <w:color w:val="000000"/>
                <w:sz w:val="20"/>
              </w:rPr>
              <w:t>매출액÷평균 총자산</w:t>
            </w:r>
          </w:p>
        </w:tc>
        <w:tc>
          <w:tcPr>
            <w:tcW w:type="dxa" w:w="3024"/>
            <w:shd w:fill="FFFFFF"/>
          </w:tcPr>
          <w:p>
            <w:pPr>
              <w:keepNext w:val="0"/>
              <w:spacing w:after="60"/>
            </w:pPr>
            <w:r>
              <w:rPr>
                <w:rFonts w:ascii="맑은 고딕" w:hAnsi="맑은 고딕"/>
                <w:color w:val="000000"/>
                <w:sz w:val="20"/>
              </w:rPr>
              <w:t>자산 활용 효율성 판단. 자산집약도 고려</w:t>
            </w:r>
          </w:p>
        </w:tc>
      </w:tr>
      <w:tr>
        <w:trPr>
          <w:cantSplit/>
        </w:trPr>
        <w:tc>
          <w:tcPr>
            <w:tcW w:type="dxa" w:w="3024"/>
            <w:shd w:fill="FFFFFF"/>
          </w:tcPr>
          <w:p>
            <w:pPr>
              <w:keepNext w:val="0"/>
              <w:spacing w:after="60"/>
            </w:pPr>
            <w:r>
              <w:rPr>
                <w:rFonts w:ascii="맑은 고딕" w:hAnsi="맑은 고딕"/>
                <w:color w:val="000000"/>
                <w:sz w:val="20"/>
              </w:rPr>
              <w:t>FCF/차입금</w:t>
            </w:r>
          </w:p>
        </w:tc>
        <w:tc>
          <w:tcPr>
            <w:tcW w:type="dxa" w:w="3024"/>
            <w:shd w:fill="FFFFFF"/>
          </w:tcPr>
          <w:p>
            <w:pPr>
              <w:keepNext w:val="0"/>
              <w:spacing w:after="60"/>
            </w:pPr>
            <w:r>
              <w:rPr>
                <w:rFonts w:ascii="맑은 고딕" w:hAnsi="맑은 고딕"/>
                <w:color w:val="000000"/>
                <w:sz w:val="20"/>
              </w:rPr>
              <w:t>FCF÷이자부 차입금×100</w:t>
            </w:r>
          </w:p>
        </w:tc>
        <w:tc>
          <w:tcPr>
            <w:tcW w:type="dxa" w:w="3024"/>
            <w:shd w:fill="FFFFFF"/>
          </w:tcPr>
          <w:p>
            <w:pPr>
              <w:keepNext w:val="0"/>
              <w:spacing w:after="60"/>
            </w:pPr>
            <w:r>
              <w:rPr>
                <w:rFonts w:ascii="맑은 고딕" w:hAnsi="맑은 고딕"/>
                <w:color w:val="000000"/>
                <w:sz w:val="20"/>
              </w:rPr>
              <w:t>투자지출 후 잔여 현금의 차입금 대비 규모</w:t>
            </w:r>
          </w:p>
        </w:tc>
      </w:tr>
      <w:tr>
        <w:trPr>
          <w:cantSplit/>
        </w:trPr>
        <w:tc>
          <w:tcPr>
            <w:tcW w:type="dxa" w:w="3024"/>
            <w:shd w:fill="FFFFFF"/>
          </w:tcPr>
          <w:p>
            <w:pPr>
              <w:keepNext w:val="0"/>
              <w:spacing w:after="60"/>
            </w:pPr>
            <w:r>
              <w:rPr>
                <w:rFonts w:ascii="맑은 고딕" w:hAnsi="맑은 고딕"/>
                <w:color w:val="000000"/>
                <w:sz w:val="20"/>
              </w:rPr>
              <w:t>현금흐름/차입금</w:t>
            </w:r>
          </w:p>
        </w:tc>
        <w:tc>
          <w:tcPr>
            <w:tcW w:type="dxa" w:w="3024"/>
            <w:shd w:fill="FFFFFF"/>
          </w:tcPr>
          <w:p>
            <w:pPr>
              <w:keepNext w:val="0"/>
              <w:spacing w:after="60"/>
            </w:pPr>
            <w:r>
              <w:rPr>
                <w:rFonts w:ascii="맑은 고딕" w:hAnsi="맑은 고딕"/>
                <w:color w:val="000000"/>
                <w:sz w:val="20"/>
              </w:rPr>
              <w:t>영업CF÷이자부 차입금×100</w:t>
            </w:r>
          </w:p>
        </w:tc>
        <w:tc>
          <w:tcPr>
            <w:tcW w:type="dxa" w:w="3024"/>
            <w:shd w:fill="FFFFFF"/>
          </w:tcPr>
          <w:p>
            <w:pPr>
              <w:keepNext w:val="0"/>
              <w:spacing w:after="60"/>
            </w:pPr>
            <w:r>
              <w:rPr>
                <w:rFonts w:ascii="맑은 고딕" w:hAnsi="맑은 고딕"/>
                <w:color w:val="000000"/>
                <w:sz w:val="20"/>
              </w:rPr>
              <w:t>차입금 잔액에 대한 현금창출력</w:t>
            </w:r>
          </w:p>
        </w:tc>
      </w:tr>
      <w:tr>
        <w:trPr>
          <w:cantSplit/>
        </w:trPr>
        <w:tc>
          <w:tcPr>
            <w:tcW w:type="dxa" w:w="3024"/>
            <w:shd w:fill="FFFFFF"/>
          </w:tcPr>
          <w:p>
            <w:pPr>
              <w:keepNext w:val="0"/>
              <w:spacing w:after="60"/>
            </w:pPr>
            <w:r>
              <w:rPr>
                <w:rFonts w:ascii="맑은 고딕" w:hAnsi="맑은 고딕"/>
                <w:color w:val="000000"/>
                <w:sz w:val="20"/>
              </w:rPr>
              <w:t>ROIC</w:t>
            </w:r>
          </w:p>
        </w:tc>
        <w:tc>
          <w:tcPr>
            <w:tcW w:type="dxa" w:w="3024"/>
            <w:shd w:fill="FFFFFF"/>
          </w:tcPr>
          <w:p>
            <w:pPr>
              <w:keepNext w:val="0"/>
              <w:spacing w:after="60"/>
            </w:pPr>
            <w:r>
              <w:rPr>
                <w:rFonts w:ascii="맑은 고딕" w:hAnsi="맑은 고딕"/>
                <w:color w:val="000000"/>
                <w:sz w:val="20"/>
              </w:rPr>
              <w:t>세후영업이익(NOPAT)÷평균 투하자본×100</w:t>
            </w:r>
          </w:p>
        </w:tc>
        <w:tc>
          <w:tcPr>
            <w:tcW w:type="dxa" w:w="3024"/>
            <w:shd w:fill="FFFFFF"/>
          </w:tcPr>
          <w:p>
            <w:pPr>
              <w:keepNext w:val="0"/>
              <w:spacing w:after="60"/>
            </w:pPr>
            <w:r>
              <w:rPr>
                <w:rFonts w:ascii="맑은 고딕" w:hAnsi="맑은 고딕"/>
                <w:color w:val="000000"/>
                <w:sz w:val="20"/>
              </w:rPr>
              <w:t>영업상 투자자본의 수익성. 유효세율·평균 투하자본 사용 여부를 통일</w:t>
            </w:r>
          </w:p>
        </w:tc>
      </w:tr>
      <w:tr>
        <w:trPr>
          <w:cantSplit/>
        </w:trPr>
        <w:tc>
          <w:tcPr>
            <w:tcW w:type="dxa" w:w="3024"/>
            <w:shd w:fill="FFFFFF"/>
          </w:tcPr>
          <w:p>
            <w:pPr>
              <w:keepNext w:val="0"/>
              <w:spacing w:after="60"/>
            </w:pPr>
            <w:r>
              <w:rPr>
                <w:rFonts w:ascii="맑은 고딕" w:hAnsi="맑은 고딕"/>
                <w:color w:val="000000"/>
                <w:sz w:val="20"/>
              </w:rPr>
              <w:t>부채상환계수</w:t>
            </w:r>
          </w:p>
        </w:tc>
        <w:tc>
          <w:tcPr>
            <w:tcW w:type="dxa" w:w="3024"/>
            <w:shd w:fill="FFFFFF"/>
          </w:tcPr>
          <w:p>
            <w:pPr>
              <w:keepNext w:val="0"/>
              <w:spacing w:after="60"/>
            </w:pPr>
            <w:r>
              <w:rPr>
                <w:rFonts w:ascii="맑은 고딕" w:hAnsi="맑은 고딕"/>
                <w:color w:val="000000"/>
                <w:sz w:val="20"/>
              </w:rPr>
              <w:t>원자료 산식(영업활동후현금흐름 기준)</w:t>
            </w:r>
          </w:p>
        </w:tc>
        <w:tc>
          <w:tcPr>
            <w:tcW w:type="dxa" w:w="3024"/>
            <w:shd w:fill="FFFFFF"/>
          </w:tcPr>
          <w:p>
            <w:pPr>
              <w:keepNext w:val="0"/>
              <w:spacing w:after="60"/>
            </w:pPr>
            <w:r>
              <w:rPr>
                <w:rFonts w:ascii="맑은 고딕" w:hAnsi="맑은 고딕"/>
                <w:color w:val="000000"/>
                <w:sz w:val="20"/>
              </w:rPr>
              <w:t>일반적인 DSCR과 동일한 지표로 취급하지 않음</w:t>
            </w:r>
          </w:p>
        </w:tc>
      </w:tr>
    </w:tbl>
    <w:p>
      <w:pPr>
        <w:pStyle w:val="Heading2"/>
        <w:spacing w:after="120"/>
      </w:pPr>
      <w:r>
        <w:t>개별·복합 징후 단계</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024"/>
            <w:shd w:fill="44546A"/>
          </w:tcPr>
          <w:p>
            <w:pPr>
              <w:keepNext w:val="0"/>
              <w:spacing w:after="60"/>
            </w:pPr>
            <w:r>
              <w:rPr>
                <w:rFonts w:ascii="맑은 고딕" w:hAnsi="맑은 고딕"/>
                <w:color w:val="FFFFFF"/>
                <w:sz w:val="20"/>
              </w:rPr>
              <w:t>단계</w:t>
            </w:r>
          </w:p>
        </w:tc>
        <w:tc>
          <w:tcPr>
            <w:tcW w:type="dxa" w:w="3024"/>
            <w:shd w:fill="44546A"/>
          </w:tcPr>
          <w:p>
            <w:pPr>
              <w:keepNext w:val="0"/>
              <w:spacing w:after="60"/>
            </w:pPr>
            <w:r>
              <w:rPr>
                <w:rFonts w:ascii="맑은 고딕" w:hAnsi="맑은 고딕"/>
                <w:color w:val="FFFFFF"/>
                <w:sz w:val="20"/>
              </w:rPr>
              <w:t>예시 조건</w:t>
            </w:r>
          </w:p>
        </w:tc>
        <w:tc>
          <w:tcPr>
            <w:tcW w:type="dxa" w:w="3024"/>
            <w:shd w:fill="44546A"/>
          </w:tcPr>
          <w:p>
            <w:pPr>
              <w:keepNext w:val="0"/>
              <w:spacing w:after="60"/>
            </w:pPr>
            <w:r>
              <w:rPr>
                <w:rFonts w:ascii="맑은 고딕" w:hAnsi="맑은 고딕"/>
                <w:color w:val="FFFFFF"/>
                <w:sz w:val="20"/>
              </w:rPr>
              <w:t>화면 처리</w:t>
            </w:r>
          </w:p>
        </w:tc>
      </w:tr>
      <w:tr>
        <w:trPr>
          <w:cantSplit/>
        </w:trPr>
        <w:tc>
          <w:tcPr>
            <w:tcW w:type="dxa" w:w="3024"/>
            <w:shd w:fill="FFFFFF"/>
          </w:tcPr>
          <w:p>
            <w:pPr>
              <w:keepNext w:val="0"/>
              <w:spacing w:after="60"/>
            </w:pPr>
            <w:r>
              <w:rPr>
                <w:rFonts w:ascii="맑은 고딕" w:hAnsi="맑은 고딕"/>
                <w:color w:val="000000"/>
                <w:sz w:val="20"/>
              </w:rPr>
              <w:t>경고</w:t>
            </w:r>
          </w:p>
        </w:tc>
        <w:tc>
          <w:tcPr>
            <w:tcW w:type="dxa" w:w="3024"/>
            <w:shd w:fill="FFFFFF"/>
          </w:tcPr>
          <w:p>
            <w:pPr>
              <w:keepNext w:val="0"/>
              <w:spacing w:after="60"/>
            </w:pPr>
            <w:r>
              <w:rPr>
                <w:rFonts w:ascii="맑은 고딕" w:hAnsi="맑은 고딕"/>
                <w:color w:val="000000"/>
                <w:sz w:val="20"/>
              </w:rPr>
              <w:t>감사의견 비적정·계속기업 관련 중요한 불확실성 기재, 완전자본잠식, 어음·수표 지급거절·회생절차 개시신청 공시, 기한이익상실 사유 발생 문장, 이자보상비율 1배 미만 3년 연속, 재무약정 위반·기한이익상실 실제 발생 (개별 이벤트)</w:t>
            </w:r>
          </w:p>
        </w:tc>
        <w:tc>
          <w:tcPr>
            <w:tcW w:type="dxa" w:w="3024"/>
            <w:shd w:fill="FFFFFF"/>
          </w:tcPr>
          <w:p>
            <w:pPr>
              <w:keepNext w:val="0"/>
              <w:spacing w:after="60"/>
            </w:pPr>
            <w:r>
              <w:rPr>
                <w:rFonts w:ascii="맑은 고딕" w:hAnsi="맑은 고딕"/>
                <w:color w:val="000000"/>
                <w:sz w:val="20"/>
              </w:rPr>
              <w:t>패널 최상단 고정, 원문 확인 필수 항목으로 지정</w:t>
            </w:r>
          </w:p>
        </w:tc>
      </w:tr>
      <w:tr>
        <w:trPr>
          <w:cantSplit/>
        </w:trPr>
        <w:tc>
          <w:tcPr>
            <w:tcW w:type="dxa" w:w="3024"/>
            <w:shd w:fill="FFFFFF"/>
          </w:tcPr>
          <w:p>
            <w:pPr>
              <w:keepNext w:val="0"/>
              <w:spacing w:after="60"/>
            </w:pPr>
            <w:r>
              <w:rPr>
                <w:rFonts w:ascii="맑은 고딕" w:hAnsi="맑은 고딕"/>
                <w:color w:val="000000"/>
                <w:sz w:val="20"/>
              </w:rPr>
              <w:t>경고 (복합)</w:t>
            </w:r>
          </w:p>
        </w:tc>
        <w:tc>
          <w:tcPr>
            <w:tcW w:type="dxa" w:w="3024"/>
            <w:shd w:fill="FFFFFF"/>
          </w:tcPr>
          <w:p>
            <w:pPr>
              <w:keepNext w:val="0"/>
              <w:spacing w:after="60"/>
            </w:pPr>
            <w:r>
              <w:rPr>
                <w:rFonts w:ascii="맑은 고딕" w:hAnsi="맑은 고딕"/>
                <w:color w:val="000000"/>
                <w:sz w:val="20"/>
              </w:rPr>
              <w:t>이자보상비율 1배 미만 3년 연속이면서 영업CF 지속 음수, 차입금 만기 집중과 유동성 부족의 동시 발생 등</w:t>
            </w:r>
          </w:p>
        </w:tc>
        <w:tc>
          <w:tcPr>
            <w:tcW w:type="dxa" w:w="3024"/>
            <w:shd w:fill="FFFFFF"/>
          </w:tcPr>
          <w:p>
            <w:pPr>
              <w:keepNext w:val="0"/>
              <w:spacing w:after="60"/>
            </w:pPr>
            <w:r>
              <w:rPr>
                <w:rFonts w:ascii="맑은 고딕" w:hAnsi="맑은 고딕"/>
                <w:color w:val="000000"/>
                <w:sz w:val="20"/>
              </w:rPr>
              <w:t>복합 위험으로 표시, 계산 근거와 확인 필요 항목 제공</w:t>
            </w:r>
          </w:p>
        </w:tc>
      </w:tr>
      <w:tr>
        <w:trPr>
          <w:cantSplit/>
        </w:trPr>
        <w:tc>
          <w:tcPr>
            <w:tcW w:type="dxa" w:w="3024"/>
            <w:shd w:fill="FFFFFF"/>
          </w:tcPr>
          <w:p>
            <w:pPr>
              <w:keepNext w:val="0"/>
              <w:spacing w:after="60"/>
            </w:pPr>
            <w:r>
              <w:rPr>
                <w:rFonts w:ascii="맑은 고딕" w:hAnsi="맑은 고딕"/>
                <w:color w:val="000000"/>
                <w:sz w:val="20"/>
              </w:rPr>
              <w:t>주의</w:t>
            </w:r>
          </w:p>
        </w:tc>
        <w:tc>
          <w:tcPr>
            <w:tcW w:type="dxa" w:w="3024"/>
            <w:shd w:fill="FFFFFF"/>
          </w:tcPr>
          <w:p>
            <w:pPr>
              <w:keepNext w:val="0"/>
              <w:spacing w:after="60"/>
            </w:pPr>
            <w:r>
              <w:rPr>
                <w:rFonts w:ascii="맑은 고딕" w:hAnsi="맑은 고딕"/>
                <w:color w:val="000000"/>
                <w:sz w:val="20"/>
              </w:rPr>
              <w:t>부분자본잠식, 당기 이자보상비율 1배 미만, 흑자인데 영업CF 2년 연속 음수, 1년 내 만기 차입금이 현금성자산+영업CF 초과, 신용등급 하향·부정적 전망, 제공 보증·조건부 의무의 자기자본 대비 급증, 영업손실 발생</w:t>
            </w:r>
          </w:p>
        </w:tc>
        <w:tc>
          <w:tcPr>
            <w:tcW w:type="dxa" w:w="3024"/>
            <w:shd w:fill="FFFFFF"/>
          </w:tcPr>
          <w:p>
            <w:pPr>
              <w:keepNext w:val="0"/>
              <w:spacing w:after="60"/>
            </w:pPr>
            <w:r>
              <w:rPr>
                <w:rFonts w:ascii="맑은 고딕" w:hAnsi="맑은 고딕"/>
                <w:color w:val="000000"/>
                <w:sz w:val="20"/>
              </w:rPr>
              <w:t>확인 항목 목록에 추가, 근거 원문 연결</w:t>
            </w:r>
          </w:p>
        </w:tc>
      </w:tr>
      <w:tr>
        <w:trPr>
          <w:cantSplit/>
        </w:trPr>
        <w:tc>
          <w:tcPr>
            <w:tcW w:type="dxa" w:w="3024"/>
            <w:shd w:fill="FFFFFF"/>
          </w:tcPr>
          <w:p>
            <w:pPr>
              <w:keepNext w:val="0"/>
              <w:spacing w:after="60"/>
            </w:pPr>
            <w:r>
              <w:rPr>
                <w:rFonts w:ascii="맑은 고딕" w:hAnsi="맑은 고딕"/>
                <w:color w:val="000000"/>
                <w:sz w:val="20"/>
              </w:rPr>
              <w:t>주의 (정량 참고)</w:t>
            </w:r>
          </w:p>
        </w:tc>
        <w:tc>
          <w:tcPr>
            <w:tcW w:type="dxa" w:w="3024"/>
            <w:shd w:fill="FFFFFF"/>
          </w:tcPr>
          <w:p>
            <w:pPr>
              <w:keepNext w:val="0"/>
              <w:spacing w:after="60"/>
            </w:pPr>
            <w:r>
              <w:rPr>
                <w:rFonts w:ascii="맑은 고딕" w:hAnsi="맑은 고딕"/>
                <w:color w:val="000000"/>
                <w:sz w:val="20"/>
              </w:rPr>
              <w:t>단기차입금÷총차입금 40% 이상, 총차입금÷총자산 50% 이상, 부채비율 200% 이상, 매출액 전기 대비 20% 이상 감소</w:t>
            </w:r>
          </w:p>
        </w:tc>
        <w:tc>
          <w:tcPr>
            <w:tcW w:type="dxa" w:w="3024"/>
            <w:shd w:fill="FFFFFF"/>
          </w:tcPr>
          <w:p>
            <w:pPr>
              <w:keepNext w:val="0"/>
              <w:spacing w:after="60"/>
            </w:pPr>
            <w:r>
              <w:rPr>
                <w:rFonts w:ascii="맑은 고딕" w:hAnsi="맑은 고딕"/>
                <w:color w:val="000000"/>
                <w:sz w:val="20"/>
              </w:rPr>
              <w:t>업종별 조정 전 참고 기준으로 표시</w:t>
            </w:r>
          </w:p>
        </w:tc>
      </w:tr>
      <w:tr>
        <w:trPr>
          <w:cantSplit/>
        </w:trPr>
        <w:tc>
          <w:tcPr>
            <w:tcW w:type="dxa" w:w="3024"/>
            <w:shd w:fill="FFFFFF"/>
          </w:tcPr>
          <w:p>
            <w:pPr>
              <w:keepNext w:val="0"/>
              <w:spacing w:after="60"/>
            </w:pPr>
            <w:r>
              <w:rPr>
                <w:rFonts w:ascii="맑은 고딕" w:hAnsi="맑은 고딕"/>
                <w:color w:val="000000"/>
                <w:sz w:val="20"/>
              </w:rPr>
              <w:t>관찰</w:t>
            </w:r>
          </w:p>
        </w:tc>
        <w:tc>
          <w:tcPr>
            <w:tcW w:type="dxa" w:w="3024"/>
            <w:shd w:fill="FFFFFF"/>
          </w:tcPr>
          <w:p>
            <w:pPr>
              <w:keepNext w:val="0"/>
              <w:spacing w:after="60"/>
            </w:pPr>
            <w:r>
              <w:rPr>
                <w:rFonts w:ascii="맑은 고딕" w:hAnsi="맑은 고딕"/>
                <w:color w:val="000000"/>
                <w:sz w:val="20"/>
              </w:rPr>
              <w:t>업종 중앙값 대비 열위, 전기 대비 악화 추세(업종별 핵심 지표), 매출원가율 상승, 매출채권·재고 회전기간 장기화, 총자산회전율 하락, FCF 악화</w:t>
            </w:r>
          </w:p>
        </w:tc>
        <w:tc>
          <w:tcPr>
            <w:tcW w:type="dxa" w:w="3024"/>
            <w:shd w:fill="FFFFFF"/>
          </w:tcPr>
          <w:p>
            <w:pPr>
              <w:keepNext w:val="0"/>
              <w:spacing w:after="60"/>
            </w:pPr>
            <w:r>
              <w:rPr>
                <w:rFonts w:ascii="맑은 고딕" w:hAnsi="맑은 고딕"/>
                <w:color w:val="000000"/>
                <w:sz w:val="20"/>
              </w:rPr>
              <w:t>추세 차트와 업종 내 위치만 표시 + 비교기업 분포 표시</w:t>
            </w:r>
          </w:p>
        </w:tc>
      </w:tr>
      <w:tr>
        <w:trPr>
          <w:cantSplit/>
        </w:trPr>
        <w:tc>
          <w:tcPr>
            <w:tcW w:type="dxa" w:w="3024"/>
            <w:shd w:fill="FFFFFF"/>
          </w:tcPr>
          <w:p>
            <w:pPr>
              <w:keepNext w:val="0"/>
              <w:spacing w:after="60"/>
            </w:pPr>
            <w:r>
              <w:rPr>
                <w:rFonts w:ascii="맑은 고딕" w:hAnsi="맑은 고딕"/>
                <w:color w:val="000000"/>
                <w:sz w:val="20"/>
              </w:rPr>
              <w:t>관찰 (투자·처분)</w:t>
            </w:r>
          </w:p>
        </w:tc>
        <w:tc>
          <w:tcPr>
            <w:tcW w:type="dxa" w:w="3024"/>
            <w:shd w:fill="FFFFFF"/>
          </w:tcPr>
          <w:p>
            <w:pPr>
              <w:keepNext w:val="0"/>
              <w:spacing w:after="60"/>
            </w:pPr>
            <w:r>
              <w:rPr>
                <w:rFonts w:ascii="맑은 고딕" w:hAnsi="맑은 고딕"/>
                <w:color w:val="000000"/>
                <w:sz w:val="20"/>
              </w:rPr>
              <w:t>토지·건물·기계장치·건설중인자산 장부금액이 전년 대비 20% 이상 증가 또는 감소</w:t>
            </w:r>
          </w:p>
        </w:tc>
        <w:tc>
          <w:tcPr>
            <w:tcW w:type="dxa" w:w="3024"/>
            <w:shd w:fill="FFFFFF"/>
          </w:tcPr>
          <w:p>
            <w:pPr>
              <w:keepNext w:val="0"/>
              <w:spacing w:after="60"/>
            </w:pPr>
            <w:r>
              <w:rPr>
                <w:rFonts w:ascii="맑은 고딕" w:hAnsi="맑은 고딕"/>
                <w:color w:val="000000"/>
                <w:sz w:val="20"/>
              </w:rPr>
              <w:t>투자·처분 이벤트로 탐지하고 재무적 영향 추가 확인</w:t>
            </w:r>
          </w:p>
        </w:tc>
      </w:tr>
    </w:tbl>
    <w:p>
      <w:pPr>
        <w:pStyle w:val="Heading2"/>
        <w:spacing w:after="120"/>
      </w:pPr>
      <w:r>
        <w:t>위험 영역별 탐지 후보</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024"/>
            <w:shd w:fill="44546A"/>
          </w:tcPr>
          <w:p>
            <w:pPr>
              <w:keepNext w:val="0"/>
              <w:spacing w:after="60"/>
            </w:pPr>
            <w:r>
              <w:rPr>
                <w:rFonts w:ascii="맑은 고딕" w:hAnsi="맑은 고딕"/>
                <w:color w:val="FFFFFF"/>
                <w:sz w:val="20"/>
              </w:rPr>
              <w:t>위험 영역</w:t>
            </w:r>
          </w:p>
        </w:tc>
        <w:tc>
          <w:tcPr>
            <w:tcW w:type="dxa" w:w="3024"/>
            <w:shd w:fill="44546A"/>
          </w:tcPr>
          <w:p>
            <w:pPr>
              <w:keepNext w:val="0"/>
              <w:spacing w:after="60"/>
            </w:pPr>
            <w:r>
              <w:rPr>
                <w:rFonts w:ascii="맑은 고딕" w:hAnsi="맑은 고딕"/>
                <w:color w:val="FFFFFF"/>
                <w:sz w:val="20"/>
              </w:rPr>
              <w:t>탐지 항목</w:t>
            </w:r>
          </w:p>
        </w:tc>
        <w:tc>
          <w:tcPr>
            <w:tcW w:type="dxa" w:w="3024"/>
            <w:shd w:fill="44546A"/>
          </w:tcPr>
          <w:p>
            <w:pPr>
              <w:keepNext w:val="0"/>
              <w:spacing w:after="60"/>
            </w:pPr>
            <w:r>
              <w:rPr>
                <w:rFonts w:ascii="맑은 고딕" w:hAnsi="맑은 고딕"/>
                <w:color w:val="FFFFFF"/>
                <w:sz w:val="20"/>
              </w:rPr>
              <w:t>초기 후보 기준</w:t>
            </w:r>
          </w:p>
        </w:tc>
      </w:tr>
      <w:tr>
        <w:trPr>
          <w:cantSplit/>
        </w:trPr>
        <w:tc>
          <w:tcPr>
            <w:tcW w:type="dxa" w:w="3024"/>
            <w:shd w:fill="FFFFFF"/>
          </w:tcPr>
          <w:p>
            <w:pPr>
              <w:keepNext w:val="0"/>
              <w:spacing w:after="60"/>
            </w:pPr>
            <w:r>
              <w:rPr>
                <w:rFonts w:ascii="맑은 고딕" w:hAnsi="맑은 고딕"/>
                <w:color w:val="000000"/>
                <w:sz w:val="20"/>
              </w:rPr>
              <w:t>감사·신용</w:t>
            </w:r>
          </w:p>
        </w:tc>
        <w:tc>
          <w:tcPr>
            <w:tcW w:type="dxa" w:w="3024"/>
            <w:shd w:fill="FFFFFF"/>
          </w:tcPr>
          <w:p>
            <w:pPr>
              <w:keepNext w:val="0"/>
              <w:spacing w:after="60"/>
            </w:pPr>
            <w:r>
              <w:rPr>
                <w:rFonts w:ascii="맑은 고딕" w:hAnsi="맑은 고딕"/>
                <w:color w:val="000000"/>
                <w:sz w:val="20"/>
              </w:rPr>
              <w:t>감사의견 / 신용등급 취약 / 등급 하락</w:t>
            </w:r>
          </w:p>
        </w:tc>
        <w:tc>
          <w:tcPr>
            <w:tcW w:type="dxa" w:w="3024"/>
            <w:shd w:fill="FFFFFF"/>
          </w:tcPr>
          <w:p>
            <w:pPr>
              <w:keepNext w:val="0"/>
              <w:spacing w:after="60"/>
            </w:pPr>
            <w:r>
              <w:rPr>
                <w:rFonts w:ascii="맑은 고딕" w:hAnsi="맑은 고딕"/>
                <w:color w:val="000000"/>
                <w:sz w:val="20"/>
              </w:rPr>
              <w:t>한정·부적정·의견거절 / CCC 이하, B 이하이면서 CR5 이하 등 등급체계별 기준 / 전년 대비 3단계 이상 하락</w:t>
            </w:r>
          </w:p>
        </w:tc>
      </w:tr>
      <w:tr>
        <w:trPr>
          <w:cantSplit/>
        </w:trPr>
        <w:tc>
          <w:tcPr>
            <w:tcW w:type="dxa" w:w="3024"/>
            <w:shd w:fill="FFFFFF"/>
          </w:tcPr>
          <w:p>
            <w:pPr>
              <w:keepNext w:val="0"/>
              <w:spacing w:after="60"/>
            </w:pPr>
            <w:r>
              <w:rPr>
                <w:rFonts w:ascii="맑은 고딕" w:hAnsi="맑은 고딕"/>
                <w:color w:val="000000"/>
                <w:sz w:val="20"/>
              </w:rPr>
              <w:t>영업활동</w:t>
            </w:r>
          </w:p>
        </w:tc>
        <w:tc>
          <w:tcPr>
            <w:tcW w:type="dxa" w:w="3024"/>
            <w:shd w:fill="FFFFFF"/>
          </w:tcPr>
          <w:p>
            <w:pPr>
              <w:keepNext w:val="0"/>
              <w:spacing w:after="60"/>
            </w:pPr>
            <w:r>
              <w:rPr>
                <w:rFonts w:ascii="맑은 고딕" w:hAnsi="맑은 고딕"/>
                <w:color w:val="000000"/>
                <w:sz w:val="20"/>
              </w:rPr>
              <w:t>매출급감 / 원가율 과다 / 매출채권 과다 / 매입채무 과다 / 재고자산 과다</w:t>
            </w:r>
          </w:p>
        </w:tc>
        <w:tc>
          <w:tcPr>
            <w:tcW w:type="dxa" w:w="3024"/>
            <w:shd w:fill="FFFFFF"/>
          </w:tcPr>
          <w:p>
            <w:pPr>
              <w:keepNext w:val="0"/>
              <w:spacing w:after="60"/>
            </w:pPr>
            <w:r>
              <w:rPr>
                <w:rFonts w:ascii="맑은 고딕" w:hAnsi="맑은 고딕"/>
                <w:color w:val="000000"/>
                <w:sz w:val="20"/>
              </w:rPr>
              <w:t>전기 대비 20% 이상 하락 / 매출원가율 85% 이상 / 매출채권 회수기간 4개월 이상 / 매입채무 지급기간 4개월 이상 / 재고자산 회전기간 3개월 이상</w:t>
            </w:r>
          </w:p>
        </w:tc>
      </w:tr>
      <w:tr>
        <w:trPr>
          <w:cantSplit/>
        </w:trPr>
        <w:tc>
          <w:tcPr>
            <w:tcW w:type="dxa" w:w="3024"/>
            <w:shd w:fill="FFFFFF"/>
          </w:tcPr>
          <w:p>
            <w:pPr>
              <w:keepNext w:val="0"/>
              <w:spacing w:after="60"/>
            </w:pPr>
            <w:r>
              <w:rPr>
                <w:rFonts w:ascii="맑은 고딕" w:hAnsi="맑은 고딕"/>
                <w:color w:val="000000"/>
                <w:sz w:val="20"/>
              </w:rPr>
              <w:t>수익성</w:t>
            </w:r>
          </w:p>
        </w:tc>
        <w:tc>
          <w:tcPr>
            <w:tcW w:type="dxa" w:w="3024"/>
            <w:shd w:fill="FFFFFF"/>
          </w:tcPr>
          <w:p>
            <w:pPr>
              <w:keepNext w:val="0"/>
              <w:spacing w:after="60"/>
            </w:pPr>
            <w:r>
              <w:rPr>
                <w:rFonts w:ascii="맑은 고딕" w:hAnsi="맑은 고딕"/>
                <w:color w:val="000000"/>
                <w:sz w:val="20"/>
              </w:rPr>
              <w:t>영업손실 / 당기순손실</w:t>
            </w:r>
          </w:p>
        </w:tc>
        <w:tc>
          <w:tcPr>
            <w:tcW w:type="dxa" w:w="3024"/>
            <w:shd w:fill="FFFFFF"/>
          </w:tcPr>
          <w:p>
            <w:pPr>
              <w:keepNext w:val="0"/>
              <w:spacing w:after="60"/>
            </w:pPr>
            <w:r>
              <w:rPr>
                <w:rFonts w:ascii="맑은 고딕" w:hAnsi="맑은 고딕"/>
                <w:color w:val="000000"/>
                <w:sz w:val="20"/>
              </w:rPr>
              <w:t>영업이익 음수 / 당기순이익 음수</w:t>
            </w:r>
          </w:p>
        </w:tc>
      </w:tr>
      <w:tr>
        <w:trPr>
          <w:cantSplit/>
        </w:trPr>
        <w:tc>
          <w:tcPr>
            <w:tcW w:type="dxa" w:w="3024"/>
            <w:shd w:fill="FFFFFF"/>
          </w:tcPr>
          <w:p>
            <w:pPr>
              <w:keepNext w:val="0"/>
              <w:spacing w:after="60"/>
            </w:pPr>
            <w:r>
              <w:rPr>
                <w:rFonts w:ascii="맑은 고딕" w:hAnsi="맑은 고딕"/>
                <w:color w:val="000000"/>
                <w:sz w:val="20"/>
              </w:rPr>
              <w:t>투자활동</w:t>
            </w:r>
          </w:p>
        </w:tc>
        <w:tc>
          <w:tcPr>
            <w:tcW w:type="dxa" w:w="3024"/>
            <w:shd w:fill="FFFFFF"/>
          </w:tcPr>
          <w:p>
            <w:pPr>
              <w:keepNext w:val="0"/>
              <w:spacing w:after="60"/>
            </w:pPr>
            <w:r>
              <w:rPr>
                <w:rFonts w:ascii="맑은 고딕" w:hAnsi="맑은 고딕"/>
                <w:color w:val="000000"/>
                <w:sz w:val="20"/>
              </w:rPr>
              <w:t>토지·건물·기계장치 투자·매각 / 건설중인자산 투자</w:t>
            </w:r>
          </w:p>
        </w:tc>
        <w:tc>
          <w:tcPr>
            <w:tcW w:type="dxa" w:w="3024"/>
            <w:shd w:fill="FFFFFF"/>
          </w:tcPr>
          <w:p>
            <w:pPr>
              <w:keepNext w:val="0"/>
              <w:spacing w:after="60"/>
            </w:pPr>
            <w:r>
              <w:rPr>
                <w:rFonts w:ascii="맑은 고딕" w:hAnsi="맑은 고딕"/>
                <w:color w:val="000000"/>
                <w:sz w:val="20"/>
              </w:rPr>
              <w:t>관련 장부금액 전기 대비 ±20% 이상 / 건설중인자산 20% 이상 증가</w:t>
            </w:r>
          </w:p>
        </w:tc>
      </w:tr>
      <w:tr>
        <w:trPr>
          <w:cantSplit/>
        </w:trPr>
        <w:tc>
          <w:tcPr>
            <w:tcW w:type="dxa" w:w="3024"/>
            <w:shd w:fill="FFFFFF"/>
          </w:tcPr>
          <w:p>
            <w:pPr>
              <w:keepNext w:val="0"/>
              <w:spacing w:after="60"/>
            </w:pPr>
            <w:r>
              <w:rPr>
                <w:rFonts w:ascii="맑은 고딕" w:hAnsi="맑은 고딕"/>
                <w:color w:val="000000"/>
                <w:sz w:val="20"/>
              </w:rPr>
              <w:t>재무안정성</w:t>
            </w:r>
          </w:p>
        </w:tc>
        <w:tc>
          <w:tcPr>
            <w:tcW w:type="dxa" w:w="3024"/>
            <w:shd w:fill="FFFFFF"/>
          </w:tcPr>
          <w:p>
            <w:pPr>
              <w:keepNext w:val="0"/>
              <w:spacing w:after="60"/>
            </w:pPr>
            <w:r>
              <w:rPr>
                <w:rFonts w:ascii="맑은 고딕" w:hAnsi="맑은 고딕"/>
                <w:color w:val="000000"/>
                <w:sz w:val="20"/>
              </w:rPr>
              <w:t>단기차입금 과다 / 차입금 과다 / 부채비율 과다 / 일반자본잠식 / 완전자본잠식 / 대여금·가지급금</w:t>
            </w:r>
          </w:p>
        </w:tc>
        <w:tc>
          <w:tcPr>
            <w:tcW w:type="dxa" w:w="3024"/>
            <w:shd w:fill="FFFFFF"/>
          </w:tcPr>
          <w:p>
            <w:pPr>
              <w:keepNext w:val="0"/>
              <w:spacing w:after="60"/>
            </w:pPr>
            <w:r>
              <w:rPr>
                <w:rFonts w:ascii="맑은 고딕" w:hAnsi="맑은 고딕"/>
                <w:color w:val="000000"/>
                <w:sz w:val="20"/>
              </w:rPr>
              <w:t>단기차입금÷총차입금 40% 이상 / 총차입금÷총자산 50% 이상 / 부채비율 200% 이상 / 자기자본이 납입자본금보다 적음 / 자기자본 0 이하 / 주요 주주·임직원 등에 대한 관련 금액 존재</w:t>
            </w:r>
          </w:p>
        </w:tc>
      </w:tr>
      <w:tr>
        <w:trPr>
          <w:cantSplit/>
        </w:trPr>
        <w:tc>
          <w:tcPr>
            <w:tcW w:type="dxa" w:w="3024"/>
            <w:shd w:fill="FFFFFF"/>
          </w:tcPr>
          <w:p>
            <w:pPr>
              <w:keepNext w:val="0"/>
              <w:spacing w:after="60"/>
            </w:pPr>
            <w:r>
              <w:rPr>
                <w:rFonts w:ascii="맑은 고딕" w:hAnsi="맑은 고딕"/>
                <w:color w:val="000000"/>
                <w:sz w:val="20"/>
              </w:rPr>
              <w:t>현금흐름</w:t>
            </w:r>
          </w:p>
        </w:tc>
        <w:tc>
          <w:tcPr>
            <w:tcW w:type="dxa" w:w="3024"/>
            <w:shd w:fill="FFFFFF"/>
          </w:tcPr>
          <w:p>
            <w:pPr>
              <w:keepNext w:val="0"/>
              <w:spacing w:after="60"/>
            </w:pPr>
            <w:r>
              <w:rPr>
                <w:rFonts w:ascii="맑은 고딕" w:hAnsi="맑은 고딕"/>
                <w:color w:val="000000"/>
                <w:sz w:val="20"/>
              </w:rPr>
              <w:t>영업CF 음수 / 정상영업CF 음수 / 정상영업CF 악화</w:t>
            </w:r>
          </w:p>
        </w:tc>
        <w:tc>
          <w:tcPr>
            <w:tcW w:type="dxa" w:w="3024"/>
            <w:shd w:fill="FFFFFF"/>
          </w:tcPr>
          <w:p>
            <w:pPr>
              <w:keepNext w:val="0"/>
              <w:spacing w:after="60"/>
            </w:pPr>
            <w:r>
              <w:rPr>
                <w:rFonts w:ascii="맑은 고딕" w:hAnsi="맑은 고딕"/>
                <w:color w:val="000000"/>
                <w:sz w:val="20"/>
              </w:rPr>
              <w:t>영업CF 음수 / 원자료상 정상영업CF 음수 / 지속적인 감소·음수 전환 등 보조 추세 신호</w:t>
            </w:r>
          </w:p>
        </w:tc>
      </w:tr>
    </w:tbl>
    <w:p>
      <w:pPr>
        <w:pStyle w:val="Heading2"/>
        <w:spacing w:after="120"/>
      </w:pPr>
      <w:r>
        <w:t>복합 위험 7유형</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024"/>
            <w:shd w:fill="44546A"/>
          </w:tcPr>
          <w:p>
            <w:pPr>
              <w:keepNext w:val="0"/>
              <w:spacing w:after="60"/>
            </w:pPr>
            <w:r>
              <w:rPr>
                <w:rFonts w:ascii="맑은 고딕" w:hAnsi="맑은 고딕"/>
                <w:color w:val="FFFFFF"/>
                <w:sz w:val="20"/>
              </w:rPr>
              <w:t>복합 위험 유형</w:t>
            </w:r>
          </w:p>
        </w:tc>
        <w:tc>
          <w:tcPr>
            <w:tcW w:type="dxa" w:w="3024"/>
            <w:shd w:fill="44546A"/>
          </w:tcPr>
          <w:p>
            <w:pPr>
              <w:keepNext w:val="0"/>
              <w:spacing w:after="60"/>
            </w:pPr>
            <w:r>
              <w:rPr>
                <w:rFonts w:ascii="맑은 고딕" w:hAnsi="맑은 고딕"/>
                <w:color w:val="FFFFFF"/>
                <w:sz w:val="20"/>
              </w:rPr>
              <w:t>조건 조합 예시</w:t>
            </w:r>
          </w:p>
        </w:tc>
        <w:tc>
          <w:tcPr>
            <w:tcW w:type="dxa" w:w="3024"/>
            <w:shd w:fill="44546A"/>
          </w:tcPr>
          <w:p>
            <w:pPr>
              <w:keepNext w:val="0"/>
              <w:spacing w:after="60"/>
            </w:pPr>
            <w:r>
              <w:rPr>
                <w:rFonts w:ascii="맑은 고딕" w:hAnsi="맑은 고딕"/>
                <w:color w:val="FFFFFF"/>
                <w:sz w:val="20"/>
              </w:rPr>
              <w:t>담당자 확인 질문</w:t>
            </w:r>
          </w:p>
        </w:tc>
      </w:tr>
      <w:tr>
        <w:trPr>
          <w:cantSplit/>
        </w:trPr>
        <w:tc>
          <w:tcPr>
            <w:tcW w:type="dxa" w:w="3024"/>
            <w:shd w:fill="FFFFFF"/>
          </w:tcPr>
          <w:p>
            <w:pPr>
              <w:keepNext w:val="0"/>
              <w:spacing w:after="60"/>
            </w:pPr>
            <w:r>
              <w:rPr>
                <w:rFonts w:ascii="맑은 고딕" w:hAnsi="맑은 고딕"/>
                <w:color w:val="000000"/>
                <w:sz w:val="20"/>
              </w:rPr>
              <w:t>외형성장·현금괴리</w:t>
            </w:r>
          </w:p>
        </w:tc>
        <w:tc>
          <w:tcPr>
            <w:tcW w:type="dxa" w:w="3024"/>
            <w:shd w:fill="FFFFFF"/>
          </w:tcPr>
          <w:p>
            <w:pPr>
              <w:keepNext w:val="0"/>
              <w:spacing w:after="60"/>
            </w:pPr>
            <w:r>
              <w:rPr>
                <w:rFonts w:ascii="맑은 고딕" w:hAnsi="맑은 고딕"/>
                <w:color w:val="000000"/>
                <w:sz w:val="20"/>
              </w:rPr>
              <w:t>매출액 증가 + 매출채권·재고 증가율이 매출 증가율 초과 + 영업CF 음수</w:t>
            </w:r>
          </w:p>
        </w:tc>
        <w:tc>
          <w:tcPr>
            <w:tcW w:type="dxa" w:w="3024"/>
            <w:shd w:fill="FFFFFF"/>
          </w:tcPr>
          <w:p>
            <w:pPr>
              <w:keepNext w:val="0"/>
              <w:spacing w:after="60"/>
            </w:pPr>
            <w:r>
              <w:rPr>
                <w:rFonts w:ascii="맑은 고딕" w:hAnsi="맑은 고딕"/>
                <w:color w:val="000000"/>
                <w:sz w:val="20"/>
              </w:rPr>
              <w:t>매출 증가분이 실제 현금으로 회수되고 있는가?</w:t>
            </w:r>
          </w:p>
        </w:tc>
      </w:tr>
      <w:tr>
        <w:trPr>
          <w:cantSplit/>
        </w:trPr>
        <w:tc>
          <w:tcPr>
            <w:tcW w:type="dxa" w:w="3024"/>
            <w:shd w:fill="FFFFFF"/>
          </w:tcPr>
          <w:p>
            <w:pPr>
              <w:keepNext w:val="0"/>
              <w:spacing w:after="60"/>
            </w:pPr>
            <w:r>
              <w:rPr>
                <w:rFonts w:ascii="맑은 고딕" w:hAnsi="맑은 고딕"/>
                <w:color w:val="000000"/>
                <w:sz w:val="20"/>
              </w:rPr>
              <w:t>수익성·이자부담 악화</w:t>
            </w:r>
          </w:p>
        </w:tc>
        <w:tc>
          <w:tcPr>
            <w:tcW w:type="dxa" w:w="3024"/>
            <w:shd w:fill="FFFFFF"/>
          </w:tcPr>
          <w:p>
            <w:pPr>
              <w:keepNext w:val="0"/>
              <w:spacing w:after="60"/>
            </w:pPr>
            <w:r>
              <w:rPr>
                <w:rFonts w:ascii="맑은 고딕" w:hAnsi="맑은 고딕"/>
                <w:color w:val="000000"/>
                <w:sz w:val="20"/>
              </w:rPr>
              <w:t>영업이익률 하락 + 이자보상배율 1배 미만 + 차입금 증가</w:t>
            </w:r>
          </w:p>
        </w:tc>
        <w:tc>
          <w:tcPr>
            <w:tcW w:type="dxa" w:w="3024"/>
            <w:shd w:fill="FFFFFF"/>
          </w:tcPr>
          <w:p>
            <w:pPr>
              <w:keepNext w:val="0"/>
              <w:spacing w:after="60"/>
            </w:pPr>
            <w:r>
              <w:rPr>
                <w:rFonts w:ascii="맑은 고딕" w:hAnsi="맑은 고딕"/>
                <w:color w:val="000000"/>
                <w:sz w:val="20"/>
              </w:rPr>
              <w:t>영업이익으로 금융비용을 감당할 수 있는가?</w:t>
            </w:r>
          </w:p>
        </w:tc>
      </w:tr>
      <w:tr>
        <w:trPr>
          <w:cantSplit/>
        </w:trPr>
        <w:tc>
          <w:tcPr>
            <w:tcW w:type="dxa" w:w="3024"/>
            <w:shd w:fill="FFFFFF"/>
          </w:tcPr>
          <w:p>
            <w:pPr>
              <w:keepNext w:val="0"/>
              <w:spacing w:after="60"/>
            </w:pPr>
            <w:r>
              <w:rPr>
                <w:rFonts w:ascii="맑은 고딕" w:hAnsi="맑은 고딕"/>
                <w:color w:val="000000"/>
                <w:sz w:val="20"/>
              </w:rPr>
              <w:t>단기 유동성 압박</w:t>
            </w:r>
          </w:p>
        </w:tc>
        <w:tc>
          <w:tcPr>
            <w:tcW w:type="dxa" w:w="3024"/>
            <w:shd w:fill="FFFFFF"/>
          </w:tcPr>
          <w:p>
            <w:pPr>
              <w:keepNext w:val="0"/>
              <w:spacing w:after="60"/>
            </w:pPr>
            <w:r>
              <w:rPr>
                <w:rFonts w:ascii="맑은 고딕" w:hAnsi="맑은 고딕"/>
                <w:color w:val="000000"/>
                <w:sz w:val="20"/>
              </w:rPr>
              <w:t>유동비율 악화 + 단기차입 증가 + 1년 내 만기 집중</w:t>
            </w:r>
          </w:p>
        </w:tc>
        <w:tc>
          <w:tcPr>
            <w:tcW w:type="dxa" w:w="3024"/>
            <w:shd w:fill="FFFFFF"/>
          </w:tcPr>
          <w:p>
            <w:pPr>
              <w:keepNext w:val="0"/>
              <w:spacing w:after="60"/>
            </w:pPr>
            <w:r>
              <w:rPr>
                <w:rFonts w:ascii="맑은 고딕" w:hAnsi="맑은 고딕"/>
                <w:color w:val="000000"/>
                <w:sz w:val="20"/>
              </w:rPr>
              <w:t>자체 현금으로 상환 가능한가, 차환이 필요한가?</w:t>
            </w:r>
          </w:p>
        </w:tc>
      </w:tr>
      <w:tr>
        <w:trPr>
          <w:cantSplit/>
        </w:trPr>
        <w:tc>
          <w:tcPr>
            <w:tcW w:type="dxa" w:w="3024"/>
            <w:shd w:fill="FFFFFF"/>
          </w:tcPr>
          <w:p>
            <w:pPr>
              <w:keepNext w:val="0"/>
              <w:spacing w:after="60"/>
            </w:pPr>
            <w:r>
              <w:rPr>
                <w:rFonts w:ascii="맑은 고딕" w:hAnsi="맑은 고딕"/>
                <w:color w:val="000000"/>
                <w:sz w:val="20"/>
              </w:rPr>
              <w:t>투자 확대·자금부담</w:t>
            </w:r>
          </w:p>
        </w:tc>
        <w:tc>
          <w:tcPr>
            <w:tcW w:type="dxa" w:w="3024"/>
            <w:shd w:fill="FFFFFF"/>
          </w:tcPr>
          <w:p>
            <w:pPr>
              <w:keepNext w:val="0"/>
              <w:spacing w:after="60"/>
            </w:pPr>
            <w:r>
              <w:rPr>
                <w:rFonts w:ascii="맑은 고딕" w:hAnsi="맑은 고딕"/>
                <w:color w:val="000000"/>
                <w:sz w:val="20"/>
              </w:rPr>
              <w:t>CAPEX 증가 + FCF 음수 + 차입금의존도 상승</w:t>
            </w:r>
          </w:p>
        </w:tc>
        <w:tc>
          <w:tcPr>
            <w:tcW w:type="dxa" w:w="3024"/>
            <w:shd w:fill="FFFFFF"/>
          </w:tcPr>
          <w:p>
            <w:pPr>
              <w:keepNext w:val="0"/>
              <w:spacing w:after="60"/>
            </w:pPr>
            <w:r>
              <w:rPr>
                <w:rFonts w:ascii="맑은 고딕" w:hAnsi="맑은 고딕"/>
                <w:color w:val="000000"/>
                <w:sz w:val="20"/>
              </w:rPr>
              <w:t>투자가 내부 현금창출보다 차입에 의존하고 있는가?</w:t>
            </w:r>
          </w:p>
        </w:tc>
      </w:tr>
      <w:tr>
        <w:trPr>
          <w:cantSplit/>
        </w:trPr>
        <w:tc>
          <w:tcPr>
            <w:tcW w:type="dxa" w:w="3024"/>
            <w:shd w:fill="FFFFFF"/>
          </w:tcPr>
          <w:p>
            <w:pPr>
              <w:keepNext w:val="0"/>
              <w:spacing w:after="60"/>
            </w:pPr>
            <w:r>
              <w:rPr>
                <w:rFonts w:ascii="맑은 고딕" w:hAnsi="맑은 고딕"/>
                <w:color w:val="000000"/>
                <w:sz w:val="20"/>
              </w:rPr>
              <w:t>성장의 질 악화</w:t>
            </w:r>
          </w:p>
        </w:tc>
        <w:tc>
          <w:tcPr>
            <w:tcW w:type="dxa" w:w="3024"/>
            <w:shd w:fill="FFFFFF"/>
          </w:tcPr>
          <w:p>
            <w:pPr>
              <w:keepNext w:val="0"/>
              <w:spacing w:after="60"/>
            </w:pPr>
            <w:r>
              <w:rPr>
                <w:rFonts w:ascii="맑은 고딕" w:hAnsi="맑은 고딕"/>
                <w:color w:val="000000"/>
                <w:sz w:val="20"/>
              </w:rPr>
              <w:t>매출 증가 + 영업이익 감소 + 원가율 상승</w:t>
            </w:r>
          </w:p>
        </w:tc>
        <w:tc>
          <w:tcPr>
            <w:tcW w:type="dxa" w:w="3024"/>
            <w:shd w:fill="FFFFFF"/>
          </w:tcPr>
          <w:p>
            <w:pPr>
              <w:keepNext w:val="0"/>
              <w:spacing w:after="60"/>
            </w:pPr>
            <w:r>
              <w:rPr>
                <w:rFonts w:ascii="맑은 고딕" w:hAnsi="맑은 고딕"/>
                <w:color w:val="000000"/>
                <w:sz w:val="20"/>
              </w:rPr>
              <w:t>외형 성장이 실제 수익성으로 이어지고 있는가?</w:t>
            </w:r>
          </w:p>
        </w:tc>
      </w:tr>
      <w:tr>
        <w:trPr>
          <w:cantSplit/>
        </w:trPr>
        <w:tc>
          <w:tcPr>
            <w:tcW w:type="dxa" w:w="3024"/>
            <w:shd w:fill="FFFFFF"/>
          </w:tcPr>
          <w:p>
            <w:pPr>
              <w:keepNext w:val="0"/>
              <w:spacing w:after="60"/>
            </w:pPr>
            <w:r>
              <w:rPr>
                <w:rFonts w:ascii="맑은 고딕" w:hAnsi="맑은 고딕"/>
                <w:color w:val="000000"/>
                <w:sz w:val="20"/>
              </w:rPr>
              <w:t>자본훼손·자금압박</w:t>
            </w:r>
          </w:p>
        </w:tc>
        <w:tc>
          <w:tcPr>
            <w:tcW w:type="dxa" w:w="3024"/>
            <w:shd w:fill="FFFFFF"/>
          </w:tcPr>
          <w:p>
            <w:pPr>
              <w:keepNext w:val="0"/>
              <w:spacing w:after="60"/>
            </w:pPr>
            <w:r>
              <w:rPr>
                <w:rFonts w:ascii="맑은 고딕" w:hAnsi="맑은 고딕"/>
                <w:color w:val="000000"/>
                <w:sz w:val="20"/>
              </w:rPr>
              <w:t>영업손실 지속 + 자기자본 감소 + 차입금 증가</w:t>
            </w:r>
          </w:p>
        </w:tc>
        <w:tc>
          <w:tcPr>
            <w:tcW w:type="dxa" w:w="3024"/>
            <w:shd w:fill="FFFFFF"/>
          </w:tcPr>
          <w:p>
            <w:pPr>
              <w:keepNext w:val="0"/>
              <w:spacing w:after="60"/>
            </w:pPr>
            <w:r>
              <w:rPr>
                <w:rFonts w:ascii="맑은 고딕" w:hAnsi="맑은 고딕"/>
                <w:color w:val="000000"/>
                <w:sz w:val="20"/>
              </w:rPr>
              <w:t>손실 누적으로 추가 자금조달이 어려워질 가능성이 있는가?</w:t>
            </w:r>
          </w:p>
        </w:tc>
      </w:tr>
      <w:tr>
        <w:trPr>
          <w:cantSplit/>
        </w:trPr>
        <w:tc>
          <w:tcPr>
            <w:tcW w:type="dxa" w:w="3024"/>
            <w:shd w:fill="FFFFFF"/>
          </w:tcPr>
          <w:p>
            <w:pPr>
              <w:keepNext w:val="0"/>
              <w:spacing w:after="60"/>
            </w:pPr>
            <w:r>
              <w:rPr>
                <w:rFonts w:ascii="맑은 고딕" w:hAnsi="맑은 고딕"/>
                <w:color w:val="000000"/>
                <w:sz w:val="20"/>
              </w:rPr>
              <w:t>PF 우발부담 확대</w:t>
            </w:r>
          </w:p>
        </w:tc>
        <w:tc>
          <w:tcPr>
            <w:tcW w:type="dxa" w:w="3024"/>
            <w:shd w:fill="FFFFFF"/>
          </w:tcPr>
          <w:p>
            <w:pPr>
              <w:keepNext w:val="0"/>
              <w:spacing w:after="60"/>
            </w:pPr>
            <w:r>
              <w:rPr>
                <w:rFonts w:ascii="맑은 고딕" w:hAnsi="맑은 고딕"/>
                <w:color w:val="000000"/>
                <w:sz w:val="20"/>
              </w:rPr>
              <w:t>PF 보증 증가 + 미분양 증가 + 차입 만기 집중</w:t>
            </w:r>
          </w:p>
        </w:tc>
        <w:tc>
          <w:tcPr>
            <w:tcW w:type="dxa" w:w="3024"/>
            <w:shd w:fill="FFFFFF"/>
          </w:tcPr>
          <w:p>
            <w:pPr>
              <w:keepNext w:val="0"/>
              <w:spacing w:after="60"/>
            </w:pPr>
            <w:r>
              <w:rPr>
                <w:rFonts w:ascii="맑은 고딕" w:hAnsi="맑은 고딕"/>
                <w:color w:val="000000"/>
                <w:sz w:val="20"/>
              </w:rPr>
              <w:t>조건부 의무가 실제 현금유출로 전환될 가능성이 있는가?</w:t>
            </w:r>
          </w:p>
        </w:tc>
      </w:tr>
    </w:tbl>
    <w:p>
      <w:pPr>
        <w:pStyle w:val="Heading2"/>
        <w:spacing w:after="120"/>
      </w:pPr>
      <w:r>
        <w:t>재무위험 시각화</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024"/>
            <w:shd w:fill="44546A"/>
          </w:tcPr>
          <w:p>
            <w:pPr>
              <w:keepNext w:val="0"/>
              <w:spacing w:after="60"/>
            </w:pPr>
            <w:r>
              <w:rPr>
                <w:rFonts w:ascii="맑은 고딕" w:hAnsi="맑은 고딕"/>
                <w:color w:val="FFFFFF"/>
                <w:sz w:val="20"/>
              </w:rPr>
              <w:t>구분</w:t>
            </w:r>
          </w:p>
        </w:tc>
        <w:tc>
          <w:tcPr>
            <w:tcW w:type="dxa" w:w="3024"/>
            <w:shd w:fill="44546A"/>
          </w:tcPr>
          <w:p>
            <w:pPr>
              <w:keepNext w:val="0"/>
              <w:spacing w:after="60"/>
            </w:pPr>
            <w:r>
              <w:rPr>
                <w:rFonts w:ascii="맑은 고딕" w:hAnsi="맑은 고딕"/>
                <w:color w:val="FFFFFF"/>
                <w:sz w:val="20"/>
              </w:rPr>
              <w:t>추천 시각화</w:t>
            </w:r>
          </w:p>
        </w:tc>
        <w:tc>
          <w:tcPr>
            <w:tcW w:type="dxa" w:w="3024"/>
            <w:shd w:fill="44546A"/>
          </w:tcPr>
          <w:p>
            <w:pPr>
              <w:keepNext w:val="0"/>
              <w:spacing w:after="60"/>
            </w:pPr>
            <w:r>
              <w:rPr>
                <w:rFonts w:ascii="맑은 고딕" w:hAnsi="맑은 고딕"/>
                <w:color w:val="FFFFFF"/>
                <w:sz w:val="20"/>
              </w:rPr>
              <w:t>보여주려는 위험</w:t>
            </w:r>
          </w:p>
        </w:tc>
      </w:tr>
      <w:tr>
        <w:trPr>
          <w:cantSplit/>
        </w:trPr>
        <w:tc>
          <w:tcPr>
            <w:tcW w:type="dxa" w:w="3024"/>
            <w:shd w:fill="FFFFFF"/>
          </w:tcPr>
          <w:p>
            <w:pPr>
              <w:keepNext w:val="0"/>
              <w:spacing w:after="60"/>
            </w:pPr>
            <w:r>
              <w:rPr>
                <w:rFonts w:ascii="맑은 고딕" w:hAnsi="맑은 고딕"/>
                <w:color w:val="000000"/>
                <w:sz w:val="20"/>
              </w:rPr>
              <w:t>공통 상단</w:t>
            </w:r>
          </w:p>
        </w:tc>
        <w:tc>
          <w:tcPr>
            <w:tcW w:type="dxa" w:w="3024"/>
            <w:shd w:fill="FFFFFF"/>
          </w:tcPr>
          <w:p>
            <w:pPr>
              <w:keepNext w:val="0"/>
              <w:spacing w:after="60"/>
            </w:pPr>
            <w:r>
              <w:rPr>
                <w:rFonts w:ascii="맑은 고딕" w:hAnsi="맑은 고딕"/>
                <w:color w:val="000000"/>
                <w:sz w:val="20"/>
              </w:rPr>
              <w:t>징후 요약 카드(경고·주의·관찰 건수, 색과 텍스트 병기) + 핵심 지표 KPI 타일(당기 값·전기 대비·업종 중앙값) + 5개년 스파크라인</w:t>
            </w:r>
          </w:p>
        </w:tc>
        <w:tc>
          <w:tcPr>
            <w:tcW w:type="dxa" w:w="3024"/>
            <w:shd w:fill="FFFFFF"/>
          </w:tcPr>
          <w:p>
            <w:pPr>
              <w:keepNext w:val="0"/>
              <w:spacing w:after="60"/>
            </w:pPr>
            <w:r>
              <w:rPr>
                <w:rFonts w:ascii="맑은 고딕" w:hAnsi="맑은 고딕"/>
                <w:color w:val="000000"/>
                <w:sz w:val="20"/>
              </w:rPr>
              <w:t>한 화면에서 무엇부터 확인할지</w:t>
            </w:r>
          </w:p>
        </w:tc>
      </w:tr>
      <w:tr>
        <w:trPr>
          <w:cantSplit/>
        </w:trPr>
        <w:tc>
          <w:tcPr>
            <w:tcW w:type="dxa" w:w="3024"/>
            <w:shd w:fill="FFFFFF"/>
          </w:tcPr>
          <w:p>
            <w:pPr>
              <w:keepNext w:val="0"/>
              <w:spacing w:after="60"/>
            </w:pPr>
            <w:r>
              <w:rPr>
                <w:rFonts w:ascii="맑은 고딕" w:hAnsi="맑은 고딕"/>
                <w:color w:val="000000"/>
                <w:sz w:val="20"/>
              </w:rPr>
              <w:t>공통 업종 비교</w:t>
            </w:r>
          </w:p>
        </w:tc>
        <w:tc>
          <w:tcPr>
            <w:tcW w:type="dxa" w:w="3024"/>
            <w:shd w:fill="FFFFFF"/>
          </w:tcPr>
          <w:p>
            <w:pPr>
              <w:keepNext w:val="0"/>
              <w:spacing w:after="60"/>
            </w:pPr>
            <w:r>
              <w:rPr>
                <w:rFonts w:ascii="맑은 고딕" w:hAnsi="맑은 고딕"/>
                <w:color w:val="000000"/>
                <w:sz w:val="20"/>
              </w:rPr>
              <w:t>동일 업종 비교기업 점(스트립) 플롯 + 중앙값선. 표본이 부족하면 순위 대신 ‘비교 보류’ 표시</w:t>
            </w:r>
          </w:p>
        </w:tc>
        <w:tc>
          <w:tcPr>
            <w:tcW w:type="dxa" w:w="3024"/>
            <w:shd w:fill="FFFFFF"/>
          </w:tcPr>
          <w:p>
            <w:pPr>
              <w:keepNext w:val="0"/>
              <w:spacing w:after="60"/>
            </w:pPr>
            <w:r>
              <w:rPr>
                <w:rFonts w:ascii="맑은 고딕" w:hAnsi="맑은 고딕"/>
                <w:color w:val="000000"/>
                <w:sz w:val="20"/>
              </w:rPr>
              <w:t>업종 내 상대 위치</w:t>
            </w:r>
          </w:p>
        </w:tc>
      </w:tr>
      <w:tr>
        <w:trPr>
          <w:cantSplit/>
        </w:trPr>
        <w:tc>
          <w:tcPr>
            <w:tcW w:type="dxa" w:w="3024"/>
            <w:shd w:fill="FFFFFF"/>
          </w:tcPr>
          <w:p>
            <w:pPr>
              <w:keepNext w:val="0"/>
              <w:spacing w:after="60"/>
            </w:pPr>
            <w:r>
              <w:rPr>
                <w:rFonts w:ascii="맑은 고딕" w:hAnsi="맑은 고딕"/>
                <w:color w:val="000000"/>
                <w:sz w:val="20"/>
              </w:rPr>
              <w:t>공통 추세 [v2.1]</w:t>
            </w:r>
          </w:p>
        </w:tc>
        <w:tc>
          <w:tcPr>
            <w:tcW w:type="dxa" w:w="3024"/>
            <w:shd w:fill="FFFFFF"/>
          </w:tcPr>
          <w:p>
            <w:pPr>
              <w:keepNext w:val="0"/>
              <w:spacing w:after="60"/>
            </w:pPr>
            <w:r>
              <w:rPr>
                <w:rFonts w:ascii="맑은 고딕" w:hAnsi="맑은 고딕"/>
                <w:color w:val="000000"/>
                <w:sz w:val="20"/>
              </w:rPr>
              <w:t>5개년 매출액·영업이익·영업CF 비교 차트 / 재무위험 이벤트 타임라인(신용등급·감사의견·손실·자본잠식·차입금 변동) / RISK 발생 매트릭스(연도×위험영역)</w:t>
            </w:r>
          </w:p>
        </w:tc>
        <w:tc>
          <w:tcPr>
            <w:tcW w:type="dxa" w:w="3024"/>
            <w:shd w:fill="FFFFFF"/>
          </w:tcPr>
          <w:p>
            <w:pPr>
              <w:keepNext w:val="0"/>
              <w:spacing w:after="60"/>
            </w:pPr>
            <w:r>
              <w:rPr>
                <w:rFonts w:ascii="맑은 고딕" w:hAnsi="맑은 고딕"/>
                <w:color w:val="000000"/>
                <w:sz w:val="20"/>
              </w:rPr>
              <w:t>외형·수익·현금의 불일치, 악화 징후의 지속·동시 발생</w:t>
            </w:r>
          </w:p>
        </w:tc>
      </w:tr>
      <w:tr>
        <w:trPr>
          <w:cantSplit/>
        </w:trPr>
        <w:tc>
          <w:tcPr>
            <w:tcW w:type="dxa" w:w="3024"/>
            <w:shd w:fill="FFFFFF"/>
          </w:tcPr>
          <w:p>
            <w:pPr>
              <w:keepNext w:val="0"/>
              <w:spacing w:after="60"/>
            </w:pPr>
            <w:r>
              <w:rPr>
                <w:rFonts w:ascii="맑은 고딕" w:hAnsi="맑은 고딕"/>
                <w:color w:val="000000"/>
                <w:sz w:val="20"/>
              </w:rPr>
              <w:t>제조업</w:t>
            </w:r>
          </w:p>
        </w:tc>
        <w:tc>
          <w:tcPr>
            <w:tcW w:type="dxa" w:w="3024"/>
            <w:shd w:fill="FFFFFF"/>
          </w:tcPr>
          <w:p>
            <w:pPr>
              <w:keepNext w:val="0"/>
              <w:spacing w:after="60"/>
            </w:pPr>
            <w:r>
              <w:rPr>
                <w:rFonts w:ascii="맑은 고딕" w:hAnsi="맑은 고딕"/>
                <w:color w:val="000000"/>
                <w:sz w:val="20"/>
              </w:rPr>
              <w:t>현금전환주기 분해 누적 막대(재고일수·채권일수 위, 매입채무일수 아래) / 매출·재고·매출채권 증가율 묶음 막대 / 영업이익·영업CF·CAPEX 연도별 묶음 막대 / 재고·매출채권·매입채무 회전기간 추세 / 매출·영업이익·총자산 성장률 비교</w:t>
            </w:r>
          </w:p>
        </w:tc>
        <w:tc>
          <w:tcPr>
            <w:tcW w:type="dxa" w:w="3024"/>
            <w:shd w:fill="FFFFFF"/>
          </w:tcPr>
          <w:p>
            <w:pPr>
              <w:keepNext w:val="0"/>
              <w:spacing w:after="60"/>
            </w:pPr>
            <w:r>
              <w:rPr>
                <w:rFonts w:ascii="맑은 고딕" w:hAnsi="맑은 고딕"/>
                <w:color w:val="000000"/>
                <w:sz w:val="20"/>
              </w:rPr>
              <w:t>운전자본 고정화, 설비투자의 차입 충당</w:t>
            </w:r>
          </w:p>
        </w:tc>
      </w:tr>
      <w:tr>
        <w:trPr>
          <w:cantSplit/>
        </w:trPr>
        <w:tc>
          <w:tcPr>
            <w:tcW w:type="dxa" w:w="3024"/>
            <w:shd w:fill="FFFFFF"/>
          </w:tcPr>
          <w:p>
            <w:pPr>
              <w:keepNext w:val="0"/>
              <w:spacing w:after="60"/>
            </w:pPr>
            <w:r>
              <w:rPr>
                <w:rFonts w:ascii="맑은 고딕" w:hAnsi="맑은 고딕"/>
                <w:color w:val="000000"/>
                <w:sz w:val="20"/>
              </w:rPr>
              <w:t>도소매업</w:t>
            </w:r>
          </w:p>
        </w:tc>
        <w:tc>
          <w:tcPr>
            <w:tcW w:type="dxa" w:w="3024"/>
            <w:shd w:fill="FFFFFF"/>
          </w:tcPr>
          <w:p>
            <w:pPr>
              <w:keepNext w:val="0"/>
              <w:spacing w:after="60"/>
            </w:pPr>
            <w:r>
              <w:rPr>
                <w:rFonts w:ascii="맑은 고딕" w:hAnsi="맑은 고딕"/>
                <w:color w:val="000000"/>
                <w:sz w:val="20"/>
              </w:rPr>
              <w:t>매출총이익률 라인(좁은 축 범위 + %p 라벨) / 매입채무 지급일수·재고일수 라인 / 부채비율 리스 포함·제외 나란히 막대 / 매출원가율·판관비율·영업이익률 추세 / 재고회전기간·매입채무 지급기간 비교</w:t>
            </w:r>
          </w:p>
        </w:tc>
        <w:tc>
          <w:tcPr>
            <w:tcW w:type="dxa" w:w="3024"/>
            <w:shd w:fill="FFFFFF"/>
          </w:tcPr>
          <w:p>
            <w:pPr>
              <w:keepNext w:val="0"/>
              <w:spacing w:after="60"/>
            </w:pPr>
            <w:r>
              <w:rPr>
                <w:rFonts w:ascii="맑은 고딕" w:hAnsi="맑은 고딕"/>
                <w:color w:val="000000"/>
                <w:sz w:val="20"/>
              </w:rPr>
              <w:t>얇은 마진 하락, 거래처 신용 축소, 리스 부담</w:t>
            </w:r>
          </w:p>
        </w:tc>
      </w:tr>
      <w:tr>
        <w:trPr>
          <w:cantSplit/>
        </w:trPr>
        <w:tc>
          <w:tcPr>
            <w:tcW w:type="dxa" w:w="3024"/>
            <w:shd w:fill="FFFFFF"/>
          </w:tcPr>
          <w:p>
            <w:pPr>
              <w:keepNext w:val="0"/>
              <w:spacing w:after="60"/>
            </w:pPr>
            <w:r>
              <w:rPr>
                <w:rFonts w:ascii="맑은 고딕" w:hAnsi="맑은 고딕"/>
                <w:color w:val="000000"/>
                <w:sz w:val="20"/>
              </w:rPr>
              <w:t>건설업</w:t>
            </w:r>
          </w:p>
        </w:tc>
        <w:tc>
          <w:tcPr>
            <w:tcW w:type="dxa" w:w="3024"/>
            <w:shd w:fill="FFFFFF"/>
          </w:tcPr>
          <w:p>
            <w:pPr>
              <w:keepNext w:val="0"/>
              <w:spacing w:after="60"/>
            </w:pPr>
            <w:r>
              <w:rPr>
                <w:rFonts w:ascii="맑은 고딕" w:hAnsi="맑은 고딕"/>
                <w:color w:val="000000"/>
                <w:sz w:val="20"/>
              </w:rPr>
              <w:t>PF 보증 만기 사다리(3개월·6개월·12개월·1~2년·2~3년·3년 초과 누적 막대, 정비·기타사업 구분) / 계약자산 vs 매출 증가율 막대 / 우발채무÷자기자본 불릿 차트(팀 기준선) / 공사원가율 추세 / PF 보증 만기와 자체 차입금 만기 비교 / 계약자산·공사미수금·영업CF 추세</w:t>
            </w:r>
          </w:p>
        </w:tc>
        <w:tc>
          <w:tcPr>
            <w:tcW w:type="dxa" w:w="3024"/>
            <w:shd w:fill="FFFFFF"/>
          </w:tcPr>
          <w:p>
            <w:pPr>
              <w:keepNext w:val="0"/>
              <w:spacing w:after="60"/>
            </w:pPr>
            <w:r>
              <w:rPr>
                <w:rFonts w:ascii="맑은 고딕" w:hAnsi="맑은 고딕"/>
                <w:color w:val="000000"/>
                <w:sz w:val="20"/>
              </w:rPr>
              <w:t>PF 만기 집중, 이익-현금 괴리</w:t>
            </w:r>
          </w:p>
        </w:tc>
      </w:tr>
      <w:tr>
        <w:trPr>
          <w:cantSplit/>
        </w:trPr>
        <w:tc>
          <w:tcPr>
            <w:tcW w:type="dxa" w:w="3024"/>
            <w:shd w:fill="FFFFFF"/>
          </w:tcPr>
          <w:p>
            <w:pPr>
              <w:keepNext w:val="0"/>
              <w:spacing w:after="60"/>
            </w:pPr>
            <w:r>
              <w:rPr>
                <w:rFonts w:ascii="맑은 고딕" w:hAnsi="맑은 고딕"/>
                <w:color w:val="000000"/>
                <w:sz w:val="20"/>
              </w:rPr>
              <w:t>부동산·임대업</w:t>
            </w:r>
          </w:p>
        </w:tc>
        <w:tc>
          <w:tcPr>
            <w:tcW w:type="dxa" w:w="3024"/>
            <w:shd w:fill="FFFFFF"/>
          </w:tcPr>
          <w:p>
            <w:pPr>
              <w:keepNext w:val="0"/>
              <w:spacing w:after="60"/>
            </w:pPr>
            <w:r>
              <w:rPr>
                <w:rFonts w:ascii="맑은 고딕" w:hAnsi="맑은 고딕"/>
                <w:color w:val="000000"/>
                <w:sz w:val="20"/>
              </w:rPr>
              <w:t>차입금 만기 사다리(연도별 막대 + 평균 금리 점) / EBITDA 이자보상배율 라인 + 1.0배 기준선 / LTV 불릿 차트 / 임대율 추세 / 이자보상배율·금융비용 추세 / 차입금 만기·담보자산 장부금액 비교</w:t>
            </w:r>
          </w:p>
        </w:tc>
        <w:tc>
          <w:tcPr>
            <w:tcW w:type="dxa" w:w="3024"/>
            <w:shd w:fill="FFFFFF"/>
          </w:tcPr>
          <w:p>
            <w:pPr>
              <w:keepNext w:val="0"/>
              <w:spacing w:after="60"/>
            </w:pPr>
            <w:r>
              <w:rPr>
                <w:rFonts w:ascii="맑은 고딕" w:hAnsi="맑은 고딕"/>
                <w:color w:val="000000"/>
                <w:sz w:val="20"/>
              </w:rPr>
              <w:t>차환 위험, 이자 감당력, 담보 여력</w:t>
            </w:r>
          </w:p>
        </w:tc>
      </w:tr>
      <w:tr>
        <w:trPr>
          <w:cantSplit/>
        </w:trPr>
        <w:tc>
          <w:tcPr>
            <w:tcW w:type="dxa" w:w="3024"/>
            <w:shd w:fill="FFFFFF"/>
          </w:tcPr>
          <w:p>
            <w:pPr>
              <w:keepNext w:val="0"/>
              <w:spacing w:after="60"/>
            </w:pPr>
            <w:r>
              <w:rPr>
                <w:rFonts w:ascii="맑은 고딕" w:hAnsi="맑은 고딕"/>
                <w:color w:val="000000"/>
                <w:sz w:val="20"/>
              </w:rPr>
              <w:t>주석 근거</w:t>
            </w:r>
          </w:p>
        </w:tc>
        <w:tc>
          <w:tcPr>
            <w:tcW w:type="dxa" w:w="3024"/>
            <w:shd w:fill="FFFFFF"/>
          </w:tcPr>
          <w:p>
            <w:pPr>
              <w:keepNext w:val="0"/>
              <w:spacing w:after="60"/>
            </w:pPr>
            <w:r>
              <w:rPr>
                <w:rFonts w:ascii="맑은 고딕" w:hAnsi="맑은 고딕"/>
                <w:color w:val="000000"/>
                <w:sz w:val="20"/>
              </w:rPr>
              <w:t>원문 근거 카드(유형·방향·금액·단위·기준일·접수번호·원문 링크) + 보증 제공/수취 분리 표 + 소송·보증·차입 만기 타임라인</w:t>
            </w:r>
          </w:p>
        </w:tc>
        <w:tc>
          <w:tcPr>
            <w:tcW w:type="dxa" w:w="3024"/>
            <w:shd w:fill="FFFFFF"/>
          </w:tcPr>
          <w:p>
            <w:pPr>
              <w:keepNext w:val="0"/>
              <w:spacing w:after="60"/>
            </w:pPr>
            <w:r>
              <w:rPr>
                <w:rFonts w:ascii="맑은 고딕" w:hAnsi="맑은 고딕"/>
                <w:color w:val="000000"/>
                <w:sz w:val="20"/>
              </w:rPr>
              <w:t>재무제표 밖 부담과 근거 추적</w:t>
            </w:r>
          </w:p>
        </w:tc>
      </w:tr>
    </w:tbl>
    <w:p>
      <w:pPr>
        <w:pStyle w:val="Heading2"/>
        <w:spacing w:after="120"/>
      </w:pPr>
      <w:r>
        <w:t>정량 위험징후와 주석 연결</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024"/>
            <w:shd w:fill="44546A"/>
          </w:tcPr>
          <w:p>
            <w:pPr>
              <w:keepNext w:val="0"/>
              <w:spacing w:after="60"/>
            </w:pPr>
            <w:r>
              <w:rPr>
                <w:rFonts w:ascii="맑은 고딕" w:hAnsi="맑은 고딕"/>
                <w:color w:val="FFFFFF"/>
                <w:sz w:val="20"/>
              </w:rPr>
              <w:t>단계</w:t>
            </w:r>
          </w:p>
        </w:tc>
        <w:tc>
          <w:tcPr>
            <w:tcW w:type="dxa" w:w="3024"/>
            <w:shd w:fill="44546A"/>
          </w:tcPr>
          <w:p>
            <w:pPr>
              <w:keepNext w:val="0"/>
              <w:spacing w:after="60"/>
            </w:pPr>
            <w:r>
              <w:rPr>
                <w:rFonts w:ascii="맑은 고딕" w:hAnsi="맑은 고딕"/>
                <w:color w:val="FFFFFF"/>
                <w:sz w:val="20"/>
              </w:rPr>
              <w:t>처리</w:t>
            </w:r>
          </w:p>
        </w:tc>
        <w:tc>
          <w:tcPr>
            <w:tcW w:type="dxa" w:w="3024"/>
            <w:shd w:fill="44546A"/>
          </w:tcPr>
          <w:p>
            <w:pPr>
              <w:keepNext w:val="0"/>
              <w:spacing w:after="60"/>
            </w:pPr>
            <w:r>
              <w:rPr>
                <w:rFonts w:ascii="맑은 고딕" w:hAnsi="맑은 고딕"/>
                <w:color w:val="FFFFFF"/>
                <w:sz w:val="20"/>
              </w:rPr>
              <w:t>예시</w:t>
            </w:r>
          </w:p>
        </w:tc>
      </w:tr>
      <w:tr>
        <w:trPr>
          <w:cantSplit/>
        </w:trPr>
        <w:tc>
          <w:tcPr>
            <w:tcW w:type="dxa" w:w="3024"/>
            <w:shd w:fill="FFFFFF"/>
          </w:tcPr>
          <w:p>
            <w:pPr>
              <w:keepNext w:val="0"/>
              <w:spacing w:after="60"/>
            </w:pPr>
            <w:r>
              <w:rPr>
                <w:rFonts w:ascii="맑은 고딕" w:hAnsi="맑은 고딕"/>
                <w:color w:val="000000"/>
                <w:sz w:val="20"/>
              </w:rPr>
              <w:t>1</w:t>
            </w:r>
          </w:p>
        </w:tc>
        <w:tc>
          <w:tcPr>
            <w:tcW w:type="dxa" w:w="3024"/>
            <w:shd w:fill="FFFFFF"/>
          </w:tcPr>
          <w:p>
            <w:pPr>
              <w:keepNext w:val="0"/>
              <w:spacing w:after="60"/>
            </w:pPr>
            <w:r>
              <w:rPr>
                <w:rFonts w:ascii="맑은 고딕" w:hAnsi="맑은 고딕"/>
                <w:color w:val="000000"/>
                <w:sz w:val="20"/>
              </w:rPr>
              <w:t>재무비율 계산</w:t>
            </w:r>
          </w:p>
        </w:tc>
        <w:tc>
          <w:tcPr>
            <w:tcW w:type="dxa" w:w="3024"/>
            <w:shd w:fill="FFFFFF"/>
          </w:tcPr>
          <w:p>
            <w:pPr>
              <w:keepNext w:val="0"/>
              <w:spacing w:after="60"/>
            </w:pPr>
            <w:r>
              <w:rPr>
                <w:rFonts w:ascii="맑은 고딕" w:hAnsi="맑은 고딕"/>
                <w:color w:val="000000"/>
                <w:sz w:val="20"/>
              </w:rPr>
              <w:t>매출채권 회수기간 75일 → 130일</w:t>
            </w:r>
          </w:p>
        </w:tc>
      </w:tr>
      <w:tr>
        <w:trPr>
          <w:cantSplit/>
        </w:trPr>
        <w:tc>
          <w:tcPr>
            <w:tcW w:type="dxa" w:w="3024"/>
            <w:shd w:fill="FFFFFF"/>
          </w:tcPr>
          <w:p>
            <w:pPr>
              <w:keepNext w:val="0"/>
              <w:spacing w:after="60"/>
            </w:pPr>
            <w:r>
              <w:rPr>
                <w:rFonts w:ascii="맑은 고딕" w:hAnsi="맑은 고딕"/>
                <w:color w:val="000000"/>
                <w:sz w:val="20"/>
              </w:rPr>
              <w:t>2</w:t>
            </w:r>
          </w:p>
        </w:tc>
        <w:tc>
          <w:tcPr>
            <w:tcW w:type="dxa" w:w="3024"/>
            <w:shd w:fill="FFFFFF"/>
          </w:tcPr>
          <w:p>
            <w:pPr>
              <w:keepNext w:val="0"/>
              <w:spacing w:after="60"/>
            </w:pPr>
            <w:r>
              <w:rPr>
                <w:rFonts w:ascii="맑은 고딕" w:hAnsi="맑은 고딕"/>
                <w:color w:val="000000"/>
                <w:sz w:val="20"/>
              </w:rPr>
              <w:t>위험징후 탐지</w:t>
            </w:r>
          </w:p>
        </w:tc>
        <w:tc>
          <w:tcPr>
            <w:tcW w:type="dxa" w:w="3024"/>
            <w:shd w:fill="FFFFFF"/>
          </w:tcPr>
          <w:p>
            <w:pPr>
              <w:keepNext w:val="0"/>
              <w:spacing w:after="60"/>
            </w:pPr>
            <w:r>
              <w:rPr>
                <w:rFonts w:ascii="맑은 고딕" w:hAnsi="맑은 고딕"/>
                <w:color w:val="000000"/>
                <w:sz w:val="20"/>
              </w:rPr>
              <w:t>회수기간 55일 증가, 운전자본 고정화 가능성</w:t>
            </w:r>
          </w:p>
        </w:tc>
      </w:tr>
      <w:tr>
        <w:trPr>
          <w:cantSplit/>
        </w:trPr>
        <w:tc>
          <w:tcPr>
            <w:tcW w:type="dxa" w:w="3024"/>
            <w:shd w:fill="FFFFFF"/>
          </w:tcPr>
          <w:p>
            <w:pPr>
              <w:keepNext w:val="0"/>
              <w:spacing w:after="60"/>
            </w:pPr>
            <w:r>
              <w:rPr>
                <w:rFonts w:ascii="맑은 고딕" w:hAnsi="맑은 고딕"/>
                <w:color w:val="000000"/>
                <w:sz w:val="20"/>
              </w:rPr>
              <w:t>3</w:t>
            </w:r>
          </w:p>
        </w:tc>
        <w:tc>
          <w:tcPr>
            <w:tcW w:type="dxa" w:w="3024"/>
            <w:shd w:fill="FFFFFF"/>
          </w:tcPr>
          <w:p>
            <w:pPr>
              <w:keepNext w:val="0"/>
              <w:spacing w:after="60"/>
            </w:pPr>
            <w:r>
              <w:rPr>
                <w:rFonts w:ascii="맑은 고딕" w:hAnsi="맑은 고딕"/>
                <w:color w:val="000000"/>
                <w:sz w:val="20"/>
              </w:rPr>
              <w:t>연관 주석 자동 검색</w:t>
            </w:r>
          </w:p>
        </w:tc>
        <w:tc>
          <w:tcPr>
            <w:tcW w:type="dxa" w:w="3024"/>
            <w:shd w:fill="FFFFFF"/>
          </w:tcPr>
          <w:p>
            <w:pPr>
              <w:keepNext w:val="0"/>
              <w:spacing w:after="60"/>
            </w:pPr>
            <w:r>
              <w:rPr>
                <w:rFonts w:ascii="맑은 고딕" w:hAnsi="맑은 고딕"/>
                <w:color w:val="000000"/>
                <w:sz w:val="20"/>
              </w:rPr>
              <w:t>매출채권 연령분석·손실충당금·주요 거래처</w:t>
            </w:r>
          </w:p>
        </w:tc>
      </w:tr>
      <w:tr>
        <w:trPr>
          <w:cantSplit/>
        </w:trPr>
        <w:tc>
          <w:tcPr>
            <w:tcW w:type="dxa" w:w="3024"/>
            <w:shd w:fill="FFFFFF"/>
          </w:tcPr>
          <w:p>
            <w:pPr>
              <w:keepNext w:val="0"/>
              <w:spacing w:after="60"/>
            </w:pPr>
            <w:r>
              <w:rPr>
                <w:rFonts w:ascii="맑은 고딕" w:hAnsi="맑은 고딕"/>
                <w:color w:val="000000"/>
                <w:sz w:val="20"/>
              </w:rPr>
              <w:t>4</w:t>
            </w:r>
          </w:p>
        </w:tc>
        <w:tc>
          <w:tcPr>
            <w:tcW w:type="dxa" w:w="3024"/>
            <w:shd w:fill="FFFFFF"/>
          </w:tcPr>
          <w:p>
            <w:pPr>
              <w:keepNext w:val="0"/>
              <w:spacing w:after="60"/>
            </w:pPr>
            <w:r>
              <w:rPr>
                <w:rFonts w:ascii="맑은 고딕" w:hAnsi="맑은 고딕"/>
                <w:color w:val="000000"/>
                <w:sz w:val="20"/>
              </w:rPr>
              <w:t>AI 분석 및 근거 연결</w:t>
            </w:r>
          </w:p>
        </w:tc>
        <w:tc>
          <w:tcPr>
            <w:tcW w:type="dxa" w:w="3024"/>
            <w:shd w:fill="FFFFFF"/>
          </w:tcPr>
          <w:p>
            <w:pPr>
              <w:keepNext w:val="0"/>
              <w:spacing w:after="60"/>
            </w:pPr>
            <w:r>
              <w:rPr>
                <w:rFonts w:ascii="맑은 고딕" w:hAnsi="맑은 고딕"/>
                <w:color w:val="000000"/>
                <w:sz w:val="20"/>
              </w:rPr>
              <w:t>연체 채권 증가 여부와 충당금 변화 확인</w:t>
            </w:r>
          </w:p>
        </w:tc>
      </w:tr>
      <w:tr>
        <w:trPr>
          <w:cantSplit/>
        </w:trPr>
        <w:tc>
          <w:tcPr>
            <w:tcW w:type="dxa" w:w="3024"/>
            <w:shd w:fill="FFFFFF"/>
          </w:tcPr>
          <w:p>
            <w:pPr>
              <w:keepNext w:val="0"/>
              <w:spacing w:after="60"/>
            </w:pPr>
            <w:r>
              <w:rPr>
                <w:rFonts w:ascii="맑은 고딕" w:hAnsi="맑은 고딕"/>
                <w:color w:val="000000"/>
                <w:sz w:val="20"/>
              </w:rPr>
              <w:t>5</w:t>
            </w:r>
          </w:p>
        </w:tc>
        <w:tc>
          <w:tcPr>
            <w:tcW w:type="dxa" w:w="3024"/>
            <w:shd w:fill="FFFFFF"/>
          </w:tcPr>
          <w:p>
            <w:pPr>
              <w:keepNext w:val="0"/>
              <w:spacing w:after="60"/>
            </w:pPr>
            <w:r>
              <w:rPr>
                <w:rFonts w:ascii="맑은 고딕" w:hAnsi="맑은 고딕"/>
                <w:color w:val="000000"/>
                <w:sz w:val="20"/>
              </w:rPr>
              <w:t>담당자 추가 확인 안내</w:t>
            </w:r>
          </w:p>
        </w:tc>
        <w:tc>
          <w:tcPr>
            <w:tcW w:type="dxa" w:w="3024"/>
            <w:shd w:fill="FFFFFF"/>
          </w:tcPr>
          <w:p>
            <w:pPr>
              <w:keepNext w:val="0"/>
              <w:spacing w:after="60"/>
            </w:pPr>
            <w:r>
              <w:rPr>
                <w:rFonts w:ascii="맑은 고딕" w:hAnsi="맑은 고딕"/>
                <w:color w:val="000000"/>
                <w:sz w:val="20"/>
              </w:rPr>
              <w:t>"매출채권 회수기간이 55일 증가했습니다. 주요 거래처의 지급조건 변경이나 회수 지연이 발생했는지 확인이 필요합니다."</w:t>
            </w:r>
          </w:p>
        </w:tc>
      </w:tr>
    </w:tbl>
    <w:p>
      <w:pPr>
        <w:pStyle w:val="Heading1"/>
        <w:spacing w:after="120"/>
      </w:pPr>
      <w:r>
        <w:t>6 모델과 제공 상태</w:t>
      </w:r>
    </w:p>
    <w:p>
      <w:pPr>
        <w:spacing w:after="120"/>
      </w:pPr>
      <w:r>
        <w:t>공시 기준일 이후 12개월 위험 사건 발생 확률 추정을 제공하는 모델을 개발한다. 사건 유형·공시 시점·추적 기간을 기록하고 원문 근거와 연결한다. 뉴스와 AI의 임의 확률은 초기 입력에서 제외한다. 사용할 수 없는 모델은 제공 보류로 표시한다. 상환과 무관한 상장폐지·관리종목 지정은 위험 사건으로 단정하지 않는다.</w:t>
      </w:r>
    </w:p>
    <w:p>
      <w:pPr>
        <w:pStyle w:val="Heading1"/>
        <w:spacing w:after="120"/>
      </w:pPr>
      <w:r>
        <w:t>7 구현 우선순위와 일정</w:t>
      </w:r>
    </w:p>
    <w:p>
      <w:pPr>
        <w:spacing w:after="120"/>
      </w:pPr>
      <w:r>
        <w:t>P0: 핵심 비율·정량 RISK·원문 근거·OFS/CFS·단위/연도 구분. P1: 동종 분포·복합 징후·AI 추가 질문·차입 만기·담보·보증·리스 연결. P2: PF 만기 사다리·공사별 미분양·금액 정합성과 임계값 보정. 날짜·담당·선행관계는 WBS v1.3의 실행 초안을 따른다. 날짜 경과를 완료로 처리하지 않는다.</w:t>
      </w:r>
    </w:p>
    <w:p>
      <w:pPr>
        <w:pStyle w:val="Heading1"/>
        <w:spacing w:after="120"/>
      </w:pPr>
      <w:r>
        <w:t>8 미정 사항과 운영</w:t>
      </w:r>
    </w:p>
    <w:tbl>
      <w:tblPr>
        <w:tblW w:type="auto" w:w="0"/>
        <w:tblLayout w:type="fixed"/>
        <w:tblLook w:firstColumn="1" w:firstRow="1" w:lastColumn="0" w:lastRow="0" w:noHBand="0" w:noVBand="1" w:val="04A0"/>
      </w:tblPr>
      <w:tblGrid>
        <w:gridCol w:w="4819"/>
        <w:gridCol w:w="4819"/>
      </w:tblGrid>
      <w:tr>
        <w:trPr>
          <w:cantSplit/>
          <w:tblHeader/>
        </w:trPr>
        <w:tc>
          <w:tcPr>
            <w:tcW w:type="dxa" w:w="1134"/>
            <w:shd w:fill="44546A"/>
          </w:tcPr>
          <w:p>
            <w:pPr>
              <w:keepNext w:val="0"/>
              <w:spacing w:after="60"/>
            </w:pPr>
            <w:r>
              <w:rPr>
                <w:rFonts w:ascii="맑은 고딕" w:hAnsi="맑은 고딕"/>
                <w:color w:val="FFFFFF"/>
                <w:sz w:val="20"/>
              </w:rPr>
              <w:t>ID</w:t>
            </w:r>
          </w:p>
        </w:tc>
        <w:tc>
          <w:tcPr>
            <w:tcW w:type="dxa" w:w="7937"/>
            <w:shd w:fill="44546A"/>
          </w:tcPr>
          <w:p>
            <w:pPr>
              <w:keepNext w:val="0"/>
              <w:spacing w:after="60"/>
            </w:pPr>
            <w:r>
              <w:rPr>
                <w:rFonts w:ascii="맑은 고딕" w:hAnsi="맑은 고딕"/>
                <w:color w:val="FFFFFF"/>
                <w:sz w:val="20"/>
              </w:rPr>
              <w:t>질문</w:t>
            </w:r>
          </w:p>
        </w:tc>
      </w:tr>
      <w:tr>
        <w:trPr>
          <w:cantSplit/>
        </w:trPr>
        <w:tc>
          <w:tcPr>
            <w:tcW w:type="dxa" w:w="1134"/>
            <w:shd w:fill="FFFFFF"/>
          </w:tcPr>
          <w:p>
            <w:pPr>
              <w:keepNext w:val="0"/>
              <w:spacing w:after="60"/>
            </w:pPr>
            <w:r>
              <w:rPr>
                <w:rFonts w:ascii="맑은 고딕" w:hAnsi="맑은 고딕"/>
                <w:color w:val="000000"/>
                <w:sz w:val="20"/>
              </w:rPr>
              <w:t>N-U01</w:t>
            </w:r>
          </w:p>
        </w:tc>
        <w:tc>
          <w:tcPr>
            <w:tcW w:type="dxa" w:w="7937"/>
            <w:shd w:fill="FFFFFF"/>
          </w:tcPr>
          <w:p>
            <w:pPr>
              <w:keepNext w:val="0"/>
              <w:spacing w:after="60"/>
            </w:pPr>
            <w:r>
              <w:rPr>
                <w:rFonts w:ascii="맑은 고딕" w:hAnsi="맑은 고딕"/>
                <w:color w:val="000000"/>
                <w:sz w:val="20"/>
              </w:rPr>
              <w:t>위험 사건 원천의 제공 기간·누락 범위, 유형별 심각도, 사건일·공개일·12개월 추적 종료와 미조회 처리는 어떻게 정할 것인가?</w:t>
            </w:r>
          </w:p>
        </w:tc>
      </w:tr>
      <w:tr>
        <w:trPr>
          <w:cantSplit/>
        </w:trPr>
        <w:tc>
          <w:tcPr>
            <w:tcW w:type="dxa" w:w="1134"/>
            <w:shd w:fill="FFFFFF"/>
          </w:tcPr>
          <w:p>
            <w:pPr>
              <w:keepNext w:val="0"/>
              <w:spacing w:after="60"/>
            </w:pPr>
            <w:r>
              <w:rPr>
                <w:rFonts w:ascii="맑은 고딕" w:hAnsi="맑은 고딕"/>
                <w:color w:val="000000"/>
                <w:sz w:val="20"/>
              </w:rPr>
              <w:t>N-U02</w:t>
            </w:r>
          </w:p>
        </w:tc>
        <w:tc>
          <w:tcPr>
            <w:tcW w:type="dxa" w:w="7937"/>
            <w:shd w:fill="FFFFFF"/>
          </w:tcPr>
          <w:p>
            <w:pPr>
              <w:keepNext w:val="0"/>
              <w:spacing w:after="60"/>
            </w:pPr>
            <w:r>
              <w:rPr>
                <w:rFonts w:ascii="맑은 고딕" w:hAnsi="맑은 고딕"/>
                <w:color w:val="000000"/>
                <w:sz w:val="20"/>
              </w:rPr>
              <w:t>4개 업종의 세부분류 수준, 대상 기업의 공시 확보 범위와 기본 분석 기간은 무엇인가?</w:t>
            </w:r>
          </w:p>
        </w:tc>
      </w:tr>
      <w:tr>
        <w:trPr>
          <w:cantSplit/>
        </w:trPr>
        <w:tc>
          <w:tcPr>
            <w:tcW w:type="dxa" w:w="1134"/>
            <w:shd w:fill="FFFFFF"/>
          </w:tcPr>
          <w:p>
            <w:pPr>
              <w:keepNext w:val="0"/>
              <w:spacing w:after="60"/>
            </w:pPr>
            <w:r>
              <w:rPr>
                <w:rFonts w:ascii="맑은 고딕" w:hAnsi="맑은 고딕"/>
                <w:color w:val="000000"/>
                <w:sz w:val="20"/>
              </w:rPr>
              <w:t>N-U04</w:t>
            </w:r>
          </w:p>
        </w:tc>
        <w:tc>
          <w:tcPr>
            <w:tcW w:type="dxa" w:w="7937"/>
            <w:shd w:fill="FFFFFF"/>
          </w:tcPr>
          <w:p>
            <w:pPr>
              <w:keepNext w:val="0"/>
              <w:spacing w:after="60"/>
            </w:pPr>
            <w:r>
              <w:rPr>
                <w:rFonts w:ascii="맑은 고딕" w:hAnsi="맑은 고딕"/>
                <w:color w:val="000000"/>
                <w:sz w:val="20"/>
              </w:rPr>
              <w:t>금액/유형/상태의 최종 코드와 원문 위치 저장 방식, 사람이 정합성을 확인한 항목을 모델에 넘기는 절차는 무엇인가?</w:t>
            </w:r>
          </w:p>
        </w:tc>
      </w:tr>
      <w:tr>
        <w:trPr>
          <w:cantSplit/>
        </w:trPr>
        <w:tc>
          <w:tcPr>
            <w:tcW w:type="dxa" w:w="1134"/>
            <w:shd w:fill="FFFFFF"/>
          </w:tcPr>
          <w:p>
            <w:pPr>
              <w:keepNext w:val="0"/>
              <w:spacing w:after="60"/>
            </w:pPr>
            <w:r>
              <w:rPr>
                <w:rFonts w:ascii="맑은 고딕" w:hAnsi="맑은 고딕"/>
                <w:color w:val="000000"/>
                <w:sz w:val="20"/>
              </w:rPr>
              <w:t>N-U05</w:t>
            </w:r>
          </w:p>
        </w:tc>
        <w:tc>
          <w:tcPr>
            <w:tcW w:type="dxa" w:w="7937"/>
            <w:shd w:fill="FFFFFF"/>
          </w:tcPr>
          <w:p>
            <w:pPr>
              <w:keepNext w:val="0"/>
              <w:spacing w:after="60"/>
            </w:pPr>
            <w:r>
              <w:rPr>
                <w:rFonts w:ascii="맑은 고딕" w:hAnsi="맑은 고딕"/>
                <w:color w:val="000000"/>
                <w:sz w:val="20"/>
              </w:rPr>
              <w:t>결합 모델 후보·결측 처리와 확률 제공/보류 조건, 복합 위험·주석 근거 미확보 시 표시 문구는 어떻게 정할 것인가?</w:t>
            </w:r>
          </w:p>
        </w:tc>
      </w:tr>
      <w:tr>
        <w:trPr>
          <w:cantSplit/>
        </w:trPr>
        <w:tc>
          <w:tcPr>
            <w:tcW w:type="dxa" w:w="1134"/>
            <w:shd w:fill="FFFFFF"/>
          </w:tcPr>
          <w:p>
            <w:pPr>
              <w:keepNext w:val="0"/>
              <w:spacing w:after="60"/>
            </w:pPr>
            <w:r>
              <w:rPr>
                <w:rFonts w:ascii="맑은 고딕" w:hAnsi="맑은 고딕"/>
                <w:color w:val="000000"/>
                <w:sz w:val="20"/>
              </w:rPr>
              <w:t>N-U06</w:t>
            </w:r>
          </w:p>
        </w:tc>
        <w:tc>
          <w:tcPr>
            <w:tcW w:type="dxa" w:w="7937"/>
            <w:shd w:fill="FFFFFF"/>
          </w:tcPr>
          <w:p>
            <w:pPr>
              <w:keepNext w:val="0"/>
              <w:spacing w:after="60"/>
            </w:pPr>
            <w:r>
              <w:rPr>
                <w:rFonts w:ascii="맑은 고딕" w:hAnsi="맑은 고딕"/>
                <w:color w:val="000000"/>
                <w:sz w:val="20"/>
              </w:rPr>
              <w:t>업종별 비교 표본 최소 수와 비교 불가 기준, 업종 기준(건설·부동산 임대) 규칙의 수치·근거·버전은 무엇인가?</w:t>
            </w:r>
          </w:p>
        </w:tc>
      </w:tr>
      <w:tr>
        <w:trPr>
          <w:cantSplit/>
        </w:trPr>
        <w:tc>
          <w:tcPr>
            <w:tcW w:type="dxa" w:w="1134"/>
            <w:shd w:fill="FFFFFF"/>
          </w:tcPr>
          <w:p>
            <w:pPr>
              <w:keepNext w:val="0"/>
              <w:spacing w:after="60"/>
            </w:pPr>
            <w:r>
              <w:rPr>
                <w:rFonts w:ascii="맑은 고딕" w:hAnsi="맑은 고딕"/>
                <w:color w:val="000000"/>
                <w:sz w:val="20"/>
              </w:rPr>
              <w:t>N-U07</w:t>
            </w:r>
          </w:p>
        </w:tc>
        <w:tc>
          <w:tcPr>
            <w:tcW w:type="dxa" w:w="7937"/>
            <w:shd w:fill="FFFFFF"/>
          </w:tcPr>
          <w:p>
            <w:pPr>
              <w:keepNext w:val="0"/>
              <w:spacing w:after="60"/>
            </w:pPr>
            <w:r>
              <w:rPr>
                <w:rFonts w:ascii="맑은 고딕" w:hAnsi="맑은 고딕"/>
                <w:color w:val="000000"/>
                <w:sz w:val="20"/>
              </w:rPr>
              <w:t>LLM 제공자·모델·비용·한도, 뉴스 수집 방식·이용 조건·관련성 검수 기준은 무엇인가?</w:t>
            </w:r>
          </w:p>
        </w:tc>
      </w:tr>
      <w:tr>
        <w:trPr>
          <w:cantSplit/>
        </w:trPr>
        <w:tc>
          <w:tcPr>
            <w:tcW w:type="dxa" w:w="1134"/>
            <w:shd w:fill="FFFFFF"/>
          </w:tcPr>
          <w:p>
            <w:pPr>
              <w:keepNext w:val="0"/>
              <w:spacing w:after="60"/>
            </w:pPr>
            <w:r>
              <w:rPr>
                <w:rFonts w:ascii="맑은 고딕" w:hAnsi="맑은 고딕"/>
                <w:color w:val="000000"/>
                <w:sz w:val="20"/>
              </w:rPr>
              <w:t>N-U08</w:t>
            </w:r>
          </w:p>
        </w:tc>
        <w:tc>
          <w:tcPr>
            <w:tcW w:type="dxa" w:w="7937"/>
            <w:shd w:fill="FFFFFF"/>
          </w:tcPr>
          <w:p>
            <w:pPr>
              <w:keepNext w:val="0"/>
              <w:spacing w:after="60"/>
            </w:pPr>
            <w:r>
              <w:rPr>
                <w:rFonts w:ascii="맑은 고딕" w:hAnsi="맑은 고딕"/>
                <w:color w:val="000000"/>
                <w:sz w:val="20"/>
              </w:rPr>
              <w:t>메모·확인 상태 저장 단위와 사용자 구분, 권한·보존·캐시·오류 재시도·배포 환경은 무엇인가?</w:t>
            </w:r>
          </w:p>
        </w:tc>
      </w:tr>
      <w:tr>
        <w:trPr>
          <w:cantSplit/>
        </w:trPr>
        <w:tc>
          <w:tcPr>
            <w:tcW w:type="dxa" w:w="1134"/>
            <w:shd w:fill="FFFFFF"/>
          </w:tcPr>
          <w:p>
            <w:pPr>
              <w:keepNext w:val="0"/>
              <w:spacing w:after="60"/>
            </w:pPr>
            <w:r>
              <w:rPr>
                <w:rFonts w:ascii="맑은 고딕" w:hAnsi="맑은 고딕"/>
                <w:color w:val="000000"/>
                <w:sz w:val="20"/>
              </w:rPr>
              <w:t>N-U09</w:t>
            </w:r>
          </w:p>
        </w:tc>
        <w:tc>
          <w:tcPr>
            <w:tcW w:type="dxa" w:w="7937"/>
            <w:shd w:fill="FFFFFF"/>
          </w:tcPr>
          <w:p>
            <w:pPr>
              <w:keepNext w:val="0"/>
              <w:spacing w:after="60"/>
            </w:pPr>
            <w:r>
              <w:rPr>
                <w:rFonts w:ascii="맑은 고딕" w:hAnsi="맑은 고딕"/>
                <w:color w:val="000000"/>
                <w:sz w:val="20"/>
              </w:rPr>
              <w:t>계획 제출 2026.11.05 09:00과 실제 교육 마감은 일치하며 최종 제출 담당·접수 근거는 어떻게 남길 것인가?</w:t>
            </w:r>
          </w:p>
        </w:tc>
      </w:tr>
      <w:tr>
        <w:trPr>
          <w:cantSplit/>
        </w:trPr>
        <w:tc>
          <w:tcPr>
            <w:tcW w:type="dxa" w:w="1134"/>
            <w:shd w:fill="FFFFFF"/>
          </w:tcPr>
          <w:p>
            <w:pPr>
              <w:keepNext w:val="0"/>
              <w:spacing w:after="60"/>
            </w:pPr>
            <w:r>
              <w:rPr>
                <w:rFonts w:ascii="맑은 고딕" w:hAnsi="맑은 고딕"/>
                <w:color w:val="000000"/>
                <w:sz w:val="20"/>
              </w:rPr>
              <w:t>N-U10</w:t>
            </w:r>
          </w:p>
        </w:tc>
        <w:tc>
          <w:tcPr>
            <w:tcW w:type="dxa" w:w="7937"/>
            <w:shd w:fill="FFFFFF"/>
          </w:tcPr>
          <w:p>
            <w:pPr>
              <w:keepNext w:val="0"/>
              <w:spacing w:after="60"/>
            </w:pPr>
            <w:r>
              <w:rPr>
                <w:rFonts w:ascii="맑은 고딕" w:hAnsi="맑은 고딕"/>
                <w:color w:val="000000"/>
                <w:sz w:val="20"/>
              </w:rPr>
              <w:t>외부 업종 통계·ECOS, 비상장/스타트업 확대, PDF 출력은 어떤 조건 충족 후 추가할 것인가?</w:t>
            </w:r>
          </w:p>
        </w:tc>
      </w:tr>
      <w:tr>
        <w:trPr>
          <w:cantSplit/>
        </w:trPr>
        <w:tc>
          <w:tcPr>
            <w:tcW w:type="dxa" w:w="1134"/>
            <w:shd w:fill="FFFFFF"/>
          </w:tcPr>
          <w:p>
            <w:pPr>
              <w:keepNext w:val="0"/>
              <w:spacing w:after="60"/>
            </w:pPr>
            <w:r>
              <w:rPr>
                <w:rFonts w:ascii="맑은 고딕" w:hAnsi="맑은 고딕"/>
                <w:color w:val="000000"/>
                <w:sz w:val="20"/>
              </w:rPr>
              <w:t>N-U11</w:t>
            </w:r>
          </w:p>
        </w:tc>
        <w:tc>
          <w:tcPr>
            <w:tcW w:type="dxa" w:w="7937"/>
            <w:shd w:fill="FFFFFF"/>
          </w:tcPr>
          <w:p>
            <w:pPr>
              <w:keepNext w:val="0"/>
              <w:spacing w:after="60"/>
            </w:pPr>
            <w:r>
              <w:rPr>
                <w:rFonts w:ascii="맑은 고딕" w:hAnsi="맑은 고딕"/>
                <w:color w:val="000000"/>
                <w:sz w:val="20"/>
              </w:rPr>
              <w:t>회전율·회전일수의 분모를 기말 잔액으로 할지 연평균 잔액으로 할지, 첫 해(전기 자료 없음) 처리는 어떻게 할 것인가?</w:t>
            </w:r>
          </w:p>
        </w:tc>
      </w:tr>
      <w:tr>
        <w:trPr>
          <w:cantSplit/>
        </w:trPr>
        <w:tc>
          <w:tcPr>
            <w:tcW w:type="dxa" w:w="1134"/>
            <w:shd w:fill="FFFFFF"/>
          </w:tcPr>
          <w:p>
            <w:pPr>
              <w:keepNext w:val="0"/>
              <w:spacing w:after="60"/>
            </w:pPr>
            <w:r>
              <w:rPr>
                <w:rFonts w:ascii="맑은 고딕" w:hAnsi="맑은 고딕"/>
                <w:color w:val="000000"/>
                <w:sz w:val="20"/>
              </w:rPr>
              <w:t>N-U12</w:t>
            </w:r>
          </w:p>
        </w:tc>
        <w:tc>
          <w:tcPr>
            <w:tcW w:type="dxa" w:w="7937"/>
            <w:shd w:fill="FFFFFF"/>
          </w:tcPr>
          <w:p>
            <w:pPr>
              <w:keepNext w:val="0"/>
              <w:spacing w:after="60"/>
            </w:pPr>
            <w:r>
              <w:rPr>
                <w:rFonts w:ascii="맑은 고딕" w:hAnsi="맑은 고딕"/>
                <w:color w:val="000000"/>
                <w:sz w:val="20"/>
              </w:rPr>
              <w:t>업종 기준 수치(차입금의존도 30%, 단기차입 비중 50%, EBITDA 이자보상 1.5배, 차입금÷투자부동산 70%, 현금전환주기 +30일 등)를 업종 분포와 현직자 확인으로 어떻게 확정할 것인가?</w:t>
            </w:r>
          </w:p>
        </w:tc>
      </w:tr>
      <w:tr>
        <w:trPr>
          <w:cantSplit/>
        </w:trPr>
        <w:tc>
          <w:tcPr>
            <w:tcW w:type="dxa" w:w="1134"/>
            <w:shd w:fill="FFFFFF"/>
          </w:tcPr>
          <w:p>
            <w:pPr>
              <w:keepNext w:val="0"/>
              <w:spacing w:after="60"/>
            </w:pPr>
            <w:r>
              <w:rPr>
                <w:rFonts w:ascii="맑은 고딕" w:hAnsi="맑은 고딕"/>
                <w:color w:val="000000"/>
                <w:sz w:val="20"/>
              </w:rPr>
              <w:t>N-U13</w:t>
            </w:r>
          </w:p>
        </w:tc>
        <w:tc>
          <w:tcPr>
            <w:tcW w:type="dxa" w:w="7937"/>
            <w:shd w:fill="FFFFFF"/>
          </w:tcPr>
          <w:p>
            <w:pPr>
              <w:keepNext w:val="0"/>
              <w:spacing w:after="60"/>
            </w:pPr>
            <w:r>
              <w:rPr>
                <w:rFonts w:ascii="맑은 고딕" w:hAnsi="맑은 고딕"/>
                <w:color w:val="000000"/>
                <w:sz w:val="20"/>
              </w:rPr>
              <w:t>이자비용을 본문·주석 중 어디서 확보할 것이며, 확보하지 못할 때 금융원가 근사를 허용하고 어떻게 표시할 것인가?</w:t>
            </w:r>
          </w:p>
        </w:tc>
      </w:tr>
      <w:tr>
        <w:trPr>
          <w:cantSplit/>
        </w:trPr>
        <w:tc>
          <w:tcPr>
            <w:tcW w:type="dxa" w:w="1134"/>
            <w:shd w:fill="FFFFFF"/>
          </w:tcPr>
          <w:p>
            <w:pPr>
              <w:keepNext w:val="0"/>
              <w:spacing w:after="60"/>
            </w:pPr>
            <w:r>
              <w:rPr>
                <w:rFonts w:ascii="맑은 고딕" w:hAnsi="맑은 고딕"/>
                <w:color w:val="000000"/>
                <w:sz w:val="20"/>
              </w:rPr>
              <w:t>N-U14</w:t>
            </w:r>
          </w:p>
        </w:tc>
        <w:tc>
          <w:tcPr>
            <w:tcW w:type="dxa" w:w="7937"/>
            <w:shd w:fill="FFFFFF"/>
          </w:tcPr>
          <w:p>
            <w:pPr>
              <w:keepNext w:val="0"/>
              <w:spacing w:after="60"/>
            </w:pPr>
            <w:r>
              <w:rPr>
                <w:rFonts w:ascii="맑은 고딕" w:hAnsi="맑은 고딕"/>
                <w:color w:val="000000"/>
                <w:sz w:val="20"/>
              </w:rPr>
              <w:t>부동산·임대업의 임대보증금을 실질 차입에 포함할 것인가, 별도 표시만 할 것인가?</w:t>
            </w:r>
          </w:p>
        </w:tc>
      </w:tr>
      <w:tr>
        <w:trPr>
          <w:cantSplit/>
        </w:trPr>
        <w:tc>
          <w:tcPr>
            <w:tcW w:type="dxa" w:w="1134"/>
            <w:shd w:fill="FFFFFF"/>
          </w:tcPr>
          <w:p>
            <w:pPr>
              <w:keepNext w:val="0"/>
              <w:spacing w:after="60"/>
            </w:pPr>
            <w:r>
              <w:rPr>
                <w:rFonts w:ascii="맑은 고딕" w:hAnsi="맑은 고딕"/>
                <w:color w:val="000000"/>
                <w:sz w:val="20"/>
              </w:rPr>
              <w:t>N-U15</w:t>
            </w:r>
          </w:p>
        </w:tc>
        <w:tc>
          <w:tcPr>
            <w:tcW w:type="dxa" w:w="7937"/>
            <w:shd w:fill="FFFFFF"/>
          </w:tcPr>
          <w:p>
            <w:pPr>
              <w:keepNext w:val="0"/>
              <w:spacing w:after="60"/>
            </w:pPr>
            <w:r>
              <w:rPr>
                <w:rFonts w:ascii="맑은 고딕" w:hAnsi="맑은 고딕"/>
                <w:color w:val="000000"/>
                <w:sz w:val="20"/>
              </w:rPr>
              <w:t>겸업 회사의 '복합' 판정 기준(부문 매출 비중 몇 %)과 담당자 업종 변경 권한·기록 방식은 무엇인가?</w:t>
            </w:r>
          </w:p>
        </w:tc>
      </w:tr>
      <w:tr>
        <w:trPr>
          <w:cantSplit/>
        </w:trPr>
        <w:tc>
          <w:tcPr>
            <w:tcW w:type="dxa" w:w="1134"/>
            <w:shd w:fill="FFFFFF"/>
          </w:tcPr>
          <w:p>
            <w:pPr>
              <w:keepNext w:val="0"/>
              <w:spacing w:after="60"/>
            </w:pPr>
            <w:r>
              <w:rPr>
                <w:rFonts w:ascii="맑은 고딕" w:hAnsi="맑은 고딕"/>
                <w:color w:val="000000"/>
                <w:sz w:val="20"/>
              </w:rPr>
              <w:t>N-U16</w:t>
            </w:r>
          </w:p>
        </w:tc>
        <w:tc>
          <w:tcPr>
            <w:tcW w:type="dxa" w:w="7937"/>
            <w:shd w:fill="FFFFFF"/>
          </w:tcPr>
          <w:p>
            <w:pPr>
              <w:keepNext w:val="0"/>
              <w:spacing w:after="60"/>
            </w:pPr>
            <w:r>
              <w:rPr>
                <w:rFonts w:ascii="맑은 고딕" w:hAnsi="맑은 고딕"/>
                <w:color w:val="000000"/>
                <w:sz w:val="20"/>
              </w:rPr>
              <w:t>한국은행 기업경영분석 업종 평균을 어떤 업종 수준·연도로 쓰며, 모집단(외감·영리법인)과 상장사 차이를 어떻게 표시할 것인가?</w:t>
            </w:r>
          </w:p>
        </w:tc>
      </w:tr>
      <w:tr>
        <w:trPr>
          <w:cantSplit/>
        </w:trPr>
        <w:tc>
          <w:tcPr>
            <w:tcW w:type="dxa" w:w="1134"/>
            <w:shd w:fill="FFFFFF"/>
          </w:tcPr>
          <w:p>
            <w:pPr>
              <w:keepNext w:val="0"/>
              <w:spacing w:after="60"/>
            </w:pPr>
            <w:r>
              <w:rPr>
                <w:rFonts w:ascii="맑은 고딕" w:hAnsi="맑은 고딕"/>
                <w:color w:val="000000"/>
                <w:sz w:val="20"/>
              </w:rPr>
              <w:t>N-U17</w:t>
            </w:r>
          </w:p>
        </w:tc>
        <w:tc>
          <w:tcPr>
            <w:tcW w:type="dxa" w:w="7937"/>
            <w:shd w:fill="FFFFFF"/>
          </w:tcPr>
          <w:p>
            <w:pPr>
              <w:keepNext w:val="0"/>
              <w:spacing w:after="60"/>
            </w:pPr>
            <w:r>
              <w:rPr>
                <w:rFonts w:ascii="맑은 고딕" w:hAnsi="맑은 고딕"/>
                <w:color w:val="000000"/>
                <w:sz w:val="20"/>
              </w:rPr>
              <w:t>경고·주의·관찰 조건 수치(이자보상비율 1배·3년 연속, 1년 내 만기 차입금 &gt; 현금성자산+영업CF, 보증 급증 기준 등)와 은행 건전성 분류 관점 매핑을 누가 어떤 근거로 확정하며, 현직자 확인은 언제 받는가?</w:t>
            </w:r>
          </w:p>
        </w:tc>
      </w:tr>
      <w:tr>
        <w:trPr>
          <w:cantSplit/>
        </w:trPr>
        <w:tc>
          <w:tcPr>
            <w:tcW w:type="dxa" w:w="1134"/>
            <w:shd w:fill="FFFFFF"/>
          </w:tcPr>
          <w:p>
            <w:pPr>
              <w:keepNext w:val="0"/>
              <w:spacing w:after="60"/>
            </w:pPr>
            <w:r>
              <w:rPr>
                <w:rFonts w:ascii="맑은 고딕" w:hAnsi="맑은 고딕"/>
                <w:color w:val="000000"/>
                <w:sz w:val="20"/>
              </w:rPr>
              <w:t>N-U18</w:t>
            </w:r>
          </w:p>
        </w:tc>
        <w:tc>
          <w:tcPr>
            <w:tcW w:type="dxa" w:w="7937"/>
            <w:shd w:fill="FFFFFF"/>
          </w:tcPr>
          <w:p>
            <w:pPr>
              <w:keepNext w:val="0"/>
              <w:spacing w:after="60"/>
            </w:pPr>
            <w:r>
              <w:rPr>
                <w:rFonts w:ascii="맑은 고딕" w:hAnsi="맑은 고딕"/>
                <w:color w:val="000000"/>
                <w:sz w:val="20"/>
              </w:rPr>
              <w:t>검색어 사전의 버전 관리·업종별 추가 절차, 표와 본문이 겹칠 때 우선순위, 미검출 원인(규칙 누락/공시 없음/형식 차이) 판정 절차는 무엇인가?</w:t>
            </w:r>
          </w:p>
        </w:tc>
      </w:tr>
      <w:tr>
        <w:trPr>
          <w:cantSplit/>
        </w:trPr>
        <w:tc>
          <w:tcPr>
            <w:tcW w:type="dxa" w:w="1134"/>
            <w:shd w:fill="FFFFFF"/>
          </w:tcPr>
          <w:p>
            <w:pPr>
              <w:keepNext w:val="0"/>
              <w:spacing w:after="60"/>
            </w:pPr>
            <w:r>
              <w:rPr>
                <w:rFonts w:ascii="맑은 고딕" w:hAnsi="맑은 고딕"/>
                <w:color w:val="000000"/>
                <w:sz w:val="20"/>
              </w:rPr>
              <w:t>N-U20</w:t>
            </w:r>
          </w:p>
        </w:tc>
        <w:tc>
          <w:tcPr>
            <w:tcW w:type="dxa" w:w="7937"/>
            <w:shd w:fill="FFFFFF"/>
          </w:tcPr>
          <w:p>
            <w:pPr>
              <w:keepNext w:val="0"/>
              <w:spacing w:after="60"/>
            </w:pPr>
            <w:r>
              <w:rPr>
                <w:rFonts w:ascii="맑은 고딕" w:hAnsi="맑은 고딕"/>
                <w:color w:val="000000"/>
                <w:sz w:val="20"/>
              </w:rPr>
              <w:t>업종 내 위치 표시 최소 표본 수, 업종별 차트 우선 구현 순서, 기존 SVG 차트로 구현할 범위는 무엇인가?</w:t>
            </w:r>
          </w:p>
        </w:tc>
      </w:tr>
    </w:tbl>
    <w:p>
      <w:pPr>
        <w:spacing w:after="120"/>
      </w:pPr>
      <w:r>
        <w:t>접근·키·비용·보존·캐시·오류 처리와 모델 제공 조건은 확인된 범위로 관리한다. 새 기능의 구현 완료나 수용을 문서 개정만으로 확정하지 않는다.</w:t>
      </w:r>
    </w:p>
    <w:p>
      <w:pPr>
        <w:pStyle w:val="Heading1"/>
        <w:spacing w:after="120"/>
      </w:pPr>
      <w:r>
        <w:t>9 팀 문서 연결</w:t>
      </w:r>
    </w:p>
    <w:p>
      <w:pPr>
        <w:spacing w:after="120"/>
      </w:pPr>
      <w:r>
        <w:t>팀 품질관리 자료는 서비스 화면에서 분리해 별도 Notion 페이지에서 관리한다: https://app.notion.com/p/40680be201ba81ddb717d75d409cde98</w:t>
      </w:r>
    </w:p>
    <w:sectPr w:rsidR="00FC693F" w:rsidRPr="0006063C" w:rsidSect="00034616">
      <w:headerReference w:type="default" r:id="rId9"/>
      <w:footerReference w:type="default" r:id="rId10"/>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검토 전 초안  ·  v0.0.5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LoanSight AI  |  PRD  v0.0.5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9"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LoanSight AI PRD v0.0.5</dc:title>
  <dc:subject>기획안 v2.2 연계</dc:subject>
  <dc:creator>김동혁</dc:creator>
  <cp:keywords/>
  <dc:description>generated by python-docx</dc:description>
  <cp:lastModifiedBy/>
  <cp:revision>1</cp:revision>
  <dcterms:created xsi:type="dcterms:W3CDTF">2013-12-23T23:15:00Z</dcterms:created>
  <dcterms:modified xsi:type="dcterms:W3CDTF">2013-12-23T23:15:00Z</dcterms:modified>
  <cp:category/>
</cp:coreProperties>
</file>