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Project Proposal</w:t>
      </w:r>
    </w:p>
    <w:p>
      <w:pPr>
        <w:spacing w:after="400"/>
        <w:jc w:val="center"/>
      </w:pPr>
      <w:r>
        <w:rPr>
          <w:b/>
          <w:bCs/>
          <w:color w:val="2F5496"/>
          <w:sz w:val="28"/>
          <w:szCs w:val="28"/>
        </w:rPr>
        <w:t xml:space="preserve">Valorant Playstyle Diagnosis and Improvement Recommender Using an Autoencoder Neural Network</w:t>
      </w:r>
    </w:p>
    <w:p>
      <w:pPr>
        <w:pStyle w:val="Heading1"/>
        <w:spacing w:after="150" w:before="300"/>
      </w:pPr>
      <w:r>
        <w:rPr>
          <w:b/>
          <w:bCs/>
        </w:rPr>
        <w:t xml:space="preserve">1. Introduction</w:t>
      </w:r>
    </w:p>
    <w:p>
      <w:pPr>
        <w:spacing w:after="150"/>
      </w:pPr>
      <w:r>
        <w:t xml:space="preserve">Competitive online games such as Valorant generate rich, structured performance data for every player — kills, deaths, assists, headshot percentage, clutch rate, and dozens of other in-match statistics. Professional esports players represent a benchmark of near-optimal performance across distinct playstyle archetypes (e.g., Duelist, Controller, Sentinel). This project proposes a system that uses a neural network to compare an everyday player's statistics against this professional benchmark, identify the playstyle archetype they most resemble, and — more importantly — pinpoint the specific statistical gaps holding their performance back, translated into concrete improvement guidance.</w:t>
      </w:r>
    </w:p>
    <w:p>
      <w:pPr>
        <w:pStyle w:val="Heading1"/>
        <w:spacing w:after="150" w:before="300"/>
      </w:pPr>
      <w:r>
        <w:rPr>
          <w:b/>
          <w:bCs/>
        </w:rPr>
        <w:t xml:space="preserve">2. Problem Statement</w:t>
      </w:r>
    </w:p>
    <w:p>
      <w:pPr>
        <w:spacing w:after="150"/>
      </w:pPr>
      <w:r>
        <w:t xml:space="preserve">Most in-game statistics trackers show players raw numbers (K/D, ACS, HS%) without context. A player has no simple way to answer questions such as:</w:t>
      </w:r>
    </w:p>
    <w:p>
      <w:pPr>
        <w:pStyle w:val="ListParagraph"/>
        <w:numPr>
          <w:ilvl w:val="0"/>
          <w:numId w:val="2"/>
        </w:numPr>
        <w:spacing w:after="80"/>
      </w:pPr>
      <w:r>
        <w:t xml:space="preserve">Which professional playstyle does my performance most resemble?</w:t>
      </w:r>
    </w:p>
    <w:p>
      <w:pPr>
        <w:pStyle w:val="ListParagraph"/>
        <w:numPr>
          <w:ilvl w:val="0"/>
          <w:numId w:val="2"/>
        </w:numPr>
        <w:spacing w:after="80"/>
      </w:pPr>
      <w:r>
        <w:t xml:space="preserve">Am I underperforming relative to that archetype, and in which specific skill area?</w:t>
      </w:r>
    </w:p>
    <w:p>
      <w:pPr>
        <w:pStyle w:val="ListParagraph"/>
        <w:numPr>
          <w:ilvl w:val="0"/>
          <w:numId w:val="2"/>
        </w:numPr>
        <w:spacing w:after="80"/>
      </w:pPr>
      <w:r>
        <w:t xml:space="preserve">What should I practice first to close the gap with high-level play?</w:t>
      </w:r>
    </w:p>
    <w:p>
      <w:pPr>
        <w:spacing w:after="150"/>
      </w:pPr>
      <w:r>
        <w:t xml:space="preserve">Existing tools (tracker.gg, in-game stat pages) report numbers but do not diagnose weaknesses relative to a meaningful reference group, nor do they generate personalized, data-driven improvement recommendations. This leaves players to guess what to practice, often focusing on the wrong areas.</w:t>
      </w:r>
    </w:p>
    <w:p>
      <w:pPr>
        <w:pStyle w:val="Heading1"/>
        <w:spacing w:after="150" w:before="300"/>
      </w:pPr>
      <w:r>
        <w:rPr>
          <w:b/>
          <w:bCs/>
        </w:rPr>
        <w:t xml:space="preserve">3. Proposed Idea</w:t>
      </w:r>
    </w:p>
    <w:p>
      <w:pPr>
        <w:spacing w:after="150"/>
      </w:pPr>
      <w:r>
        <w:t xml:space="preserve">The core idea is to train an Autoencoder — an unsupervised neural network that learns to compress and reconstruct data — on the statistical profiles of professional Valorant players. Because the network is trained exclusively on high-level performance data, it internally learns what a 'normal' professional stat profile looks like for each playstyle.</w:t>
      </w:r>
    </w:p>
    <w:p>
      <w:pPr>
        <w:spacing w:after="150"/>
      </w:pPr>
      <w:r>
        <w:t xml:space="preserve">When a regular user's own statistics are passed through this trained network, the network attempts to reconstruct them as if they were a professional profile. The difference between the user's actual stats and the network's reconstruction (the reconstruction error) is not noise — it is a direct, per-feature measurement of how far that user's performance deviates from the professional standard in each specific skill area (aim, entry-fragging, clutch performance, utility usage, etc.).</w:t>
      </w:r>
    </w:p>
    <w:p>
      <w:pPr>
        <w:spacing w:after="150"/>
      </w:pPr>
      <w:r>
        <w:t xml:space="preserve">This turns a Neural Network — normally used for classification or generation — into a diagnostic and coaching tool: it does not just say 'you are similar to player X,' it says 'here is exactly what separates you from that level of play, and here is what to work on.'</w:t>
      </w:r>
    </w:p>
    <w:p>
      <w:pPr>
        <w:pStyle w:val="Heading1"/>
        <w:spacing w:after="150" w:before="300"/>
      </w:pPr>
      <w:r>
        <w:rPr>
          <w:b/>
          <w:bCs/>
        </w:rPr>
        <w:t xml:space="preserve">4. Why a Neural Network (Autoencoder) Instead of Simple Similarity</w:t>
      </w:r>
    </w:p>
    <w:p>
      <w:pPr>
        <w:pStyle w:val="ListParagraph"/>
        <w:numPr>
          <w:ilvl w:val="0"/>
          <w:numId w:val="2"/>
        </w:numPr>
        <w:spacing w:after="80"/>
      </w:pPr>
      <w:r>
        <w:t xml:space="preserve">Learns non-linear relationships between stats (e.g., how ACS, HS%, and KAST interact together), which simple distance metrics like Euclidean or Cosine similarity cannot capture.</w:t>
      </w:r>
    </w:p>
    <w:p>
      <w:pPr>
        <w:pStyle w:val="ListParagraph"/>
        <w:numPr>
          <w:ilvl w:val="0"/>
          <w:numId w:val="2"/>
        </w:numPr>
        <w:spacing w:after="80"/>
      </w:pPr>
      <w:r>
        <w:t xml:space="preserve">Produces reconstruction error per feature, giving a natural, interpretable basis for gap analysis and recommendations — not just a single similarity score.</w:t>
      </w:r>
    </w:p>
    <w:p>
      <w:pPr>
        <w:pStyle w:val="ListParagraph"/>
        <w:numPr>
          <w:ilvl w:val="0"/>
          <w:numId w:val="2"/>
        </w:numPr>
        <w:spacing w:after="80"/>
      </w:pPr>
      <w:r>
        <w:t xml:space="preserve">Extendable: the same latent representation can later feed a role classifier, a clustering module, or a recommendation ranking system.</w:t>
      </w:r>
    </w:p>
    <w:p>
      <w:pPr>
        <w:pStyle w:val="ListParagraph"/>
        <w:numPr>
          <w:ilvl w:val="0"/>
          <w:numId w:val="2"/>
        </w:numPr>
        <w:spacing w:after="80"/>
      </w:pPr>
      <w:r>
        <w:t xml:space="preserve">Directly satisfies the coursework requirement of applying a real neural network architecture, not a classical ML shortcut.</w:t>
      </w:r>
    </w:p>
    <w:p>
      <w:pPr>
        <w:pStyle w:val="Heading1"/>
        <w:spacing w:after="150" w:before="300"/>
      </w:pPr>
      <w:r>
        <w:rPr>
          <w:b/>
          <w:bCs/>
        </w:rPr>
        <w:t xml:space="preserve">5. Dataset</w:t>
      </w:r>
    </w:p>
    <w:p>
      <w:pPr>
        <w:spacing w:after="150"/>
      </w:pPr>
      <w:r>
        <w:t xml:space="preserve">The project uses a real dataset of 126 professional Valorant players from VCT (Valorant Champions Tour) North America and EMEA regions, sourced from vlr.gg match statistics. It contains 24 performance features per player, including ACS, K:D ratio, KAST, ADR, Kills Per Round, Assists Per Round, First Kill/Death Rate, Headshot %, Clutch %, and Opening Duel Win %.</w:t>
      </w:r>
    </w:p>
    <w:p>
      <w:pPr>
        <w:pStyle w:val="Heading1"/>
        <w:spacing w:after="150" w:before="300"/>
      </w:pPr>
      <w:r>
        <w:rPr>
          <w:b/>
          <w:bCs/>
        </w:rPr>
        <w:t xml:space="preserve">6. Methodology — Step-by-Step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50"/>
      </w:tblGrid>
      <w:tr>
        <w:tc>
          <w:tcPr>
            <w:tcW w:type="dxa" w:w="1200"/>
            <w:shd w:fill="2F5496" w:color="auto" w:val="clear"/>
          </w:tcPr>
          <w:p>
            <w:r>
              <w:rPr>
                <w:b/>
                <w:bCs/>
                <w:color w:val="FFFFFF"/>
              </w:rPr>
              <w:t xml:space="preserve">Phase</w:t>
            </w:r>
          </w:p>
        </w:tc>
        <w:tc>
          <w:tcPr>
            <w:tcW w:type="dxa" w:w="3500"/>
            <w:shd w:fill="2F5496" w:color="auto" w:val="clear"/>
          </w:tcPr>
          <w:p>
            <w:r>
              <w:rPr>
                <w:b/>
                <w:bCs/>
                <w:color w:val="FFFFFF"/>
              </w:rPr>
              <w:t xml:space="preserve">Task</w:t>
            </w:r>
          </w:p>
        </w:tc>
        <w:tc>
          <w:tcPr>
            <w:tcW w:type="dxa" w:w="4650"/>
            <w:shd w:fill="2F5496" w:color="auto" w:val="clear"/>
          </w:tcPr>
          <w:p>
            <w:r>
              <w:rPr>
                <w:b/>
                <w:bCs/>
                <w:color w:val="FFFFFF"/>
              </w:rPr>
              <w:t xml:space="preserve">Details</w:t>
            </w:r>
          </w:p>
        </w:tc>
      </w:tr>
      <w:tr>
        <w:tc>
          <w:tcPr>
            <w:tcW w:type="dxa" w:w="1200"/>
          </w:tcPr>
          <w:p>
            <w:r>
              <w:rPr>
                <w:b w:val="false"/>
                <w:bCs w:val="false"/>
                <w:color w:val="000000"/>
              </w:rPr>
              <w:t xml:space="preserve">1</w:t>
            </w:r>
          </w:p>
        </w:tc>
        <w:tc>
          <w:tcPr>
            <w:tcW w:type="dxa" w:w="3500"/>
          </w:tcPr>
          <w:p>
            <w:r>
              <w:rPr>
                <w:b w:val="false"/>
                <w:bCs w:val="false"/>
                <w:color w:val="000000"/>
              </w:rPr>
              <w:t xml:space="preserve">Data Preparation</w:t>
            </w:r>
          </w:p>
        </w:tc>
        <w:tc>
          <w:tcPr>
            <w:tcW w:type="dxa" w:w="4650"/>
          </w:tcPr>
          <w:p>
            <w:r>
              <w:rPr>
                <w:b w:val="false"/>
                <w:bCs w:val="false"/>
                <w:color w:val="000000"/>
              </w:rPr>
              <w:t xml:space="preserve">Clean the VCT player-stats dataset (126 pro players, 24 features: ACS, K:D, KAST, ADR, KPR, HS%, CL%, FKPR, FDPR, etc.). Handle missing values, convert percentage strings to floats, and apply feature scaling (StandardScaler) so all features contribute equally to distance/reconstruction calculations.</w:t>
            </w:r>
          </w:p>
        </w:tc>
      </w:tr>
      <w:tr>
        <w:tc>
          <w:tcPr>
            <w:tcW w:type="dxa" w:w="1200"/>
          </w:tcPr>
          <w:p>
            <w:r>
              <w:rPr>
                <w:b w:val="false"/>
                <w:bCs w:val="false"/>
                <w:color w:val="000000"/>
              </w:rPr>
              <w:t xml:space="preserve">2</w:t>
            </w:r>
          </w:p>
        </w:tc>
        <w:tc>
          <w:tcPr>
            <w:tcW w:type="dxa" w:w="3500"/>
          </w:tcPr>
          <w:p>
            <w:r>
              <w:rPr>
                <w:b w:val="false"/>
                <w:bCs w:val="false"/>
                <w:color w:val="000000"/>
              </w:rPr>
              <w:t xml:space="preserve">Exploratory Analysis</w:t>
            </w:r>
          </w:p>
        </w:tc>
        <w:tc>
          <w:tcPr>
            <w:tcW w:type="dxa" w:w="4650"/>
          </w:tcPr>
          <w:p>
            <w:r>
              <w:rPr>
                <w:b w:val="false"/>
                <w:bCs w:val="false"/>
                <w:color w:val="000000"/>
              </w:rPr>
              <w:t xml:space="preserve">Examine feature distributions and correlations across the professional player pool to confirm which stats meaningfully separate playstyles (e.g., FKPR vs. APR, ACS vs. HS%).</w:t>
            </w:r>
          </w:p>
        </w:tc>
      </w:tr>
      <w:tr>
        <w:tc>
          <w:tcPr>
            <w:tcW w:type="dxa" w:w="1200"/>
          </w:tcPr>
          <w:p>
            <w:r>
              <w:rPr>
                <w:b w:val="false"/>
                <w:bCs w:val="false"/>
                <w:color w:val="000000"/>
              </w:rPr>
              <w:t xml:space="preserve">3</w:t>
            </w:r>
          </w:p>
        </w:tc>
        <w:tc>
          <w:tcPr>
            <w:tcW w:type="dxa" w:w="3500"/>
          </w:tcPr>
          <w:p>
            <w:r>
              <w:rPr>
                <w:b w:val="false"/>
                <w:bCs w:val="false"/>
                <w:color w:val="000000"/>
              </w:rPr>
              <w:t xml:space="preserve">Autoencoder Design</w:t>
            </w:r>
          </w:p>
        </w:tc>
        <w:tc>
          <w:tcPr>
            <w:tcW w:type="dxa" w:w="4650"/>
          </w:tcPr>
          <w:p>
            <w:r>
              <w:rPr>
                <w:b w:val="false"/>
                <w:bCs w:val="false"/>
                <w:color w:val="000000"/>
              </w:rPr>
              <w:t xml:space="preserve">Build a feed-forward Autoencoder (Input -&gt; Dense(16) -&gt; Dense(8, latent) -&gt; Dense(16) -&gt; Output) using Keras/TensorFlow. The encoder compresses each player's stat profile into a low-dimensional latent representation capturing their underlying playstyle.</w:t>
            </w:r>
          </w:p>
        </w:tc>
      </w:tr>
      <w:tr>
        <w:tc>
          <w:tcPr>
            <w:tcW w:type="dxa" w:w="1200"/>
          </w:tcPr>
          <w:p>
            <w:r>
              <w:rPr>
                <w:b w:val="false"/>
                <w:bCs w:val="false"/>
                <w:color w:val="000000"/>
              </w:rPr>
              <w:t xml:space="preserve">4</w:t>
            </w:r>
          </w:p>
        </w:tc>
        <w:tc>
          <w:tcPr>
            <w:tcW w:type="dxa" w:w="3500"/>
          </w:tcPr>
          <w:p>
            <w:r>
              <w:rPr>
                <w:b w:val="false"/>
                <w:bCs w:val="false"/>
                <w:color w:val="000000"/>
              </w:rPr>
              <w:t xml:space="preserve">Training</w:t>
            </w:r>
          </w:p>
        </w:tc>
        <w:tc>
          <w:tcPr>
            <w:tcW w:type="dxa" w:w="4650"/>
          </w:tcPr>
          <w:p>
            <w:r>
              <w:rPr>
                <w:b w:val="false"/>
                <w:bCs w:val="false"/>
                <w:color w:val="000000"/>
              </w:rPr>
              <w:t xml:space="preserve">Train the Autoencoder on the professional players' dataset only, using Mean Squared Error (MSE) reconstruction loss, so the network learns what a 'typical high-level performance profile' looks like.</w:t>
            </w:r>
          </w:p>
        </w:tc>
      </w:tr>
      <w:tr>
        <w:tc>
          <w:tcPr>
            <w:tcW w:type="dxa" w:w="1200"/>
          </w:tcPr>
          <w:p>
            <w:r>
              <w:rPr>
                <w:b w:val="false"/>
                <w:bCs w:val="false"/>
                <w:color w:val="000000"/>
              </w:rPr>
              <w:t xml:space="preserve">5</w:t>
            </w:r>
          </w:p>
        </w:tc>
        <w:tc>
          <w:tcPr>
            <w:tcW w:type="dxa" w:w="3500"/>
          </w:tcPr>
          <w:p>
            <w:r>
              <w:rPr>
                <w:b w:val="false"/>
                <w:bCs w:val="false"/>
                <w:color w:val="000000"/>
              </w:rPr>
              <w:t xml:space="preserve">Role Classifier (optional layer)</w:t>
            </w:r>
          </w:p>
        </w:tc>
        <w:tc>
          <w:tcPr>
            <w:tcW w:type="dxa" w:w="4650"/>
          </w:tcPr>
          <w:p>
            <w:r>
              <w:rPr>
                <w:b w:val="false"/>
                <w:bCs w:val="false"/>
                <w:color w:val="000000"/>
              </w:rPr>
              <w:t xml:space="preserve">Train a secondary feed-forward classifier on the latent embeddings to label each player's closest role archetype (Duelist / Controller / Sentinel / Initiator), using clustering-derived pseudo-labels or role tags if available.</w:t>
            </w:r>
          </w:p>
        </w:tc>
      </w:tr>
      <w:tr>
        <w:tc>
          <w:tcPr>
            <w:tcW w:type="dxa" w:w="1200"/>
          </w:tcPr>
          <w:p>
            <w:r>
              <w:rPr>
                <w:b w:val="false"/>
                <w:bCs w:val="false"/>
                <w:color w:val="000000"/>
              </w:rPr>
              <w:t xml:space="preserve">6</w:t>
            </w:r>
          </w:p>
        </w:tc>
        <w:tc>
          <w:tcPr>
            <w:tcW w:type="dxa" w:w="3500"/>
          </w:tcPr>
          <w:p>
            <w:r>
              <w:rPr>
                <w:b w:val="false"/>
                <w:bCs w:val="false"/>
                <w:color w:val="000000"/>
              </w:rPr>
              <w:t xml:space="preserve">User Input &amp; Inference</w:t>
            </w:r>
          </w:p>
        </w:tc>
        <w:tc>
          <w:tcPr>
            <w:tcW w:type="dxa" w:w="4650"/>
          </w:tcPr>
          <w:p>
            <w:r>
              <w:rPr>
                <w:b w:val="false"/>
                <w:bCs w:val="false"/>
                <w:color w:val="000000"/>
              </w:rPr>
              <w:t xml:space="preserve">The end user enters their own in-game stats (from a match or tracker site) in the same feature format. The trained Autoencoder reconstructs this input.</w:t>
            </w:r>
          </w:p>
        </w:tc>
      </w:tr>
      <w:tr>
        <w:tc>
          <w:tcPr>
            <w:tcW w:type="dxa" w:w="1200"/>
          </w:tcPr>
          <w:p>
            <w:r>
              <w:rPr>
                <w:b w:val="false"/>
                <w:bCs w:val="false"/>
                <w:color w:val="000000"/>
              </w:rPr>
              <w:t xml:space="preserve">7</w:t>
            </w:r>
          </w:p>
        </w:tc>
        <w:tc>
          <w:tcPr>
            <w:tcW w:type="dxa" w:w="3500"/>
          </w:tcPr>
          <w:p>
            <w:r>
              <w:rPr>
                <w:b w:val="false"/>
                <w:bCs w:val="false"/>
                <w:color w:val="000000"/>
              </w:rPr>
              <w:t xml:space="preserve">Gap Analysis</w:t>
            </w:r>
          </w:p>
        </w:tc>
        <w:tc>
          <w:tcPr>
            <w:tcW w:type="dxa" w:w="4650"/>
          </w:tcPr>
          <w:p>
            <w:r>
              <w:rPr>
                <w:b w:val="false"/>
                <w:bCs w:val="false"/>
                <w:color w:val="000000"/>
              </w:rPr>
              <w:t xml:space="preserve">Compute the per-feature reconstruction error between the user's actual stats and the model's reconstruction. Large gaps on a specific feature (e.g., FKPR) indicate that stat is far from the professional norm for the user's closest playstyle.</w:t>
            </w:r>
          </w:p>
        </w:tc>
      </w:tr>
      <w:tr>
        <w:tc>
          <w:tcPr>
            <w:tcW w:type="dxa" w:w="1200"/>
          </w:tcPr>
          <w:p>
            <w:r>
              <w:rPr>
                <w:b w:val="false"/>
                <w:bCs w:val="false"/>
                <w:color w:val="000000"/>
              </w:rPr>
              <w:t xml:space="preserve">8</w:t>
            </w:r>
          </w:p>
        </w:tc>
        <w:tc>
          <w:tcPr>
            <w:tcW w:type="dxa" w:w="3500"/>
          </w:tcPr>
          <w:p>
            <w:r>
              <w:rPr>
                <w:b w:val="false"/>
                <w:bCs w:val="false"/>
                <w:color w:val="000000"/>
              </w:rPr>
              <w:t xml:space="preserve">Recommendation Output</w:t>
            </w:r>
          </w:p>
        </w:tc>
        <w:tc>
          <w:tcPr>
            <w:tcW w:type="dxa" w:w="4650"/>
          </w:tcPr>
          <w:p>
            <w:r>
              <w:rPr>
                <w:b w:val="false"/>
                <w:bCs w:val="false"/>
                <w:color w:val="000000"/>
              </w:rPr>
              <w:t xml:space="preserve">Translate the largest gaps into plain-language, actionable feedback, e.g., 'Your playstyle is closest to a Duelist archetype, but your First-Kill Rate is 40% below the professional average for this role — focus on entry-fragging timing and positioning.'</w:t>
            </w:r>
          </w:p>
        </w:tc>
      </w:tr>
      <w:tr>
        <w:tc>
          <w:tcPr>
            <w:tcW w:type="dxa" w:w="1200"/>
          </w:tcPr>
          <w:p>
            <w:r>
              <w:rPr>
                <w:b w:val="false"/>
                <w:bCs w:val="false"/>
                <w:color w:val="000000"/>
              </w:rPr>
              <w:t xml:space="preserve">9</w:t>
            </w:r>
          </w:p>
        </w:tc>
        <w:tc>
          <w:tcPr>
            <w:tcW w:type="dxa" w:w="3500"/>
          </w:tcPr>
          <w:p>
            <w:r>
              <w:rPr>
                <w:b w:val="false"/>
                <w:bCs w:val="false"/>
                <w:color w:val="000000"/>
              </w:rPr>
              <w:t xml:space="preserve">Evaluation</w:t>
            </w:r>
          </w:p>
        </w:tc>
        <w:tc>
          <w:tcPr>
            <w:tcW w:type="dxa" w:w="4650"/>
          </w:tcPr>
          <w:p>
            <w:r>
              <w:rPr>
                <w:b w:val="false"/>
                <w:bCs w:val="false"/>
                <w:color w:val="000000"/>
              </w:rPr>
              <w:t xml:space="preserve">Validate the model using train/validation split on reconstruction loss, and sanity-check recommendations against known player profiles (e.g., feeding a professional Duelist's stats back in should yield low reconstruction error).</w:t>
            </w:r>
          </w:p>
        </w:tc>
      </w:tr>
      <w:tr>
        <w:tc>
          <w:tcPr>
            <w:tcW w:type="dxa" w:w="1200"/>
          </w:tcPr>
          <w:p>
            <w:r>
              <w:rPr>
                <w:b w:val="false"/>
                <w:bCs w:val="false"/>
                <w:color w:val="000000"/>
              </w:rPr>
              <w:t xml:space="preserve">10</w:t>
            </w:r>
          </w:p>
        </w:tc>
        <w:tc>
          <w:tcPr>
            <w:tcW w:type="dxa" w:w="3500"/>
          </w:tcPr>
          <w:p>
            <w:r>
              <w:rPr>
                <w:b w:val="false"/>
                <w:bCs w:val="false"/>
                <w:color w:val="000000"/>
              </w:rPr>
              <w:t xml:space="preserve">Presentation Layer</w:t>
            </w:r>
          </w:p>
        </w:tc>
        <w:tc>
          <w:tcPr>
            <w:tcW w:type="dxa" w:w="4650"/>
          </w:tcPr>
          <w:p>
            <w:r>
              <w:rPr>
                <w:b w:val="false"/>
                <w:bCs w:val="false"/>
                <w:color w:val="000000"/>
              </w:rPr>
              <w:t xml:space="preserve">Wrap the pipeline in a simple interface (CLI or Streamlit web form) where the user inputs stats and receives their closest archetype, similarity score, and top 3 improvement recommendations.</w:t>
            </w:r>
          </w:p>
        </w:tc>
      </w:tr>
    </w:tbl>
    <w:p>
      <w:pPr>
        <w:spacing w:before="300"/>
      </w:pPr>
    </w:p>
    <w:p>
      <w:pPr>
        <w:pStyle w:val="Heading1"/>
        <w:spacing w:after="150" w:before="300"/>
      </w:pPr>
      <w:r>
        <w:rPr>
          <w:b/>
          <w:bCs/>
        </w:rPr>
        <w:t xml:space="preserve">7. Tools and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F5496" w:color="auto" w:val="clear"/>
          </w:tcPr>
          <w:p>
            <w:r>
              <w:rPr>
                <w:b/>
                <w:bCs/>
                <w:color w:val="FFFFFF"/>
              </w:rPr>
              <w:t xml:space="preserve">Component</w:t>
            </w:r>
          </w:p>
        </w:tc>
        <w:tc>
          <w:tcPr>
            <w:tcW w:type="dxa" w:w="6350"/>
            <w:shd w:fill="2F5496" w:color="auto" w:val="clear"/>
          </w:tcPr>
          <w:p>
            <w:r>
              <w:rPr>
                <w:b/>
                <w:bCs/>
                <w:color w:val="FFFFFF"/>
              </w:rPr>
              <w:t xml:space="preserve">Tool / Library</w:t>
            </w:r>
          </w:p>
        </w:tc>
      </w:tr>
      <w:tr>
        <w:tc>
          <w:tcPr>
            <w:tcW w:type="dxa" w:w="3000"/>
          </w:tcPr>
          <w:p>
            <w:r>
              <w:rPr>
                <w:b w:val="false"/>
                <w:bCs w:val="false"/>
                <w:color w:val="000000"/>
              </w:rPr>
              <w:t xml:space="preserve">Data handling</w:t>
            </w:r>
          </w:p>
        </w:tc>
        <w:tc>
          <w:tcPr>
            <w:tcW w:type="dxa" w:w="6350"/>
          </w:tcPr>
          <w:p>
            <w:r>
              <w:rPr>
                <w:b w:val="false"/>
                <w:bCs w:val="false"/>
                <w:color w:val="000000"/>
              </w:rPr>
              <w:t xml:space="preserve">Python, pandas, NumPy</w:t>
            </w:r>
          </w:p>
        </w:tc>
      </w:tr>
      <w:tr>
        <w:tc>
          <w:tcPr>
            <w:tcW w:type="dxa" w:w="3000"/>
          </w:tcPr>
          <w:p>
            <w:r>
              <w:rPr>
                <w:b w:val="false"/>
                <w:bCs w:val="false"/>
                <w:color w:val="000000"/>
              </w:rPr>
              <w:t xml:space="preserve">Preprocessing</w:t>
            </w:r>
          </w:p>
        </w:tc>
        <w:tc>
          <w:tcPr>
            <w:tcW w:type="dxa" w:w="6350"/>
          </w:tcPr>
          <w:p>
            <w:r>
              <w:rPr>
                <w:b w:val="false"/>
                <w:bCs w:val="false"/>
                <w:color w:val="000000"/>
              </w:rPr>
              <w:t xml:space="preserve">scikit-learn (StandardScaler, train_test_split)</w:t>
            </w:r>
          </w:p>
        </w:tc>
      </w:tr>
      <w:tr>
        <w:tc>
          <w:tcPr>
            <w:tcW w:type="dxa" w:w="3000"/>
          </w:tcPr>
          <w:p>
            <w:r>
              <w:rPr>
                <w:b w:val="false"/>
                <w:bCs w:val="false"/>
                <w:color w:val="000000"/>
              </w:rPr>
              <w:t xml:space="preserve">Neural Network</w:t>
            </w:r>
          </w:p>
        </w:tc>
        <w:tc>
          <w:tcPr>
            <w:tcW w:type="dxa" w:w="6350"/>
          </w:tcPr>
          <w:p>
            <w:r>
              <w:rPr>
                <w:b w:val="false"/>
                <w:bCs w:val="false"/>
                <w:color w:val="000000"/>
              </w:rPr>
              <w:t xml:space="preserve">TensorFlow / Keras (Autoencoder + optional classifier)</w:t>
            </w:r>
          </w:p>
        </w:tc>
      </w:tr>
      <w:tr>
        <w:tc>
          <w:tcPr>
            <w:tcW w:type="dxa" w:w="3000"/>
          </w:tcPr>
          <w:p>
            <w:r>
              <w:rPr>
                <w:b w:val="false"/>
                <w:bCs w:val="false"/>
                <w:color w:val="000000"/>
              </w:rPr>
              <w:t xml:space="preserve">Visualization</w:t>
            </w:r>
          </w:p>
        </w:tc>
        <w:tc>
          <w:tcPr>
            <w:tcW w:type="dxa" w:w="6350"/>
          </w:tcPr>
          <w:p>
            <w:r>
              <w:rPr>
                <w:b w:val="false"/>
                <w:bCs w:val="false"/>
                <w:color w:val="000000"/>
              </w:rPr>
              <w:t xml:space="preserve">Matplotlib, Seaborn (loss curves, latent space plots)</w:t>
            </w:r>
          </w:p>
        </w:tc>
      </w:tr>
      <w:tr>
        <w:tc>
          <w:tcPr>
            <w:tcW w:type="dxa" w:w="3000"/>
          </w:tcPr>
          <w:p>
            <w:r>
              <w:rPr>
                <w:b w:val="false"/>
                <w:bCs w:val="false"/>
                <w:color w:val="000000"/>
              </w:rPr>
              <w:t xml:space="preserve">Interface</w:t>
            </w:r>
          </w:p>
        </w:tc>
        <w:tc>
          <w:tcPr>
            <w:tcW w:type="dxa" w:w="6350"/>
          </w:tcPr>
          <w:p>
            <w:r>
              <w:rPr>
                <w:b w:val="false"/>
                <w:bCs w:val="false"/>
                <w:color w:val="000000"/>
              </w:rPr>
              <w:t xml:space="preserve">Streamlit or simple CLI script</w:t>
            </w:r>
          </w:p>
        </w:tc>
      </w:tr>
      <w:tr>
        <w:tc>
          <w:tcPr>
            <w:tcW w:type="dxa" w:w="3000"/>
          </w:tcPr>
          <w:p>
            <w:r>
              <w:rPr>
                <w:b w:val="false"/>
                <w:bCs w:val="false"/>
                <w:color w:val="000000"/>
              </w:rPr>
              <w:t xml:space="preserve">Dataset</w:t>
            </w:r>
          </w:p>
        </w:tc>
        <w:tc>
          <w:tcPr>
            <w:tcW w:type="dxa" w:w="6350"/>
          </w:tcPr>
          <w:p>
            <w:r>
              <w:rPr>
                <w:b w:val="false"/>
                <w:bCs w:val="false"/>
                <w:color w:val="000000"/>
              </w:rPr>
              <w:t xml:space="preserve">Real VCT professional player statistics (126 players, 2022–2025 seasons)</w:t>
            </w:r>
          </w:p>
        </w:tc>
      </w:tr>
    </w:tbl>
    <w:p>
      <w:pPr>
        <w:spacing w:before="300"/>
      </w:pPr>
    </w:p>
    <w:p>
      <w:pPr>
        <w:pStyle w:val="Heading1"/>
        <w:spacing w:after="150" w:before="300"/>
      </w:pPr>
      <w:r>
        <w:rPr>
          <w:b/>
          <w:bCs/>
        </w:rPr>
        <w:t xml:space="preserve">8. Expected Outcome</w:t>
      </w:r>
    </w:p>
    <w:p>
      <w:pPr>
        <w:pStyle w:val="ListParagraph"/>
        <w:numPr>
          <w:ilvl w:val="0"/>
          <w:numId w:val="2"/>
        </w:numPr>
        <w:spacing w:after="80"/>
      </w:pPr>
      <w:r>
        <w:t xml:space="preserve">A trained Autoencoder capable of encoding any player's stat profile and identifying their closest professional playstyle archetype.</w:t>
      </w:r>
    </w:p>
    <w:p>
      <w:pPr>
        <w:pStyle w:val="ListParagraph"/>
        <w:numPr>
          <w:ilvl w:val="0"/>
          <w:numId w:val="2"/>
        </w:numPr>
        <w:spacing w:after="80"/>
      </w:pPr>
      <w:r>
        <w:t xml:space="preserve">A gap-analysis report per user highlighting their top statistical weaknesses relative to that archetype.</w:t>
      </w:r>
    </w:p>
    <w:p>
      <w:pPr>
        <w:pStyle w:val="ListParagraph"/>
        <w:numPr>
          <w:ilvl w:val="0"/>
          <w:numId w:val="2"/>
        </w:numPr>
        <w:spacing w:after="80"/>
      </w:pPr>
      <w:r>
        <w:t xml:space="preserve">A working demo (script or simple web interface) where a user inputs their own stats and receives a similarity result plus personalized improvement recommendations.</w:t>
      </w:r>
    </w:p>
    <w:p>
      <w:pPr>
        <w:pStyle w:val="ListParagraph"/>
        <w:numPr>
          <w:ilvl w:val="0"/>
          <w:numId w:val="2"/>
        </w:numPr>
        <w:spacing w:after="80"/>
      </w:pPr>
      <w:r>
        <w:t xml:space="preserve">A reusable pipeline that could be extended to other games or expanded feature sets in future work.</w:t>
      </w:r>
    </w:p>
    <w:p>
      <w:pPr>
        <w:pStyle w:val="Heading1"/>
        <w:spacing w:after="150" w:before="300"/>
      </w:pPr>
      <w:r>
        <w:rPr>
          <w:b/>
          <w:bCs/>
        </w:rPr>
        <w:t xml:space="preserve">9. Real-World Value</w:t>
      </w:r>
    </w:p>
    <w:p>
      <w:pPr>
        <w:spacing w:after="150"/>
      </w:pPr>
      <w:r>
        <w:t xml:space="preserve">Beyond satisfying the academic requirement to apply a neural network to a real dataset, this project has genuine practical value: it gives players (including the developer) a concrete, data-backed answer to 'what should I practice next,' rather than relying on gut feeling. The same architecture generalizes to any competitive game with structured per-match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2026-08-13T11:40:33.768Z</dcterms:created>
  <dcterms:modified xsi:type="dcterms:W3CDTF">2026-08-13T11:40:33.788Z</dcterms:modified>
</cp:coreProperties>
</file>

<file path=docProps/custom.xml><?xml version="1.0" encoding="utf-8"?>
<Properties xmlns="http://schemas.openxmlformats.org/officeDocument/2006/custom-properties" xmlns:vt="http://schemas.openxmlformats.org/officeDocument/2006/docPropsVTypes"/>
</file>