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33" w:rsidRDefault="0041298D">
      <w:pPr>
        <w:pStyle w:val="A6"/>
        <w:jc w:val="center"/>
      </w:pPr>
      <w:r>
        <w:rPr>
          <w:b/>
          <w:bCs/>
        </w:rPr>
        <w:tab/>
        <w:t>Надёжность прогнозирования потенциала развития гибкости</w:t>
      </w:r>
    </w:p>
    <w:p w:rsidR="00346833" w:rsidRDefault="00346833">
      <w:pPr>
        <w:pStyle w:val="A7"/>
      </w:pPr>
    </w:p>
    <w:p w:rsidR="00346833" w:rsidRDefault="0041298D">
      <w:pPr>
        <w:pStyle w:val="A6"/>
        <w:jc w:val="both"/>
        <w:rPr>
          <w:b/>
          <w:bCs/>
        </w:rPr>
      </w:pPr>
      <w:r>
        <w:rPr>
          <w:b/>
          <w:bCs/>
        </w:rPr>
        <w:t>Старший преподаватель кафедры физической культуры  В. С. Лобачёв</w:t>
      </w:r>
    </w:p>
    <w:p w:rsidR="00346833" w:rsidRDefault="0041298D">
      <w:pPr>
        <w:pStyle w:val="A6"/>
        <w:jc w:val="both"/>
        <w:rPr>
          <w:b/>
          <w:bCs/>
        </w:rPr>
      </w:pPr>
      <w:r>
        <w:rPr>
          <w:b/>
          <w:bCs/>
        </w:rPr>
        <w:t xml:space="preserve">Студент В. И. Жаринов </w:t>
      </w:r>
    </w:p>
    <w:p w:rsidR="00346833" w:rsidRDefault="0041298D">
      <w:pPr>
        <w:pStyle w:val="A6"/>
        <w:jc w:val="both"/>
        <w:rPr>
          <w:b/>
          <w:bCs/>
        </w:rPr>
      </w:pPr>
      <w:r>
        <w:rPr>
          <w:b/>
          <w:bCs/>
        </w:rPr>
        <w:t>Самарский национальный исследовательский университет им. академика С. П. Королёва (Самарский университет)</w:t>
      </w:r>
    </w:p>
    <w:p w:rsidR="00346833" w:rsidRDefault="00346833">
      <w:pPr>
        <w:pStyle w:val="A7"/>
      </w:pPr>
    </w:p>
    <w:p w:rsidR="00346833" w:rsidRDefault="0041298D">
      <w:pPr>
        <w:pStyle w:val="A7"/>
      </w:pPr>
      <w:r>
        <w:rPr>
          <w:rFonts w:eastAsia="Arial Unicode MS" w:cs="Arial Unicode MS"/>
        </w:rPr>
        <w:tab/>
        <w:t>В</w:t>
      </w:r>
      <w:r>
        <w:rPr>
          <w:rFonts w:eastAsia="Arial Unicode MS" w:cs="Arial Unicode MS"/>
        </w:rPr>
        <w:t xml:space="preserve"> статье рассматривается вопрос надёжности прогнозирования развития гибкости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На основании проведённого эксперимента представлены выводы о приоритетном значении исходного показателя для прогнозирования развития гибкости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Чем выше исходный показатель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тем эф</w:t>
      </w:r>
      <w:r>
        <w:rPr>
          <w:rFonts w:eastAsia="Arial Unicode MS" w:cs="Arial Unicode MS"/>
        </w:rPr>
        <w:t>фективнее развитие поте</w:t>
      </w:r>
      <w:r>
        <w:rPr>
          <w:rFonts w:eastAsia="Arial Unicode MS" w:cs="Arial Unicode MS"/>
        </w:rPr>
        <w:t>н</w:t>
      </w:r>
      <w:r>
        <w:rPr>
          <w:rFonts w:eastAsia="Arial Unicode MS" w:cs="Arial Unicode MS"/>
        </w:rPr>
        <w:t>циала этого качества</w:t>
      </w:r>
      <w:r>
        <w:rPr>
          <w:rFonts w:eastAsia="Arial Unicode MS" w:cs="Arial Unicode MS"/>
        </w:rPr>
        <w:t>.</w:t>
      </w:r>
    </w:p>
    <w:p w:rsidR="00346833" w:rsidRDefault="00346833">
      <w:pPr>
        <w:pStyle w:val="A7"/>
      </w:pPr>
    </w:p>
    <w:p w:rsidR="00346833" w:rsidRDefault="0041298D">
      <w:pPr>
        <w:pStyle w:val="A7"/>
      </w:pPr>
      <w:r>
        <w:tab/>
      </w:r>
      <w:r>
        <w:rPr>
          <w:rFonts w:eastAsia="Arial Unicode MS" w:cs="Arial Unicode MS"/>
          <w:b/>
          <w:bCs/>
        </w:rPr>
        <w:t>Ключевые слова</w:t>
      </w:r>
      <w:r>
        <w:rPr>
          <w:rFonts w:eastAsia="Arial Unicode MS" w:cs="Arial Unicode MS"/>
          <w:b/>
          <w:bCs/>
        </w:rPr>
        <w:t>:</w:t>
      </w:r>
      <w:r>
        <w:rPr>
          <w:rFonts w:eastAsia="Arial Unicode MS" w:cs="Arial Unicode MS"/>
        </w:rPr>
        <w:t xml:space="preserve"> тестирование исходного показателя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прогнозирование потенциала развития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гибкость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антропометрические показатели</w:t>
      </w:r>
      <w:r>
        <w:rPr>
          <w:rFonts w:eastAsia="Arial Unicode MS" w:cs="Arial Unicode MS"/>
        </w:rPr>
        <w:t>.</w:t>
      </w:r>
    </w:p>
    <w:p w:rsidR="00346833" w:rsidRDefault="00346833">
      <w:pPr>
        <w:pStyle w:val="A7"/>
      </w:pPr>
    </w:p>
    <w:p w:rsidR="00346833" w:rsidRDefault="0041298D">
      <w:pPr>
        <w:pStyle w:val="A7"/>
      </w:pPr>
      <w:r>
        <w:tab/>
      </w:r>
      <w:r>
        <w:rPr>
          <w:rFonts w:eastAsia="Arial Unicode MS" w:cs="Arial Unicode MS"/>
          <w:b/>
          <w:bCs/>
        </w:rPr>
        <w:t>Введение</w:t>
      </w:r>
      <w:r>
        <w:rPr>
          <w:rFonts w:eastAsia="Arial Unicode MS" w:cs="Arial Unicode MS"/>
          <w:b/>
          <w:bCs/>
        </w:rPr>
        <w:t xml:space="preserve">. </w:t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</w:rPr>
        <w:t xml:space="preserve">Вопрос определения потенциала развития гибкости был </w:t>
      </w:r>
      <w:proofErr w:type="gramStart"/>
      <w:r>
        <w:rPr>
          <w:rFonts w:eastAsia="Arial Unicode MS" w:cs="Arial Unicode MS"/>
        </w:rPr>
        <w:t>з</w:t>
      </w:r>
      <w:r>
        <w:rPr>
          <w:rFonts w:eastAsia="Arial Unicode MS" w:cs="Arial Unicode MS"/>
        </w:rPr>
        <w:t>а</w:t>
      </w:r>
      <w:proofErr w:type="gramEnd"/>
      <w:r>
        <w:rPr>
          <w:rFonts w:eastAsia="Arial Unicode MS" w:cs="Arial Unicode MS"/>
        </w:rPr>
        <w:t xml:space="preserve">тронут нами </w:t>
      </w:r>
      <w:r>
        <w:rPr>
          <w:rFonts w:eastAsia="Arial Unicode MS" w:cs="Arial Unicode MS"/>
        </w:rPr>
        <w:t>ранее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когда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была выдвинута гипотеза теоретической несосто</w:t>
      </w:r>
      <w:r>
        <w:rPr>
          <w:rFonts w:eastAsia="Arial Unicode MS" w:cs="Arial Unicode MS"/>
        </w:rPr>
        <w:t>я</w:t>
      </w:r>
      <w:r>
        <w:rPr>
          <w:rFonts w:eastAsia="Arial Unicode MS" w:cs="Arial Unicode MS"/>
        </w:rPr>
        <w:t xml:space="preserve">тельности общепринятого в научном сообществе понятия </w:t>
      </w:r>
      <w:r>
        <w:rPr>
          <w:rFonts w:eastAsia="Arial Unicode MS" w:cs="Arial Unicode MS"/>
        </w:rPr>
        <w:t>"</w:t>
      </w:r>
      <w:r>
        <w:rPr>
          <w:rFonts w:eastAsia="Arial Unicode MS" w:cs="Arial Unicode MS"/>
        </w:rPr>
        <w:t>пассивная гибкость</w:t>
      </w:r>
      <w:r>
        <w:rPr>
          <w:rFonts w:eastAsia="Arial Unicode MS" w:cs="Arial Unicode MS"/>
        </w:rPr>
        <w:t xml:space="preserve">" [1]. </w:t>
      </w:r>
      <w:r>
        <w:rPr>
          <w:rFonts w:eastAsia="Arial Unicode MS" w:cs="Arial Unicode MS"/>
        </w:rPr>
        <w:t>В самом деле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чтобы получить значение так называемой пассивной гибк</w:t>
      </w:r>
      <w:r>
        <w:rPr>
          <w:rFonts w:eastAsia="Arial Unicode MS" w:cs="Arial Unicode MS"/>
        </w:rPr>
        <w:t>о</w:t>
      </w:r>
      <w:r>
        <w:rPr>
          <w:rFonts w:eastAsia="Arial Unicode MS" w:cs="Arial Unicode MS"/>
        </w:rPr>
        <w:t>сти необходимо внешнее воздействие силы на растяги</w:t>
      </w:r>
      <w:r>
        <w:rPr>
          <w:rFonts w:eastAsia="Arial Unicode MS" w:cs="Arial Unicode MS"/>
        </w:rPr>
        <w:t>ваемый связочно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мышечный аппарат испытуемого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Таким образом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при тестировании с примен</w:t>
      </w:r>
      <w:r>
        <w:rPr>
          <w:rFonts w:eastAsia="Arial Unicode MS" w:cs="Arial Unicode MS"/>
        </w:rPr>
        <w:t>е</w:t>
      </w:r>
      <w:r>
        <w:rPr>
          <w:rFonts w:eastAsia="Arial Unicode MS" w:cs="Arial Unicode MS"/>
        </w:rPr>
        <w:t>нием сторонней силы возникают новые существенные свойства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как внешние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величина силы давления</w:t>
      </w:r>
      <w:r>
        <w:rPr>
          <w:rFonts w:eastAsia="Arial Unicode MS" w:cs="Arial Unicode MS"/>
        </w:rPr>
        <w:t xml:space="preserve">), </w:t>
      </w:r>
      <w:r>
        <w:rPr>
          <w:rFonts w:eastAsia="Arial Unicode MS" w:cs="Arial Unicode MS"/>
        </w:rPr>
        <w:t xml:space="preserve">так и внутренние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болевой порог</w:t>
      </w:r>
      <w:r>
        <w:rPr>
          <w:rFonts w:eastAsia="Arial Unicode MS" w:cs="Arial Unicode MS"/>
        </w:rPr>
        <w:t xml:space="preserve">). </w:t>
      </w:r>
      <w:r>
        <w:rPr>
          <w:rFonts w:eastAsia="Arial Unicode MS" w:cs="Arial Unicode MS"/>
        </w:rPr>
        <w:t>Эти свойства кардинально меняют сущест</w:t>
      </w:r>
      <w:r>
        <w:rPr>
          <w:rFonts w:eastAsia="Arial Unicode MS" w:cs="Arial Unicode MS"/>
        </w:rPr>
        <w:t>венную определённость физического качества на существенную определённость средства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В связи с этим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появляется новое ф</w:t>
      </w:r>
      <w:r>
        <w:rPr>
          <w:rFonts w:eastAsia="Arial Unicode MS" w:cs="Arial Unicode MS"/>
        </w:rPr>
        <w:t>и</w:t>
      </w:r>
      <w:r>
        <w:rPr>
          <w:rFonts w:eastAsia="Arial Unicode MS" w:cs="Arial Unicode MS"/>
        </w:rPr>
        <w:t>зическое упражнение для развития гибкости с применением сторонней силы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Отвергая понятие </w:t>
      </w:r>
      <w:r>
        <w:rPr>
          <w:rFonts w:eastAsia="Arial Unicode MS" w:cs="Arial Unicode MS"/>
        </w:rPr>
        <w:t>"</w:t>
      </w:r>
      <w:r>
        <w:rPr>
          <w:rFonts w:eastAsia="Arial Unicode MS" w:cs="Arial Unicode MS"/>
        </w:rPr>
        <w:t>пассивная гибкость</w:t>
      </w:r>
      <w:r>
        <w:rPr>
          <w:rFonts w:eastAsia="Arial Unicode MS" w:cs="Arial Unicode MS"/>
        </w:rPr>
        <w:t xml:space="preserve">", </w:t>
      </w:r>
      <w:r>
        <w:rPr>
          <w:rFonts w:eastAsia="Arial Unicode MS" w:cs="Arial Unicode MS"/>
        </w:rPr>
        <w:t>мы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как следствие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отверга</w:t>
      </w:r>
      <w:r>
        <w:rPr>
          <w:rFonts w:eastAsia="Arial Unicode MS" w:cs="Arial Unicode MS"/>
        </w:rPr>
        <w:t>ем и пон</w:t>
      </w:r>
      <w:r>
        <w:rPr>
          <w:rFonts w:eastAsia="Arial Unicode MS" w:cs="Arial Unicode MS"/>
        </w:rPr>
        <w:t>я</w:t>
      </w:r>
      <w:r>
        <w:rPr>
          <w:rFonts w:eastAsia="Arial Unicode MS" w:cs="Arial Unicode MS"/>
        </w:rPr>
        <w:t xml:space="preserve">тие </w:t>
      </w:r>
      <w:r>
        <w:rPr>
          <w:rFonts w:eastAsia="Arial Unicode MS" w:cs="Arial Unicode MS"/>
        </w:rPr>
        <w:t>"</w:t>
      </w:r>
      <w:r>
        <w:rPr>
          <w:rFonts w:eastAsia="Arial Unicode MS" w:cs="Arial Unicode MS"/>
        </w:rPr>
        <w:t>дефицит активной гибкости</w:t>
      </w:r>
      <w:r>
        <w:rPr>
          <w:rFonts w:eastAsia="Arial Unicode MS" w:cs="Arial Unicode MS"/>
        </w:rPr>
        <w:t>" (</w:t>
      </w:r>
      <w:r>
        <w:rPr>
          <w:rFonts w:eastAsia="Arial Unicode MS" w:cs="Arial Unicode MS"/>
        </w:rPr>
        <w:t>ДАГ</w:t>
      </w:r>
      <w:r>
        <w:rPr>
          <w:rFonts w:eastAsia="Arial Unicode MS" w:cs="Arial Unicode MS"/>
        </w:rPr>
        <w:t xml:space="preserve">), </w:t>
      </w:r>
      <w:r>
        <w:rPr>
          <w:rFonts w:eastAsia="Arial Unicode MS" w:cs="Arial Unicode MS"/>
        </w:rPr>
        <w:t xml:space="preserve">как потенциал развития гибкости </w:t>
      </w:r>
      <w:r>
        <w:rPr>
          <w:rFonts w:eastAsia="Arial Unicode MS" w:cs="Arial Unicode MS"/>
        </w:rPr>
        <w:t xml:space="preserve">[1]. </w:t>
      </w:r>
    </w:p>
    <w:p w:rsidR="00346833" w:rsidRDefault="0041298D">
      <w:pPr>
        <w:pStyle w:val="A7"/>
      </w:pPr>
      <w:r>
        <w:rPr>
          <w:rFonts w:eastAsia="Arial Unicode MS" w:cs="Arial Unicode MS"/>
        </w:rPr>
        <w:lastRenderedPageBreak/>
        <w:tab/>
        <w:t>Однако</w:t>
      </w:r>
      <w:proofErr w:type="gramStart"/>
      <w:r>
        <w:rPr>
          <w:rFonts w:eastAsia="Arial Unicode MS" w:cs="Arial Unicode MS"/>
        </w:rPr>
        <w:t>,</w:t>
      </w:r>
      <w:proofErr w:type="gram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подобное утверждение не означает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отсутствуют другие кр</w:t>
      </w:r>
      <w:r>
        <w:rPr>
          <w:rFonts w:eastAsia="Arial Unicode MS" w:cs="Arial Unicode MS"/>
        </w:rPr>
        <w:t>и</w:t>
      </w:r>
      <w:r>
        <w:rPr>
          <w:rFonts w:eastAsia="Arial Unicode MS" w:cs="Arial Unicode MS"/>
        </w:rPr>
        <w:t>терии определения перспективы развития гибкости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Гипотеза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изложенная в статье </w:t>
      </w:r>
      <w:r>
        <w:rPr>
          <w:rFonts w:eastAsia="Arial Unicode MS" w:cs="Arial Unicode MS"/>
        </w:rPr>
        <w:t>"</w:t>
      </w:r>
      <w:r>
        <w:rPr>
          <w:rFonts w:eastAsia="Arial Unicode MS" w:cs="Arial Unicode MS"/>
        </w:rPr>
        <w:t xml:space="preserve">Гибкость – </w:t>
      </w:r>
      <w:r>
        <w:rPr>
          <w:rFonts w:eastAsia="Arial Unicode MS" w:cs="Arial Unicode MS"/>
        </w:rPr>
        <w:t>способность или качество</w:t>
      </w:r>
      <w:r>
        <w:rPr>
          <w:rFonts w:eastAsia="Arial Unicode MS" w:cs="Arial Unicode MS"/>
        </w:rPr>
        <w:t xml:space="preserve">", </w:t>
      </w:r>
      <w:r>
        <w:rPr>
          <w:rFonts w:eastAsia="Arial Unicode MS" w:cs="Arial Unicode MS"/>
        </w:rPr>
        <w:t>была подтверждена в ходе эк</w:t>
      </w:r>
      <w:r>
        <w:rPr>
          <w:rFonts w:eastAsia="Arial Unicode MS" w:cs="Arial Unicode MS"/>
        </w:rPr>
        <w:t>с</w:t>
      </w:r>
      <w:r>
        <w:rPr>
          <w:rFonts w:eastAsia="Arial Unicode MS" w:cs="Arial Unicode MS"/>
        </w:rPr>
        <w:t>перимента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в котором участвовал </w:t>
      </w:r>
      <w:r>
        <w:rPr>
          <w:rFonts w:eastAsia="Arial Unicode MS" w:cs="Arial Unicode MS"/>
        </w:rPr>
        <w:t xml:space="preserve">141 </w:t>
      </w:r>
      <w:r>
        <w:rPr>
          <w:rFonts w:eastAsia="Arial Unicode MS" w:cs="Arial Unicode MS"/>
        </w:rPr>
        <w:t>испытуемый и который проходил в теч</w:t>
      </w:r>
      <w:r>
        <w:rPr>
          <w:rFonts w:eastAsia="Arial Unicode MS" w:cs="Arial Unicode MS"/>
        </w:rPr>
        <w:t>е</w:t>
      </w:r>
      <w:r>
        <w:rPr>
          <w:rFonts w:eastAsia="Arial Unicode MS" w:cs="Arial Unicode MS"/>
        </w:rPr>
        <w:t>ние учебного года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Он показал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потенциал развития гибкости напрямую з</w:t>
      </w:r>
      <w:r>
        <w:rPr>
          <w:rFonts w:eastAsia="Arial Unicode MS" w:cs="Arial Unicode MS"/>
        </w:rPr>
        <w:t>а</w:t>
      </w:r>
      <w:r>
        <w:rPr>
          <w:rFonts w:eastAsia="Arial Unicode MS" w:cs="Arial Unicode MS"/>
        </w:rPr>
        <w:t>висит от исходного результата тестирования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Чем он выше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тем возможность развития этого физического качества лучше</w:t>
      </w:r>
      <w:r>
        <w:rPr>
          <w:rFonts w:eastAsia="Arial Unicode MS" w:cs="Arial Unicode MS"/>
        </w:rPr>
        <w:t>.</w:t>
      </w:r>
    </w:p>
    <w:p w:rsidR="00346833" w:rsidRDefault="0041298D">
      <w:pPr>
        <w:pStyle w:val="A7"/>
      </w:pPr>
      <w:r>
        <w:tab/>
      </w:r>
      <w:r>
        <w:rPr>
          <w:rFonts w:eastAsia="Arial Unicode MS" w:cs="Arial Unicode MS"/>
          <w:b/>
          <w:bCs/>
        </w:rPr>
        <w:t>Цель исследования –</w:t>
      </w:r>
      <w:r>
        <w:rPr>
          <w:rFonts w:eastAsia="Arial Unicode MS" w:cs="Arial Unicode MS"/>
        </w:rPr>
        <w:t xml:space="preserve"> доказать определяющее значение исходного р</w:t>
      </w:r>
      <w:r>
        <w:rPr>
          <w:rFonts w:eastAsia="Arial Unicode MS" w:cs="Arial Unicode MS"/>
        </w:rPr>
        <w:t>е</w:t>
      </w:r>
      <w:r>
        <w:rPr>
          <w:rFonts w:eastAsia="Arial Unicode MS" w:cs="Arial Unicode MS"/>
        </w:rPr>
        <w:t>зультата тестирования для установления потенциала развития гибкости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вопр</w:t>
      </w:r>
      <w:r>
        <w:rPr>
          <w:rFonts w:eastAsia="Arial Unicode MS" w:cs="Arial Unicode MS"/>
        </w:rPr>
        <w:t>е</w:t>
      </w:r>
      <w:r>
        <w:rPr>
          <w:rFonts w:eastAsia="Arial Unicode MS" w:cs="Arial Unicode MS"/>
        </w:rPr>
        <w:t>ки общепринятому в теории физической культуры понятию «де</w:t>
      </w:r>
      <w:r>
        <w:rPr>
          <w:rFonts w:eastAsia="Arial Unicode MS" w:cs="Arial Unicode MS"/>
        </w:rPr>
        <w:t>фицит активной гибкости»</w:t>
      </w:r>
      <w:r>
        <w:rPr>
          <w:rFonts w:eastAsia="Arial Unicode MS" w:cs="Arial Unicode MS"/>
        </w:rPr>
        <w:t>.</w:t>
      </w:r>
    </w:p>
    <w:p w:rsidR="00346833" w:rsidRDefault="0041298D">
      <w:pPr>
        <w:pStyle w:val="A6"/>
        <w:ind w:firstLine="720"/>
        <w:jc w:val="both"/>
      </w:pPr>
      <w:r>
        <w:rPr>
          <w:b/>
          <w:bCs/>
        </w:rPr>
        <w:t xml:space="preserve">Методика и организация исследования.  </w:t>
      </w:r>
      <w:r>
        <w:t>Исследование проводилось на базе кафедры физической культуры Самарского национального исследовател</w:t>
      </w:r>
      <w:r>
        <w:t>ь</w:t>
      </w:r>
      <w:r>
        <w:t>ского университета им. академика С. П. Королёва.</w:t>
      </w:r>
    </w:p>
    <w:p w:rsidR="00346833" w:rsidRDefault="0041298D">
      <w:pPr>
        <w:pStyle w:val="A6"/>
        <w:jc w:val="both"/>
      </w:pPr>
      <w:r>
        <w:tab/>
        <w:t>В исследовательском эксперименте принял уча</w:t>
      </w:r>
      <w:r>
        <w:t xml:space="preserve">стие </w:t>
      </w:r>
      <w:r>
        <w:t>141 студент, зан</w:t>
      </w:r>
      <w:r>
        <w:t>и</w:t>
      </w:r>
      <w:r>
        <w:t>мающийся по программе "Общефизическая подготовка" на 1-2 курсах (17-19 лет) и отнесённый к основной медицинской группе. В их числе было 63 же</w:t>
      </w:r>
      <w:r>
        <w:t>н</w:t>
      </w:r>
      <w:r>
        <w:t>щины и 78 мужчин.</w:t>
      </w:r>
    </w:p>
    <w:p w:rsidR="00346833" w:rsidRDefault="0041298D">
      <w:pPr>
        <w:pStyle w:val="A6"/>
        <w:jc w:val="both"/>
      </w:pPr>
      <w:r>
        <w:tab/>
        <w:t xml:space="preserve">Упражнения по развитию физического качества гибкость </w:t>
      </w:r>
      <w:proofErr w:type="gramStart"/>
      <w:r>
        <w:t>проводились дважды в</w:t>
      </w:r>
      <w:r>
        <w:t xml:space="preserve"> неделю и на них отводилось</w:t>
      </w:r>
      <w:proofErr w:type="gramEnd"/>
      <w:r>
        <w:t xml:space="preserve"> </w:t>
      </w:r>
      <w:r>
        <w:t>10-12 минут в заключительной части к</w:t>
      </w:r>
      <w:r>
        <w:t>а</w:t>
      </w:r>
      <w:r>
        <w:t>ждого практического занятия. Помимо этого, участникам эксперимента рек</w:t>
      </w:r>
      <w:r>
        <w:t>о</w:t>
      </w:r>
      <w:r>
        <w:t>мендовалось выполнять дополнительные физические упражнения в виде д</w:t>
      </w:r>
      <w:r>
        <w:t>о</w:t>
      </w:r>
      <w:r>
        <w:t>машнего задания.</w:t>
      </w:r>
    </w:p>
    <w:p w:rsidR="00346833" w:rsidRDefault="0041298D">
      <w:pPr>
        <w:pStyle w:val="A6"/>
        <w:jc w:val="both"/>
      </w:pPr>
      <w:r>
        <w:tab/>
        <w:t>Чтобы стимулировать заинтересованн</w:t>
      </w:r>
      <w:r>
        <w:t>ость студентов в сознательном в</w:t>
      </w:r>
      <w:r>
        <w:t>ы</w:t>
      </w:r>
      <w:r>
        <w:t>полнении упражнений</w:t>
      </w:r>
      <w:r>
        <w:t>, направленных на развитие гибкости, тестирование по её результатам являлось важнейшим зачётным требованием по предмету «Физ</w:t>
      </w:r>
      <w:r>
        <w:t>и</w:t>
      </w:r>
      <w:r>
        <w:t>ческое воспитание». До начала эксперимента среди испытуемых не было ст</w:t>
      </w:r>
      <w:r>
        <w:t>у</w:t>
      </w:r>
      <w:r>
        <w:t>дентов, ц</w:t>
      </w:r>
      <w:r>
        <w:t>еленаправленно занимающихся развитием гибкости.</w:t>
      </w:r>
    </w:p>
    <w:p w:rsidR="00346833" w:rsidRDefault="0041298D">
      <w:pPr>
        <w:pStyle w:val="A6"/>
        <w:jc w:val="both"/>
      </w:pPr>
      <w:r>
        <w:tab/>
        <w:t>Первичное тестирование проводилось в сентябре</w:t>
      </w:r>
      <w:r>
        <w:t>, а повторное после в</w:t>
      </w:r>
      <w:r>
        <w:t>ы</w:t>
      </w:r>
      <w:r>
        <w:t>полнения программы по развитию гибкости, в мае следующего года.</w:t>
      </w:r>
    </w:p>
    <w:p w:rsidR="00346833" w:rsidRDefault="0041298D">
      <w:pPr>
        <w:pStyle w:val="A6"/>
        <w:jc w:val="both"/>
      </w:pPr>
      <w:r>
        <w:lastRenderedPageBreak/>
        <w:tab/>
        <w:t>Традиционно при определении значения гибкости применяют тест</w:t>
      </w:r>
      <w:r>
        <w:t>: и.п. - сед, н</w:t>
      </w:r>
      <w:r>
        <w:t>аклон (Рис. 1). При измерении берётся величина расстояния между пятк</w:t>
      </w:r>
      <w:r>
        <w:t>а</w:t>
      </w:r>
      <w:r>
        <w:t xml:space="preserve">ми и средними пальцами вытянутых вперёд рук. </w:t>
      </w:r>
    </w:p>
    <w:p w:rsidR="00346833" w:rsidRDefault="00346833">
      <w:pPr>
        <w:pStyle w:val="A6"/>
        <w:jc w:val="both"/>
      </w:pPr>
    </w:p>
    <w:p w:rsidR="00346833" w:rsidRDefault="0041298D">
      <w:pPr>
        <w:pStyle w:val="A6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1871942</wp:posOffset>
            </wp:positionH>
            <wp:positionV relativeFrom="line">
              <wp:posOffset>226603</wp:posOffset>
            </wp:positionV>
            <wp:extent cx="3803650" cy="1367790"/>
            <wp:effectExtent l="0" t="0" r="0" b="0"/>
            <wp:wrapTopAndBottom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367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</w:p>
    <w:p w:rsidR="00346833" w:rsidRDefault="0041298D">
      <w:pPr>
        <w:pStyle w:val="A6"/>
        <w:jc w:val="center"/>
      </w:pPr>
      <w:r>
        <w:t>Рис. 1</w:t>
      </w:r>
    </w:p>
    <w:p w:rsidR="00346833" w:rsidRDefault="00346833">
      <w:pPr>
        <w:pStyle w:val="A6"/>
        <w:jc w:val="both"/>
      </w:pPr>
    </w:p>
    <w:p w:rsidR="00346833" w:rsidRDefault="0041298D">
      <w:pPr>
        <w:pStyle w:val="A6"/>
        <w:jc w:val="both"/>
      </w:pPr>
      <w:r>
        <w:rPr>
          <w:b/>
          <w:bCs/>
          <w:shd w:val="clear" w:color="auto" w:fill="FFFFFF"/>
        </w:rPr>
        <w:tab/>
      </w:r>
      <w:r>
        <w:rPr>
          <w:b/>
          <w:bCs/>
        </w:rPr>
        <w:t>Методические указания</w:t>
      </w:r>
    </w:p>
    <w:p w:rsidR="00346833" w:rsidRDefault="0041298D">
      <w:pPr>
        <w:pStyle w:val="A6"/>
        <w:numPr>
          <w:ilvl w:val="0"/>
          <w:numId w:val="2"/>
        </w:numPr>
        <w:jc w:val="both"/>
      </w:pPr>
      <w:r>
        <w:t>Наклон. Ноги в коленных суставах не сгибать.</w:t>
      </w:r>
    </w:p>
    <w:p w:rsidR="00346833" w:rsidRDefault="0041298D">
      <w:pPr>
        <w:pStyle w:val="A6"/>
        <w:numPr>
          <w:ilvl w:val="0"/>
          <w:numId w:val="2"/>
        </w:numPr>
        <w:jc w:val="both"/>
      </w:pPr>
      <w:r>
        <w:t>Ноги разведены, расстояние между стопами 25–30 см.</w:t>
      </w:r>
    </w:p>
    <w:p w:rsidR="00346833" w:rsidRDefault="0041298D">
      <w:pPr>
        <w:pStyle w:val="A6"/>
        <w:numPr>
          <w:ilvl w:val="0"/>
          <w:numId w:val="2"/>
        </w:numPr>
        <w:jc w:val="both"/>
      </w:pPr>
      <w:r>
        <w:t>Исключить при выполнении наклона пружинящие (рывковые движения).</w:t>
      </w:r>
    </w:p>
    <w:p w:rsidR="00346833" w:rsidRDefault="0041298D">
      <w:pPr>
        <w:pStyle w:val="A6"/>
        <w:numPr>
          <w:ilvl w:val="0"/>
          <w:numId w:val="2"/>
        </w:numPr>
        <w:jc w:val="both"/>
      </w:pPr>
      <w:r>
        <w:t>Наклон. Взгляд направлен на носки.</w:t>
      </w:r>
    </w:p>
    <w:p w:rsidR="00346833" w:rsidRDefault="0041298D">
      <w:pPr>
        <w:pStyle w:val="A6"/>
        <w:numPr>
          <w:ilvl w:val="0"/>
          <w:numId w:val="2"/>
        </w:numPr>
        <w:jc w:val="both"/>
      </w:pPr>
      <w:r>
        <w:t>Позвоночник в шейном отделе не сгибать.</w:t>
      </w:r>
    </w:p>
    <w:p w:rsidR="00346833" w:rsidRDefault="0041298D">
      <w:pPr>
        <w:pStyle w:val="A6"/>
        <w:jc w:val="both"/>
      </w:pPr>
      <w:r>
        <w:rPr>
          <w:shd w:val="clear" w:color="auto" w:fill="FFFFFF"/>
        </w:rPr>
        <w:tab/>
      </w:r>
      <w:r>
        <w:t xml:space="preserve">При принудительном сгибании с применением внешней силы спортсмен дает указания: «сильнее», «медленнее», «хватит», </w:t>
      </w:r>
      <w:r>
        <w:t>«достаточно», «ещё» и т. п. Партнёр внимательно и аккуратно выполняет указания спортсмена.</w:t>
      </w:r>
    </w:p>
    <w:p w:rsidR="00346833" w:rsidRDefault="0041298D">
      <w:pPr>
        <w:pStyle w:val="A6"/>
        <w:jc w:val="both"/>
      </w:pPr>
      <w:r>
        <w:tab/>
        <w:t>Такое измерение будет объективным для сравнения гибкости одного ко</w:t>
      </w:r>
      <w:r>
        <w:t>н</w:t>
      </w:r>
      <w:r>
        <w:t xml:space="preserve">кретного испытуемого или испытуемых с одинаковыми антропометрическими данными </w:t>
      </w:r>
      <w:r>
        <w:t>[2].</w:t>
      </w:r>
    </w:p>
    <w:p w:rsidR="00346833" w:rsidRDefault="0041298D">
      <w:pPr>
        <w:pStyle w:val="A6"/>
        <w:jc w:val="both"/>
      </w:pPr>
      <w:r>
        <w:tab/>
      </w:r>
      <w:r>
        <w:rPr>
          <w:b/>
          <w:bCs/>
        </w:rPr>
        <w:t>Результаты ис</w:t>
      </w:r>
      <w:r>
        <w:rPr>
          <w:b/>
          <w:bCs/>
        </w:rPr>
        <w:t xml:space="preserve">следования и их обсуждение. </w:t>
      </w:r>
      <w:r>
        <w:rPr>
          <w:b/>
          <w:bCs/>
        </w:rPr>
        <w:tab/>
      </w:r>
      <w:r>
        <w:t>Методом получения р</w:t>
      </w:r>
      <w:r>
        <w:t>е</w:t>
      </w:r>
      <w:r>
        <w:t>зультатов являются статистический сбор и анализ данных, полученных трад</w:t>
      </w:r>
      <w:r>
        <w:t>и</w:t>
      </w:r>
      <w:r>
        <w:t>ционными методами, применяемыми в теории физической культуры, путём о</w:t>
      </w:r>
      <w:r>
        <w:t>п</w:t>
      </w:r>
      <w:r>
        <w:t>ределения корреляционной зависимости между результатами тестирова</w:t>
      </w:r>
      <w:r>
        <w:t xml:space="preserve">ния (за два временных периода: сентябрь 2016-го и май 2017-го годов). </w:t>
      </w:r>
    </w:p>
    <w:p w:rsidR="00346833" w:rsidRDefault="0041298D">
      <w:pPr>
        <w:pStyle w:val="A6"/>
        <w:jc w:val="both"/>
      </w:pPr>
      <w:r>
        <w:lastRenderedPageBreak/>
        <w:tab/>
      </w:r>
      <w:r>
        <w:t>Сравнивались показания активной гибкости и ДАГ за оба временных п</w:t>
      </w:r>
      <w:r>
        <w:t>е</w:t>
      </w:r>
      <w:r>
        <w:t>риода</w:t>
      </w:r>
      <w:r>
        <w:t xml:space="preserve">, </w:t>
      </w:r>
      <w:r>
        <w:t xml:space="preserve">их коэффициент Пирсона </w:t>
      </w:r>
      <w:r w:rsidRPr="00737925">
        <w:t>[3]</w:t>
      </w:r>
      <w:r>
        <w:t xml:space="preserve"> составил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t>1</m:t>
            </m:r>
          </m:sub>
        </m:sSub>
        <m:r>
          <m:t>=-0,28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t>2</m:t>
            </m:r>
          </m:sub>
        </m:sSub>
        <m:r>
          <m:t>=-0,24</m:t>
        </m:r>
      </m:oMath>
      <w:r>
        <w:t xml:space="preserve"> соо</w:t>
      </w:r>
      <w:r>
        <w:t>т</w:t>
      </w:r>
      <w:r>
        <w:t>ве</w:t>
      </w:r>
      <w:r>
        <w:t>т</w:t>
      </w:r>
      <w:r>
        <w:t>ственно</w:t>
      </w:r>
      <w:r>
        <w:t xml:space="preserve">, </w:t>
      </w:r>
      <w:r>
        <w:t>что является показателем слабой отриц</w:t>
      </w:r>
      <w:r>
        <w:t>ательной корреляции</w:t>
      </w:r>
      <w:r>
        <w:t xml:space="preserve">. </w:t>
      </w:r>
      <w:r>
        <w:t>Для о</w:t>
      </w:r>
      <w:r>
        <w:t>п</w:t>
      </w:r>
      <w:r>
        <w:t>ровержения потенциального значения показателя ДАГ для дальнейшего ра</w:t>
      </w:r>
      <w:r>
        <w:t>з</w:t>
      </w:r>
      <w:r>
        <w:t>в</w:t>
      </w:r>
      <w:r>
        <w:t>и</w:t>
      </w:r>
      <w:r>
        <w:t>тия гибкости был проведен расчет коэффициента корреляции между резул</w:t>
      </w:r>
      <w:r>
        <w:t>ь</w:t>
      </w:r>
      <w:r>
        <w:t>т</w:t>
      </w:r>
      <w:r>
        <w:t>а</w:t>
      </w:r>
      <w:r>
        <w:t xml:space="preserve">тами ДАГ в сентябре </w:t>
      </w:r>
      <w:r>
        <w:t>2016-</w:t>
      </w:r>
      <w:r>
        <w:t xml:space="preserve">го года и активной гибкости в мае </w:t>
      </w:r>
      <w:r>
        <w:t xml:space="preserve">2017-го. </w:t>
      </w:r>
      <w:r>
        <w:t>В р</w:t>
      </w:r>
      <w:r>
        <w:t>е</w:t>
      </w:r>
      <w:r>
        <w:t>зул</w:t>
      </w:r>
      <w:r>
        <w:t>ь</w:t>
      </w:r>
      <w:r>
        <w:t>тате получе</w:t>
      </w:r>
      <w:r>
        <w:t xml:space="preserve">на слабая корреляция – </w:t>
      </w:r>
      <m:oMath>
        <m:r>
          <w:rPr>
            <w:rFonts w:ascii="Cambria Math" w:hAnsi="Cambria Math"/>
          </w:rPr>
          <m:t>r</m:t>
        </m:r>
        <m:r>
          <m:t>=-0,16</m:t>
        </m:r>
      </m:oMath>
      <w:r>
        <w:t xml:space="preserve">. </w:t>
      </w:r>
      <w:r>
        <w:t>Подтверждением гипотезы о том</w:t>
      </w:r>
      <w:r>
        <w:t xml:space="preserve">, </w:t>
      </w:r>
      <w:r>
        <w:t xml:space="preserve">что лишь исходный результат </w:t>
      </w:r>
      <w:r>
        <w:t>(</w:t>
      </w:r>
      <w:r>
        <w:t>активная гибкость при первой проверке и</w:t>
      </w:r>
      <w:r>
        <w:t>с</w:t>
      </w:r>
      <w:r>
        <w:t>п</w:t>
      </w:r>
      <w:r>
        <w:t>ы</w:t>
      </w:r>
      <w:r>
        <w:t>туемых</w:t>
      </w:r>
      <w:r>
        <w:t xml:space="preserve">) </w:t>
      </w:r>
      <w:r>
        <w:t>является потенциалом развития</w:t>
      </w:r>
      <w:r>
        <w:t xml:space="preserve">, </w:t>
      </w:r>
      <w:r>
        <w:t>стало измерение корреляции м</w:t>
      </w:r>
      <w:r>
        <w:t>е</w:t>
      </w:r>
      <w:r>
        <w:t>жду показателями активной гибкости в оба периода</w:t>
      </w:r>
      <w:r>
        <w:t xml:space="preserve">. </w:t>
      </w:r>
      <w:r>
        <w:t>Оно</w:t>
      </w:r>
      <w:r>
        <w:t xml:space="preserve"> показало сильную з</w:t>
      </w:r>
      <w:r>
        <w:t>а</w:t>
      </w:r>
      <w:r>
        <w:t>вис</w:t>
      </w:r>
      <w:r>
        <w:t>и</w:t>
      </w:r>
      <w:r>
        <w:t xml:space="preserve">мость </w:t>
      </w:r>
      <w:r>
        <w:t>(</w:t>
      </w:r>
      <m:oMath>
        <m:r>
          <w:rPr>
            <w:rFonts w:ascii="Cambria Math" w:hAnsi="Cambria Math"/>
          </w:rPr>
          <m:t>r</m:t>
        </m:r>
        <m:r>
          <m:t>=0,88</m:t>
        </m:r>
      </m:oMath>
      <w:r>
        <w:t>).</w:t>
      </w:r>
    </w:p>
    <w:p w:rsidR="00346833" w:rsidRDefault="00346833">
      <w:pPr>
        <w:pStyle w:val="A6"/>
        <w:jc w:val="both"/>
      </w:pPr>
    </w:p>
    <w:tbl>
      <w:tblPr>
        <w:tblStyle w:val="TableNormal"/>
        <w:tblW w:w="91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468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tblHeader/>
        </w:trPr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А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proofErr w:type="gram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</w:t>
            </w:r>
            <w:proofErr w:type="gram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ДАГ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А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2017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proofErr w:type="gram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</w:t>
            </w:r>
            <w:proofErr w:type="gram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2017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ДАГ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2017</w:t>
            </w:r>
          </w:p>
        </w:tc>
      </w:tr>
      <w:tr w:rsidR="003468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А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</w:tr>
      <w:tr w:rsidR="003468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proofErr w:type="gram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</w:t>
            </w:r>
            <w:proofErr w:type="gram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0,93797697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</w:tr>
      <w:tr w:rsidR="003468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ДАГ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-0,28195524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0,06816368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</w:tr>
      <w:tr w:rsidR="003468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А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0,88417120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0,86227736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-0,15812654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</w:tr>
      <w:tr w:rsidR="003468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proofErr w:type="gram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</w:t>
            </w:r>
            <w:proofErr w:type="gram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0,81104066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0,84194252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-0,00395572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0,94378349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346833"/>
        </w:tc>
      </w:tr>
      <w:tr w:rsidR="003468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ДАГ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2017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-0,27742822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-0,12067511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0,46439305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-0,23588497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0,09861170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346833" w:rsidRDefault="0041298D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</w:tbl>
    <w:p w:rsidR="00346833" w:rsidRDefault="0041298D">
      <w:pPr>
        <w:pStyle w:val="A6"/>
        <w:jc w:val="both"/>
        <w:rPr>
          <w:b/>
          <w:bCs/>
        </w:rPr>
      </w:pPr>
      <w:r>
        <w:rPr>
          <w:b/>
          <w:bCs/>
        </w:rPr>
        <w:tab/>
      </w:r>
    </w:p>
    <w:p w:rsidR="00346833" w:rsidRDefault="0041298D">
      <w:pPr>
        <w:pStyle w:val="A6"/>
        <w:jc w:val="both"/>
      </w:pPr>
      <w:r>
        <w:rPr>
          <w:b/>
          <w:bCs/>
        </w:rPr>
        <w:tab/>
      </w:r>
      <w:r>
        <w:rPr>
          <w:b/>
          <w:bCs/>
        </w:rPr>
        <w:t>Выводы:</w:t>
      </w:r>
    </w:p>
    <w:p w:rsidR="00346833" w:rsidRDefault="0041298D">
      <w:pPr>
        <w:pStyle w:val="A6"/>
        <w:numPr>
          <w:ilvl w:val="0"/>
          <w:numId w:val="3"/>
        </w:numPr>
        <w:jc w:val="both"/>
      </w:pPr>
      <w:r>
        <w:t xml:space="preserve">Надёжностью </w:t>
      </w:r>
      <w:proofErr w:type="gramStart"/>
      <w:r>
        <w:t>определения значения потенциала развития гибкости</w:t>
      </w:r>
      <w:proofErr w:type="gramEnd"/>
      <w:r>
        <w:t xml:space="preserve"> являе</w:t>
      </w:r>
      <w:r>
        <w:t>т</w:t>
      </w:r>
      <w:r>
        <w:t xml:space="preserve">ся исходный результат, измеренный при первичном определении гибкости. </w:t>
      </w:r>
    </w:p>
    <w:p w:rsidR="00346833" w:rsidRDefault="0041298D">
      <w:pPr>
        <w:pStyle w:val="A6"/>
        <w:numPr>
          <w:ilvl w:val="0"/>
          <w:numId w:val="2"/>
        </w:numPr>
        <w:jc w:val="both"/>
      </w:pPr>
      <w:r>
        <w:t>Использование понятий "пассивная гибкость" и "дефицит активной гибк</w:t>
      </w:r>
      <w:r>
        <w:t>о</w:t>
      </w:r>
      <w:r>
        <w:t>сти" не имеет практического значения для понимания потенциала развития гибкости.</w:t>
      </w:r>
    </w:p>
    <w:p w:rsidR="00346833" w:rsidRDefault="00346833">
      <w:pPr>
        <w:pStyle w:val="A6"/>
        <w:jc w:val="both"/>
      </w:pPr>
    </w:p>
    <w:p w:rsidR="00346833" w:rsidRDefault="0041298D">
      <w:pPr>
        <w:pStyle w:val="A6"/>
        <w:jc w:val="both"/>
      </w:pPr>
      <w:r>
        <w:rPr>
          <w:b/>
          <w:bCs/>
          <w:sz w:val="24"/>
          <w:szCs w:val="24"/>
        </w:rPr>
        <w:tab/>
        <w:t>Литература</w:t>
      </w:r>
      <w:r>
        <w:rPr>
          <w:b/>
          <w:bCs/>
          <w:sz w:val="24"/>
          <w:szCs w:val="24"/>
        </w:rPr>
        <w:t>:</w:t>
      </w:r>
    </w:p>
    <w:p w:rsidR="00346833" w:rsidRDefault="0041298D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Лобачёв В. С. Гибкость – способность или качество / В. С. Лобачёв, И. В. Никитин, В. В. </w:t>
      </w:r>
      <w:r>
        <w:rPr>
          <w:sz w:val="24"/>
          <w:szCs w:val="24"/>
        </w:rPr>
        <w:t>Лобанов // Учёные записки университета имени П. Ф. Лесгафта. – 2016. – № 9 (139). – С. 91-96.</w:t>
      </w:r>
    </w:p>
    <w:p w:rsidR="00346833" w:rsidRDefault="0041298D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Корольков А. Н. О надёжности результатов теста на гибкость в комплексе тестов ОФП / А. Н. Корольков // Теория и практика физической культуры. – 2011. – № 4. – С. </w:t>
      </w:r>
      <w:r>
        <w:rPr>
          <w:sz w:val="24"/>
          <w:szCs w:val="24"/>
        </w:rPr>
        <w:t>70-72.</w:t>
      </w:r>
    </w:p>
    <w:p w:rsidR="00346833" w:rsidRDefault="0041298D">
      <w:pPr>
        <w:pStyle w:val="A7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Масальгин</w:t>
      </w:r>
      <w:proofErr w:type="spellEnd"/>
      <w:r>
        <w:rPr>
          <w:sz w:val="24"/>
          <w:szCs w:val="24"/>
        </w:rPr>
        <w:t xml:space="preserve"> Н. А. Математико-статистические методы в спорте. / М.</w:t>
      </w:r>
      <w:r w:rsidRPr="00737925">
        <w:rPr>
          <w:sz w:val="24"/>
          <w:szCs w:val="24"/>
        </w:rPr>
        <w:t>:</w:t>
      </w:r>
      <w:r>
        <w:rPr>
          <w:sz w:val="24"/>
          <w:szCs w:val="24"/>
        </w:rPr>
        <w:t xml:space="preserve"> Физкультура и спорт, 1978. – 151 с.: ил.</w:t>
      </w:r>
    </w:p>
    <w:p w:rsidR="00346833" w:rsidRDefault="0041298D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Спортивная метрология: учебник для институтов физической культуры</w:t>
      </w:r>
      <w:proofErr w:type="gramStart"/>
      <w:r>
        <w:rPr>
          <w:sz w:val="24"/>
          <w:szCs w:val="24"/>
        </w:rPr>
        <w:t xml:space="preserve"> / П</w:t>
      </w:r>
      <w:proofErr w:type="gramEnd"/>
      <w:r>
        <w:rPr>
          <w:sz w:val="24"/>
          <w:szCs w:val="24"/>
        </w:rPr>
        <w:t xml:space="preserve">од ред. В. М. </w:t>
      </w:r>
      <w:proofErr w:type="spellStart"/>
      <w:r>
        <w:rPr>
          <w:sz w:val="24"/>
          <w:szCs w:val="24"/>
        </w:rPr>
        <w:t>Зациорского</w:t>
      </w:r>
      <w:proofErr w:type="spellEnd"/>
      <w:r>
        <w:rPr>
          <w:sz w:val="24"/>
          <w:szCs w:val="24"/>
        </w:rPr>
        <w:t>. / М.: Физкультура и спорт, 1982. – 256 с.: ил.</w:t>
      </w:r>
    </w:p>
    <w:p w:rsidR="00346833" w:rsidRDefault="0041298D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Гвоздев В. Д. Прикладная метрология: Величины и измерения. Учебное пособие. – М.: МИИТ, 2015. – 74 с. </w:t>
      </w:r>
    </w:p>
    <w:p w:rsidR="00346833" w:rsidRDefault="0041298D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Лях В. И  Тесты в физическом воспитании школьников: пособие для учителя. – М.: ООО «Фирма "Издательство </w:t>
      </w:r>
      <w:r>
        <w:rPr>
          <w:sz w:val="24"/>
          <w:szCs w:val="24"/>
          <w:lang w:val="en-US"/>
        </w:rPr>
        <w:t>ACT</w:t>
      </w:r>
      <w:r>
        <w:rPr>
          <w:sz w:val="24"/>
          <w:szCs w:val="24"/>
        </w:rPr>
        <w:t>"» , 1998. – 272 с.: ил.</w:t>
      </w:r>
    </w:p>
    <w:p w:rsidR="00346833" w:rsidRDefault="0041298D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Лобачёв В. С., </w:t>
      </w:r>
      <w:proofErr w:type="spellStart"/>
      <w:r>
        <w:rPr>
          <w:sz w:val="24"/>
          <w:szCs w:val="24"/>
        </w:rPr>
        <w:t>Буштру</w:t>
      </w:r>
      <w:r>
        <w:rPr>
          <w:sz w:val="24"/>
          <w:szCs w:val="24"/>
        </w:rPr>
        <w:t>к</w:t>
      </w:r>
      <w:proofErr w:type="spellEnd"/>
      <w:r>
        <w:rPr>
          <w:sz w:val="24"/>
          <w:szCs w:val="24"/>
        </w:rPr>
        <w:t xml:space="preserve"> В. Д., Пономарев Г. Н. Специальные упражнения для развития основных физических качеств мышц стопы и голени в подготовке легкоатлетов: учебное пособие. – Самара: Изд-во СГАУ, 2009 г. – 308 с.: ил. </w:t>
      </w:r>
    </w:p>
    <w:p w:rsidR="00346833" w:rsidRDefault="0034683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</w:pPr>
    </w:p>
    <w:p w:rsidR="00346833" w:rsidRDefault="004129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</w:rPr>
        <w:t xml:space="preserve">Информация для связи с автором: </w:t>
      </w:r>
      <w:hyperlink r:id="rId8" w:history="1">
        <w:r>
          <w:rPr>
            <w:rStyle w:val="Hyperlink0"/>
          </w:rPr>
          <w:t>vladzharinov@gmail.com</w:t>
        </w:r>
      </w:hyperlink>
    </w:p>
    <w:p w:rsidR="00346833" w:rsidRDefault="0041298D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</w:pPr>
      <w:r>
        <w:rPr>
          <w:sz w:val="24"/>
          <w:szCs w:val="24"/>
        </w:rPr>
        <w:t>Поступила в редакцию 15.06.2017</w:t>
      </w:r>
    </w:p>
    <w:sectPr w:rsidR="00346833" w:rsidSect="00346833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98D" w:rsidRDefault="0041298D" w:rsidP="00346833">
      <w:r>
        <w:separator/>
      </w:r>
    </w:p>
  </w:endnote>
  <w:endnote w:type="continuationSeparator" w:id="0">
    <w:p w:rsidR="0041298D" w:rsidRDefault="0041298D" w:rsidP="00346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833" w:rsidRDefault="00346833">
    <w:pPr>
      <w:pStyle w:val="a5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98D" w:rsidRDefault="0041298D" w:rsidP="00346833">
      <w:r>
        <w:separator/>
      </w:r>
    </w:p>
  </w:footnote>
  <w:footnote w:type="continuationSeparator" w:id="0">
    <w:p w:rsidR="0041298D" w:rsidRDefault="0041298D" w:rsidP="003468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833" w:rsidRDefault="00346833">
    <w:pPr>
      <w:pStyle w:val="a5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54E"/>
    <w:multiLevelType w:val="hybridMultilevel"/>
    <w:tmpl w:val="D16485C2"/>
    <w:styleLink w:val="a"/>
    <w:lvl w:ilvl="0" w:tplc="DDEC4A3C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22DB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4869C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A90FC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BA83A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AC0C08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A8739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E421C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6CF22E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D495A55"/>
    <w:multiLevelType w:val="hybridMultilevel"/>
    <w:tmpl w:val="D16485C2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  <w:lvl w:ilvl="0" w:tplc="006EF45A">
        <w:start w:val="1"/>
        <w:numFmt w:val="decimal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89E2AF0">
        <w:start w:val="1"/>
        <w:numFmt w:val="decimal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FE98B6">
        <w:start w:val="1"/>
        <w:numFmt w:val="decimal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A7AC81A">
        <w:start w:val="1"/>
        <w:numFmt w:val="decimal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700DC2E">
        <w:start w:val="1"/>
        <w:numFmt w:val="decimal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0EECDEE">
        <w:start w:val="1"/>
        <w:numFmt w:val="decimal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5D62442">
        <w:start w:val="1"/>
        <w:numFmt w:val="decimal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EF03FB4">
        <w:start w:val="1"/>
        <w:numFmt w:val="decimal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64A8C46">
        <w:start w:val="1"/>
        <w:numFmt w:val="decimal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46833"/>
    <w:rsid w:val="00346833"/>
    <w:rsid w:val="0041298D"/>
    <w:rsid w:val="0073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346833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346833"/>
    <w:rPr>
      <w:u w:val="single"/>
    </w:rPr>
  </w:style>
  <w:style w:type="table" w:customStyle="1" w:styleId="TableNormal">
    <w:name w:val="Table Normal"/>
    <w:rsid w:val="003468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rsid w:val="00346833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6">
    <w:name w:val="Текстовый блок A"/>
    <w:rsid w:val="00346833"/>
    <w:pPr>
      <w:spacing w:line="360" w:lineRule="auto"/>
    </w:pPr>
    <w:rPr>
      <w:rFonts w:cs="Arial Unicode MS"/>
      <w:color w:val="000000"/>
      <w:sz w:val="28"/>
      <w:szCs w:val="28"/>
      <w:u w:color="000000"/>
    </w:rPr>
  </w:style>
  <w:style w:type="paragraph" w:customStyle="1" w:styleId="A7">
    <w:name w:val="По умолчанию A"/>
    <w:rsid w:val="00346833"/>
    <w:pPr>
      <w:spacing w:line="360" w:lineRule="auto"/>
      <w:jc w:val="both"/>
    </w:pPr>
    <w:rPr>
      <w:rFonts w:eastAsia="Times New Roman"/>
      <w:color w:val="000000"/>
      <w:sz w:val="28"/>
      <w:szCs w:val="28"/>
      <w:u w:color="000000"/>
    </w:rPr>
  </w:style>
  <w:style w:type="numbering" w:customStyle="1" w:styleId="a">
    <w:name w:val="С числами"/>
    <w:rsid w:val="00346833"/>
    <w:pPr>
      <w:numPr>
        <w:numId w:val="1"/>
      </w:numPr>
    </w:pPr>
  </w:style>
  <w:style w:type="paragraph" w:customStyle="1" w:styleId="1">
    <w:name w:val="Стиль таблицы 1"/>
    <w:rsid w:val="00346833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Стиль таблицы 2"/>
    <w:rsid w:val="00346833"/>
    <w:rPr>
      <w:rFonts w:ascii="Helvetica Neue" w:eastAsia="Helvetica Neue" w:hAnsi="Helvetica Neue" w:cs="Helvetica Neue"/>
      <w:color w:val="000000"/>
    </w:rPr>
  </w:style>
  <w:style w:type="character" w:customStyle="1" w:styleId="a8">
    <w:name w:val="Ссылка"/>
    <w:rsid w:val="00346833"/>
    <w:rPr>
      <w:color w:val="0000FF"/>
      <w:u w:val="single" w:color="0000FF"/>
    </w:rPr>
  </w:style>
  <w:style w:type="character" w:customStyle="1" w:styleId="Hyperlink0">
    <w:name w:val="Hyperlink.0"/>
    <w:basedOn w:val="a8"/>
    <w:rsid w:val="00346833"/>
    <w:rPr>
      <w:sz w:val="24"/>
      <w:szCs w:val="24"/>
    </w:rPr>
  </w:style>
  <w:style w:type="paragraph" w:styleId="a9">
    <w:name w:val="Balloon Text"/>
    <w:basedOn w:val="a0"/>
    <w:link w:val="aa"/>
    <w:uiPriority w:val="99"/>
    <w:semiHidden/>
    <w:unhideWhenUsed/>
    <w:rsid w:val="0073792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73792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zharinov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1074</Words>
  <Characters>6127</Characters>
  <Application>Microsoft Office Word</Application>
  <DocSecurity>0</DocSecurity>
  <Lines>51</Lines>
  <Paragraphs>14</Paragraphs>
  <ScaleCrop>false</ScaleCrop>
  <Company> </Company>
  <LinksUpToDate>false</LinksUpToDate>
  <CharactersWithSpaces>7187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stal</cp:lastModifiedBy>
  <cp:revision>2</cp:revision>
  <dcterms:created xsi:type="dcterms:W3CDTF">2017-11-22T05:10:00Z</dcterms:created>
  <dcterms:modified xsi:type="dcterms:W3CDTF">2017-11-22T05:14:00Z</dcterms:modified>
</cp:coreProperties>
</file>