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7DB" w:rsidRPr="0045459C" w:rsidRDefault="0045459C">
      <w:pPr>
        <w:rPr>
          <w:sz w:val="24"/>
          <w:szCs w:val="24"/>
          <w:lang w:val="fr-FR"/>
        </w:rPr>
      </w:pPr>
      <w:r w:rsidRPr="0045459C">
        <w:rPr>
          <w:b/>
          <w:sz w:val="24"/>
          <w:szCs w:val="24"/>
          <w:lang w:val="fr-FR"/>
        </w:rPr>
        <w:t xml:space="preserve">Produit dérivé :  </w:t>
      </w:r>
      <w:r w:rsidRPr="0045459C">
        <w:rPr>
          <w:sz w:val="24"/>
          <w:szCs w:val="24"/>
          <w:lang w:val="fr-FR"/>
        </w:rPr>
        <w:t xml:space="preserve">Instrument financier  dont la valeur fluctue e,n fonction de l’évolution du taux ou d’un autre sous-jacent, et dont le réglement s’effectue à une date future. </w:t>
      </w:r>
    </w:p>
    <w:p w:rsidR="0045459C" w:rsidRDefault="0045459C">
      <w:pPr>
        <w:rPr>
          <w:lang w:val="fr-FR"/>
        </w:rPr>
      </w:pPr>
    </w:p>
    <w:p w:rsidR="0045459C" w:rsidRPr="0045459C" w:rsidRDefault="0045459C" w:rsidP="0045459C">
      <w:pPr>
        <w:pStyle w:val="NormalWeb"/>
        <w:shd w:val="clear" w:color="auto" w:fill="FFFFFF"/>
        <w:spacing w:before="120" w:beforeAutospacing="0" w:after="120" w:afterAutospacing="0" w:line="336" w:lineRule="atLeast"/>
        <w:rPr>
          <w:rFonts w:ascii="Arial" w:hAnsi="Arial" w:cs="Arial"/>
          <w:color w:val="252525"/>
          <w:sz w:val="21"/>
          <w:szCs w:val="21"/>
          <w:lang w:val="fr-FR"/>
        </w:rPr>
      </w:pPr>
      <w:r w:rsidRPr="0045459C">
        <w:rPr>
          <w:rFonts w:ascii="Arial" w:hAnsi="Arial" w:cs="Arial"/>
          <w:color w:val="252525"/>
          <w:sz w:val="21"/>
          <w:szCs w:val="21"/>
          <w:lang w:val="fr-FR"/>
        </w:rPr>
        <w:t>Un</w:t>
      </w:r>
      <w:r w:rsidRPr="0045459C">
        <w:rPr>
          <w:rStyle w:val="apple-converted-space"/>
          <w:rFonts w:ascii="Arial" w:hAnsi="Arial" w:cs="Arial"/>
          <w:color w:val="252525"/>
          <w:sz w:val="21"/>
          <w:szCs w:val="21"/>
          <w:lang w:val="fr-FR"/>
        </w:rPr>
        <w:t> </w:t>
      </w:r>
      <w:r w:rsidRPr="0045459C">
        <w:rPr>
          <w:rFonts w:ascii="Arial" w:hAnsi="Arial" w:cs="Arial"/>
          <w:b/>
          <w:bCs/>
          <w:color w:val="252525"/>
          <w:sz w:val="21"/>
          <w:szCs w:val="21"/>
          <w:lang w:val="fr-FR"/>
        </w:rPr>
        <w:t>actif sous-jacent</w:t>
      </w:r>
      <w:r w:rsidRPr="0045459C">
        <w:rPr>
          <w:rStyle w:val="apple-converted-space"/>
          <w:rFonts w:ascii="Arial" w:hAnsi="Arial" w:cs="Arial"/>
          <w:color w:val="252525"/>
          <w:sz w:val="21"/>
          <w:szCs w:val="21"/>
          <w:lang w:val="fr-FR"/>
        </w:rPr>
        <w:t> </w:t>
      </w:r>
      <w:r w:rsidRPr="0045459C">
        <w:rPr>
          <w:rFonts w:ascii="Arial" w:hAnsi="Arial" w:cs="Arial"/>
          <w:color w:val="252525"/>
          <w:sz w:val="21"/>
          <w:szCs w:val="21"/>
          <w:lang w:val="fr-FR"/>
        </w:rPr>
        <w:t>est un actif sur lequel porte une option ou plus largement un</w:t>
      </w:r>
      <w:r w:rsidRPr="0045459C">
        <w:rPr>
          <w:rStyle w:val="apple-converted-space"/>
          <w:rFonts w:ascii="Arial" w:hAnsi="Arial" w:cs="Arial"/>
          <w:color w:val="252525"/>
          <w:sz w:val="21"/>
          <w:szCs w:val="21"/>
          <w:lang w:val="fr-FR"/>
        </w:rPr>
        <w:t> </w:t>
      </w:r>
      <w:hyperlink r:id="rId7" w:tooltip="Produit dérivé financier" w:history="1">
        <w:r w:rsidRPr="0045459C">
          <w:rPr>
            <w:rStyle w:val="Hyperlink"/>
            <w:rFonts w:ascii="Arial" w:hAnsi="Arial" w:cs="Arial"/>
            <w:color w:val="0B0080"/>
            <w:sz w:val="21"/>
            <w:szCs w:val="21"/>
            <w:u w:val="none"/>
            <w:lang w:val="fr-FR"/>
          </w:rPr>
          <w:t>produit dérivé</w:t>
        </w:r>
      </w:hyperlink>
      <w:r w:rsidRPr="0045459C">
        <w:rPr>
          <w:rFonts w:ascii="Arial" w:hAnsi="Arial" w:cs="Arial"/>
          <w:color w:val="252525"/>
          <w:sz w:val="21"/>
          <w:szCs w:val="21"/>
          <w:lang w:val="fr-FR"/>
        </w:rPr>
        <w:t>. Il peut être financier (actions, obligations, bons du Trésor, contrats à terme, devises, indices boursiers...) ou physique (matières premières agricoles ou minérales...).</w:t>
      </w:r>
    </w:p>
    <w:p w:rsidR="0045459C" w:rsidRPr="0045459C" w:rsidRDefault="0045459C" w:rsidP="0045459C">
      <w:pPr>
        <w:pStyle w:val="NormalWeb"/>
        <w:shd w:val="clear" w:color="auto" w:fill="FFFFFF"/>
        <w:spacing w:before="120" w:beforeAutospacing="0" w:after="120" w:afterAutospacing="0" w:line="336" w:lineRule="atLeast"/>
        <w:rPr>
          <w:rFonts w:ascii="Arial" w:hAnsi="Arial" w:cs="Arial"/>
          <w:color w:val="252525"/>
          <w:sz w:val="21"/>
          <w:szCs w:val="21"/>
          <w:lang w:val="fr-FR"/>
        </w:rPr>
      </w:pPr>
      <w:r w:rsidRPr="0045459C">
        <w:rPr>
          <w:rFonts w:ascii="Arial" w:hAnsi="Arial" w:cs="Arial"/>
          <w:color w:val="252525"/>
          <w:sz w:val="21"/>
          <w:szCs w:val="21"/>
          <w:lang w:val="fr-FR"/>
        </w:rPr>
        <w:t>L'actif sous-jacent est l'actif réel sur le prix contractuel duquel porte le</w:t>
      </w:r>
      <w:r w:rsidRPr="0045459C">
        <w:rPr>
          <w:rStyle w:val="apple-converted-space"/>
          <w:rFonts w:ascii="Arial" w:hAnsi="Arial" w:cs="Arial"/>
          <w:color w:val="252525"/>
          <w:sz w:val="21"/>
          <w:szCs w:val="21"/>
          <w:lang w:val="fr-FR"/>
        </w:rPr>
        <w:t> </w:t>
      </w:r>
      <w:hyperlink r:id="rId8" w:tooltip="Dérivé" w:history="1">
        <w:r w:rsidRPr="0045459C">
          <w:rPr>
            <w:rStyle w:val="Hyperlink"/>
            <w:rFonts w:ascii="Arial" w:hAnsi="Arial" w:cs="Arial"/>
            <w:color w:val="0B0080"/>
            <w:sz w:val="21"/>
            <w:szCs w:val="21"/>
            <w:u w:val="none"/>
            <w:lang w:val="fr-FR"/>
          </w:rPr>
          <w:t>produit dérivé</w:t>
        </w:r>
      </w:hyperlink>
      <w:r w:rsidRPr="0045459C">
        <w:rPr>
          <w:rStyle w:val="apple-converted-space"/>
          <w:rFonts w:ascii="Arial" w:hAnsi="Arial" w:cs="Arial"/>
          <w:color w:val="252525"/>
          <w:sz w:val="21"/>
          <w:szCs w:val="21"/>
          <w:lang w:val="fr-FR"/>
        </w:rPr>
        <w:t> </w:t>
      </w:r>
      <w:r w:rsidRPr="0045459C">
        <w:rPr>
          <w:rFonts w:ascii="Arial" w:hAnsi="Arial" w:cs="Arial"/>
          <w:color w:val="252525"/>
          <w:sz w:val="21"/>
          <w:szCs w:val="21"/>
          <w:lang w:val="fr-FR"/>
        </w:rPr>
        <w:t>concerné. Il désigne en effet l'instrument support d'un</w:t>
      </w:r>
      <w:r w:rsidRPr="0045459C">
        <w:rPr>
          <w:rStyle w:val="apple-converted-space"/>
          <w:rFonts w:ascii="Arial" w:hAnsi="Arial" w:cs="Arial"/>
          <w:color w:val="252525"/>
          <w:sz w:val="21"/>
          <w:szCs w:val="21"/>
          <w:lang w:val="fr-FR"/>
        </w:rPr>
        <w:t> </w:t>
      </w:r>
      <w:hyperlink r:id="rId9" w:tooltip="Contrat à terme" w:history="1">
        <w:r w:rsidRPr="0045459C">
          <w:rPr>
            <w:rStyle w:val="Hyperlink"/>
            <w:rFonts w:ascii="Arial" w:hAnsi="Arial" w:cs="Arial"/>
            <w:color w:val="0B0080"/>
            <w:sz w:val="21"/>
            <w:szCs w:val="21"/>
            <w:u w:val="none"/>
            <w:lang w:val="fr-FR"/>
          </w:rPr>
          <w:t>contrat à terme</w:t>
        </w:r>
      </w:hyperlink>
      <w:r w:rsidRPr="0045459C">
        <w:rPr>
          <w:rStyle w:val="apple-converted-space"/>
          <w:rFonts w:ascii="Arial" w:hAnsi="Arial" w:cs="Arial"/>
          <w:color w:val="252525"/>
          <w:sz w:val="21"/>
          <w:szCs w:val="21"/>
          <w:lang w:val="fr-FR"/>
        </w:rPr>
        <w:t> </w:t>
      </w:r>
      <w:r w:rsidRPr="0045459C">
        <w:rPr>
          <w:rFonts w:ascii="Arial" w:hAnsi="Arial" w:cs="Arial"/>
          <w:color w:val="252525"/>
          <w:sz w:val="21"/>
          <w:szCs w:val="21"/>
          <w:lang w:val="fr-FR"/>
        </w:rPr>
        <w:t>dont la qualité est strictement définie.</w:t>
      </w:r>
    </w:p>
    <w:p w:rsidR="0045459C" w:rsidRDefault="0045459C">
      <w:pPr>
        <w:rPr>
          <w:lang w:val="fr-FR"/>
        </w:rPr>
      </w:pPr>
    </w:p>
    <w:p w:rsidR="0045459C" w:rsidRDefault="0045459C">
      <w:pPr>
        <w:rPr>
          <w:rStyle w:val="apple-converted-space"/>
          <w:rFonts w:ascii="Arial" w:hAnsi="Arial" w:cs="Arial"/>
          <w:color w:val="252525"/>
          <w:sz w:val="21"/>
          <w:szCs w:val="21"/>
          <w:shd w:val="clear" w:color="auto" w:fill="FFFFFF"/>
          <w:lang w:val="fr-FR"/>
        </w:rPr>
      </w:pPr>
      <w:r w:rsidRPr="0045459C">
        <w:rPr>
          <w:rStyle w:val="apple-converted-space"/>
          <w:rFonts w:ascii="Arial" w:hAnsi="Arial" w:cs="Arial"/>
          <w:color w:val="252525"/>
          <w:sz w:val="21"/>
          <w:szCs w:val="21"/>
          <w:shd w:val="clear" w:color="auto" w:fill="FFFFFF"/>
          <w:lang w:val="fr-FR"/>
        </w:rPr>
        <w:t> </w:t>
      </w:r>
      <w:r w:rsidRPr="0045459C">
        <w:rPr>
          <w:rFonts w:ascii="Arial" w:hAnsi="Arial" w:cs="Arial"/>
          <w:color w:val="252525"/>
          <w:sz w:val="21"/>
          <w:szCs w:val="21"/>
          <w:shd w:val="clear" w:color="auto" w:fill="FFFFFF"/>
          <w:lang w:val="fr-FR"/>
        </w:rPr>
        <w:t>une</w:t>
      </w:r>
      <w:r w:rsidRPr="0045459C">
        <w:rPr>
          <w:rStyle w:val="apple-converted-space"/>
          <w:rFonts w:ascii="Arial" w:hAnsi="Arial" w:cs="Arial"/>
          <w:color w:val="252525"/>
          <w:sz w:val="21"/>
          <w:szCs w:val="21"/>
          <w:shd w:val="clear" w:color="auto" w:fill="FFFFFF"/>
          <w:lang w:val="fr-FR"/>
        </w:rPr>
        <w:t> </w:t>
      </w:r>
      <w:r w:rsidRPr="0045459C">
        <w:rPr>
          <w:rFonts w:ascii="Arial" w:hAnsi="Arial" w:cs="Arial"/>
          <w:b/>
          <w:bCs/>
          <w:color w:val="252525"/>
          <w:sz w:val="21"/>
          <w:szCs w:val="21"/>
          <w:shd w:val="clear" w:color="auto" w:fill="FFFFFF"/>
          <w:lang w:val="fr-FR"/>
        </w:rPr>
        <w:t>option</w:t>
      </w:r>
      <w:r w:rsidRPr="0045459C">
        <w:rPr>
          <w:rStyle w:val="apple-converted-space"/>
          <w:rFonts w:ascii="Arial" w:hAnsi="Arial" w:cs="Arial"/>
          <w:color w:val="252525"/>
          <w:sz w:val="21"/>
          <w:szCs w:val="21"/>
          <w:shd w:val="clear" w:color="auto" w:fill="FFFFFF"/>
          <w:lang w:val="fr-FR"/>
        </w:rPr>
        <w:t> </w:t>
      </w:r>
      <w:r w:rsidRPr="0045459C">
        <w:rPr>
          <w:rFonts w:ascii="Arial" w:hAnsi="Arial" w:cs="Arial"/>
          <w:color w:val="252525"/>
          <w:sz w:val="21"/>
          <w:szCs w:val="21"/>
          <w:shd w:val="clear" w:color="auto" w:fill="FFFFFF"/>
          <w:lang w:val="fr-FR"/>
        </w:rPr>
        <w:t>est un</w:t>
      </w:r>
      <w:r w:rsidRPr="0045459C">
        <w:rPr>
          <w:rStyle w:val="apple-converted-space"/>
          <w:rFonts w:ascii="Arial" w:hAnsi="Arial" w:cs="Arial"/>
          <w:color w:val="252525"/>
          <w:sz w:val="21"/>
          <w:szCs w:val="21"/>
          <w:shd w:val="clear" w:color="auto" w:fill="FFFFFF"/>
          <w:lang w:val="fr-FR"/>
        </w:rPr>
        <w:t> </w:t>
      </w:r>
      <w:hyperlink r:id="rId10" w:tooltip="Produit dérivé (finance)" w:history="1">
        <w:r w:rsidRPr="0045459C">
          <w:rPr>
            <w:rStyle w:val="Hyperlink"/>
            <w:rFonts w:ascii="Arial" w:hAnsi="Arial" w:cs="Arial"/>
            <w:color w:val="0B0080"/>
            <w:sz w:val="21"/>
            <w:szCs w:val="21"/>
            <w:shd w:val="clear" w:color="auto" w:fill="FFFFFF"/>
            <w:lang w:val="fr-FR"/>
          </w:rPr>
          <w:t>produit dérivé</w:t>
        </w:r>
      </w:hyperlink>
      <w:r w:rsidRPr="0045459C">
        <w:rPr>
          <w:rStyle w:val="apple-converted-space"/>
          <w:rFonts w:ascii="Arial" w:hAnsi="Arial" w:cs="Arial"/>
          <w:color w:val="252525"/>
          <w:sz w:val="21"/>
          <w:szCs w:val="21"/>
          <w:shd w:val="clear" w:color="auto" w:fill="FFFFFF"/>
          <w:lang w:val="fr-FR"/>
        </w:rPr>
        <w:t> </w:t>
      </w:r>
      <w:r w:rsidRPr="0045459C">
        <w:rPr>
          <w:rFonts w:ascii="Arial" w:hAnsi="Arial" w:cs="Arial"/>
          <w:color w:val="252525"/>
          <w:sz w:val="21"/>
          <w:szCs w:val="21"/>
          <w:shd w:val="clear" w:color="auto" w:fill="FFFFFF"/>
          <w:lang w:val="fr-FR"/>
        </w:rPr>
        <w:t>qui établit un contrat entre un acheteur et un vendeur. L'acheteur de l'option obtient le droit, et non pas l'obligation, d'acheter (</w:t>
      </w:r>
      <w:hyperlink r:id="rId11" w:tooltip="Call" w:history="1">
        <w:r w:rsidRPr="0045459C">
          <w:rPr>
            <w:rStyle w:val="Hyperlink"/>
            <w:rFonts w:ascii="Arial" w:hAnsi="Arial" w:cs="Arial"/>
            <w:color w:val="0B0080"/>
            <w:sz w:val="21"/>
            <w:szCs w:val="21"/>
            <w:shd w:val="clear" w:color="auto" w:fill="FFFFFF"/>
            <w:lang w:val="fr-FR"/>
          </w:rPr>
          <w:t>call</w:t>
        </w:r>
      </w:hyperlink>
      <w:r w:rsidRPr="0045459C">
        <w:rPr>
          <w:rFonts w:ascii="Arial" w:hAnsi="Arial" w:cs="Arial"/>
          <w:color w:val="252525"/>
          <w:sz w:val="21"/>
          <w:szCs w:val="21"/>
          <w:shd w:val="clear" w:color="auto" w:fill="FFFFFF"/>
          <w:lang w:val="fr-FR"/>
        </w:rPr>
        <w:t>) ou de vendre (</w:t>
      </w:r>
      <w:hyperlink r:id="rId12" w:tooltip="Put" w:history="1">
        <w:r w:rsidRPr="0045459C">
          <w:rPr>
            <w:rStyle w:val="Hyperlink"/>
            <w:rFonts w:ascii="Arial" w:hAnsi="Arial" w:cs="Arial"/>
            <w:color w:val="0B0080"/>
            <w:sz w:val="21"/>
            <w:szCs w:val="21"/>
            <w:shd w:val="clear" w:color="auto" w:fill="FFFFFF"/>
            <w:lang w:val="fr-FR"/>
          </w:rPr>
          <w:t>put</w:t>
        </w:r>
      </w:hyperlink>
      <w:r w:rsidRPr="0045459C">
        <w:rPr>
          <w:rFonts w:ascii="Arial" w:hAnsi="Arial" w:cs="Arial"/>
          <w:color w:val="252525"/>
          <w:sz w:val="21"/>
          <w:szCs w:val="21"/>
          <w:shd w:val="clear" w:color="auto" w:fill="FFFFFF"/>
          <w:lang w:val="fr-FR"/>
        </w:rPr>
        <w:t>) un</w:t>
      </w:r>
      <w:r w:rsidRPr="0045459C">
        <w:rPr>
          <w:rStyle w:val="apple-converted-space"/>
          <w:rFonts w:ascii="Arial" w:hAnsi="Arial" w:cs="Arial"/>
          <w:color w:val="252525"/>
          <w:sz w:val="21"/>
          <w:szCs w:val="21"/>
          <w:shd w:val="clear" w:color="auto" w:fill="FFFFFF"/>
          <w:lang w:val="fr-FR"/>
        </w:rPr>
        <w:t> </w:t>
      </w:r>
      <w:hyperlink r:id="rId13" w:tooltip="Actif sous-jacent" w:history="1">
        <w:r w:rsidRPr="0045459C">
          <w:rPr>
            <w:rStyle w:val="Hyperlink"/>
            <w:rFonts w:ascii="Arial" w:hAnsi="Arial" w:cs="Arial"/>
            <w:color w:val="0B0080"/>
            <w:sz w:val="21"/>
            <w:szCs w:val="21"/>
            <w:shd w:val="clear" w:color="auto" w:fill="FFFFFF"/>
            <w:lang w:val="fr-FR"/>
          </w:rPr>
          <w:t>actif sous-jacent</w:t>
        </w:r>
      </w:hyperlink>
      <w:r w:rsidRPr="0045459C">
        <w:rPr>
          <w:rStyle w:val="apple-converted-space"/>
          <w:rFonts w:ascii="Arial" w:hAnsi="Arial" w:cs="Arial"/>
          <w:color w:val="252525"/>
          <w:sz w:val="21"/>
          <w:szCs w:val="21"/>
          <w:shd w:val="clear" w:color="auto" w:fill="FFFFFF"/>
          <w:lang w:val="fr-FR"/>
        </w:rPr>
        <w:t> </w:t>
      </w:r>
      <w:r w:rsidRPr="0045459C">
        <w:rPr>
          <w:rFonts w:ascii="Arial" w:hAnsi="Arial" w:cs="Arial"/>
          <w:color w:val="252525"/>
          <w:sz w:val="21"/>
          <w:szCs w:val="21"/>
          <w:shd w:val="clear" w:color="auto" w:fill="FFFFFF"/>
          <w:lang w:val="fr-FR"/>
        </w:rPr>
        <w:t>à un prix fixé à l'avance (</w:t>
      </w:r>
      <w:hyperlink r:id="rId14" w:tooltip="Strike (finance)" w:history="1">
        <w:r w:rsidRPr="0045459C">
          <w:rPr>
            <w:rStyle w:val="Hyperlink"/>
            <w:rFonts w:ascii="Arial" w:hAnsi="Arial" w:cs="Arial"/>
            <w:color w:val="0B0080"/>
            <w:sz w:val="21"/>
            <w:szCs w:val="21"/>
            <w:shd w:val="clear" w:color="auto" w:fill="FFFFFF"/>
            <w:lang w:val="fr-FR"/>
          </w:rPr>
          <w:t>strike</w:t>
        </w:r>
      </w:hyperlink>
      <w:r w:rsidRPr="0045459C">
        <w:rPr>
          <w:rFonts w:ascii="Arial" w:hAnsi="Arial" w:cs="Arial"/>
          <w:color w:val="252525"/>
          <w:sz w:val="21"/>
          <w:szCs w:val="21"/>
          <w:shd w:val="clear" w:color="auto" w:fill="FFFFFF"/>
          <w:lang w:val="fr-FR"/>
        </w:rPr>
        <w:t>),</w:t>
      </w:r>
      <w:r w:rsidRPr="0045459C">
        <w:rPr>
          <w:rStyle w:val="apple-converted-space"/>
          <w:rFonts w:ascii="Arial" w:hAnsi="Arial" w:cs="Arial"/>
          <w:color w:val="252525"/>
          <w:sz w:val="21"/>
          <w:szCs w:val="21"/>
          <w:shd w:val="clear" w:color="auto" w:fill="FFFFFF"/>
          <w:lang w:val="fr-FR"/>
        </w:rPr>
        <w:t> </w:t>
      </w:r>
    </w:p>
    <w:p w:rsidR="003F74B8" w:rsidRDefault="003F74B8">
      <w:pPr>
        <w:rPr>
          <w:rStyle w:val="apple-converted-space"/>
          <w:rFonts w:ascii="Arial" w:hAnsi="Arial" w:cs="Arial"/>
          <w:color w:val="252525"/>
          <w:sz w:val="21"/>
          <w:szCs w:val="21"/>
          <w:shd w:val="clear" w:color="auto" w:fill="FFFFFF"/>
          <w:lang w:val="fr-FR"/>
        </w:rPr>
      </w:pPr>
    </w:p>
    <w:p w:rsidR="003F74B8" w:rsidRDefault="003F74B8">
      <w:pPr>
        <w:rPr>
          <w:rStyle w:val="apple-converted-space"/>
          <w:rFonts w:ascii="Arial" w:hAnsi="Arial" w:cs="Arial"/>
          <w:b/>
          <w:color w:val="252525"/>
          <w:sz w:val="21"/>
          <w:szCs w:val="21"/>
          <w:shd w:val="clear" w:color="auto" w:fill="FFFFFF"/>
          <w:lang w:val="fr-FR"/>
        </w:rPr>
      </w:pPr>
      <w:r>
        <w:rPr>
          <w:rStyle w:val="apple-converted-space"/>
          <w:rFonts w:ascii="Arial" w:hAnsi="Arial" w:cs="Arial"/>
          <w:b/>
          <w:color w:val="252525"/>
          <w:sz w:val="21"/>
          <w:szCs w:val="21"/>
          <w:shd w:val="clear" w:color="auto" w:fill="FFFFFF"/>
          <w:lang w:val="fr-FR"/>
        </w:rPr>
        <w:t>Evaluation d’un option</w:t>
      </w:r>
    </w:p>
    <w:p w:rsidR="003F74B8" w:rsidRPr="003F74B8" w:rsidRDefault="003F74B8" w:rsidP="003F74B8">
      <w:pPr>
        <w:pStyle w:val="NormalWeb"/>
        <w:shd w:val="clear" w:color="auto" w:fill="FFFFFF"/>
        <w:spacing w:before="120" w:beforeAutospacing="0" w:after="120" w:afterAutospacing="0" w:line="336" w:lineRule="atLeast"/>
        <w:rPr>
          <w:rFonts w:ascii="Arial" w:hAnsi="Arial" w:cs="Arial"/>
          <w:color w:val="252525"/>
          <w:sz w:val="21"/>
          <w:szCs w:val="21"/>
        </w:rPr>
      </w:pPr>
      <w:r w:rsidRPr="003F74B8">
        <w:rPr>
          <w:rFonts w:ascii="Arial" w:hAnsi="Arial" w:cs="Arial"/>
          <w:color w:val="252525"/>
          <w:sz w:val="21"/>
          <w:szCs w:val="21"/>
          <w:lang w:val="fr-FR"/>
        </w:rPr>
        <w:t>La théorie financière a établi que le prix des options dépendait de divers facteurs (écart entre prix d'exercice et prix actuel, volatilité du sous-jacent, durée restant à courir, </w:t>
      </w:r>
      <w:hyperlink r:id="rId15" w:tooltip="Taux sans risque" w:history="1">
        <w:r w:rsidRPr="003F74B8">
          <w:rPr>
            <w:rFonts w:ascii="Arial" w:hAnsi="Arial" w:cs="Arial"/>
            <w:color w:val="0B0080"/>
            <w:sz w:val="21"/>
            <w:szCs w:val="21"/>
            <w:lang w:val="fr-FR"/>
          </w:rPr>
          <w:t>taux d'intérêt sans risque</w:t>
        </w:r>
      </w:hyperlink>
      <w:r w:rsidRPr="003F74B8">
        <w:rPr>
          <w:rFonts w:ascii="Arial" w:hAnsi="Arial" w:cs="Arial"/>
          <w:color w:val="252525"/>
          <w:sz w:val="21"/>
          <w:szCs w:val="21"/>
          <w:lang w:val="fr-FR"/>
        </w:rPr>
        <w:t>, taux de dividende pour les principaux facteurs). La prime d'une option représente la </w:t>
      </w:r>
      <w:hyperlink r:id="rId16" w:tooltip="Probabilité" w:history="1">
        <w:r w:rsidRPr="003F74B8">
          <w:rPr>
            <w:rFonts w:ascii="Arial" w:hAnsi="Arial" w:cs="Arial"/>
            <w:color w:val="0B0080"/>
            <w:sz w:val="21"/>
            <w:szCs w:val="21"/>
            <w:lang w:val="fr-FR"/>
          </w:rPr>
          <w:t>probabilité</w:t>
        </w:r>
      </w:hyperlink>
      <w:r w:rsidRPr="003F74B8">
        <w:rPr>
          <w:rFonts w:ascii="Arial" w:hAnsi="Arial" w:cs="Arial"/>
          <w:color w:val="252525"/>
          <w:sz w:val="21"/>
          <w:szCs w:val="21"/>
          <w:lang w:val="fr-FR"/>
        </w:rPr>
        <w:t xml:space="preserve">, estimée à un moment donné par les acteurs du marché, que l'option soit dans la monnaie à un moment futur - à l'échéance, dans le cas d'une option européenne. </w:t>
      </w:r>
      <w:r w:rsidRPr="003F74B8">
        <w:rPr>
          <w:rFonts w:ascii="Arial" w:hAnsi="Arial" w:cs="Arial"/>
          <w:color w:val="252525"/>
          <w:sz w:val="21"/>
          <w:szCs w:val="21"/>
        </w:rPr>
        <w:t>En effet,</w:t>
      </w:r>
    </w:p>
    <w:p w:rsidR="003F74B8" w:rsidRPr="003F74B8" w:rsidRDefault="003F74B8" w:rsidP="003F74B8">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val="fr-FR"/>
        </w:rPr>
      </w:pPr>
      <w:r w:rsidRPr="003F74B8">
        <w:rPr>
          <w:rFonts w:ascii="Arial" w:eastAsia="Times New Roman" w:hAnsi="Arial" w:cs="Arial"/>
          <w:color w:val="252525"/>
          <w:sz w:val="21"/>
          <w:szCs w:val="21"/>
          <w:lang w:val="fr-FR"/>
        </w:rPr>
        <w:t>si l'acheteur estime qu'il y a peu de chance que son option soit dans la monnaie à l'échéance, il va souhaiter payer un prix bas ;</w:t>
      </w:r>
    </w:p>
    <w:p w:rsidR="003F74B8" w:rsidRPr="003F74B8" w:rsidRDefault="003F74B8" w:rsidP="003F74B8">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val="fr-FR"/>
        </w:rPr>
      </w:pPr>
      <w:r w:rsidRPr="003F74B8">
        <w:rPr>
          <w:rFonts w:ascii="Arial" w:eastAsia="Times New Roman" w:hAnsi="Arial" w:cs="Arial"/>
          <w:color w:val="252525"/>
          <w:sz w:val="21"/>
          <w:szCs w:val="21"/>
          <w:lang w:val="fr-FR"/>
        </w:rPr>
        <w:t>mais si le vendeur estime que cette probabilité est élevée, il va en demander un prix élevé</w:t>
      </w:r>
    </w:p>
    <w:p w:rsidR="003F74B8" w:rsidRDefault="003F74B8">
      <w:pPr>
        <w:rPr>
          <w:b/>
          <w:lang w:val="fr-FR"/>
        </w:rPr>
      </w:pPr>
    </w:p>
    <w:p w:rsidR="003F74B8" w:rsidRDefault="003F74B8">
      <w:pPr>
        <w:rPr>
          <w:rFonts w:ascii="Arial" w:hAnsi="Arial" w:cs="Arial"/>
          <w:b/>
          <w:bCs/>
          <w:color w:val="252525"/>
          <w:sz w:val="21"/>
          <w:szCs w:val="21"/>
          <w:shd w:val="clear" w:color="auto" w:fill="FFFFFF"/>
          <w:lang w:val="fr-FR"/>
        </w:rPr>
      </w:pPr>
      <w:r w:rsidRPr="003F74B8">
        <w:rPr>
          <w:rStyle w:val="apple-converted-space"/>
          <w:rFonts w:ascii="Arial" w:hAnsi="Arial" w:cs="Arial"/>
          <w:color w:val="252525"/>
          <w:sz w:val="21"/>
          <w:szCs w:val="21"/>
          <w:shd w:val="clear" w:color="auto" w:fill="FFFFFF"/>
          <w:lang w:val="fr-FR"/>
        </w:rPr>
        <w:t> </w:t>
      </w:r>
      <w:r w:rsidRPr="003F74B8">
        <w:rPr>
          <w:rFonts w:ascii="Arial" w:hAnsi="Arial" w:cs="Arial"/>
          <w:color w:val="252525"/>
          <w:sz w:val="21"/>
          <w:szCs w:val="21"/>
          <w:shd w:val="clear" w:color="auto" w:fill="FFFFFF"/>
          <w:lang w:val="fr-FR"/>
        </w:rPr>
        <w:t>Un</w:t>
      </w:r>
      <w:r w:rsidRPr="003F74B8">
        <w:rPr>
          <w:rStyle w:val="apple-converted-space"/>
          <w:rFonts w:ascii="Arial" w:hAnsi="Arial" w:cs="Arial"/>
          <w:color w:val="252525"/>
          <w:sz w:val="21"/>
          <w:szCs w:val="21"/>
          <w:shd w:val="clear" w:color="auto" w:fill="FFFFFF"/>
          <w:lang w:val="fr-FR"/>
        </w:rPr>
        <w:t> </w:t>
      </w:r>
      <w:r w:rsidRPr="003F74B8">
        <w:rPr>
          <w:rFonts w:ascii="Arial" w:hAnsi="Arial" w:cs="Arial"/>
          <w:b/>
          <w:bCs/>
          <w:color w:val="252525"/>
          <w:sz w:val="21"/>
          <w:szCs w:val="21"/>
          <w:shd w:val="clear" w:color="auto" w:fill="FFFFFF"/>
          <w:lang w:val="fr-FR"/>
        </w:rPr>
        <w:t>processus stochastique</w:t>
      </w:r>
      <w:r w:rsidRPr="003F74B8">
        <w:rPr>
          <w:rStyle w:val="apple-converted-space"/>
          <w:rFonts w:ascii="Arial" w:hAnsi="Arial" w:cs="Arial"/>
          <w:color w:val="252525"/>
          <w:sz w:val="21"/>
          <w:szCs w:val="21"/>
          <w:shd w:val="clear" w:color="auto" w:fill="FFFFFF"/>
          <w:lang w:val="fr-FR"/>
        </w:rPr>
        <w:t> </w:t>
      </w:r>
      <w:r w:rsidRPr="003F74B8">
        <w:rPr>
          <w:rFonts w:ascii="Arial" w:hAnsi="Arial" w:cs="Arial"/>
          <w:color w:val="252525"/>
          <w:sz w:val="21"/>
          <w:szCs w:val="21"/>
          <w:shd w:val="clear" w:color="auto" w:fill="FFFFFF"/>
          <w:lang w:val="fr-FR"/>
        </w:rPr>
        <w:t>ou</w:t>
      </w:r>
      <w:r w:rsidRPr="003F74B8">
        <w:rPr>
          <w:rStyle w:val="apple-converted-space"/>
          <w:rFonts w:ascii="Arial" w:hAnsi="Arial" w:cs="Arial"/>
          <w:color w:val="252525"/>
          <w:sz w:val="21"/>
          <w:szCs w:val="21"/>
          <w:shd w:val="clear" w:color="auto" w:fill="FFFFFF"/>
          <w:lang w:val="fr-FR"/>
        </w:rPr>
        <w:t> </w:t>
      </w:r>
      <w:r w:rsidRPr="003F74B8">
        <w:rPr>
          <w:rFonts w:ascii="Arial" w:hAnsi="Arial" w:cs="Arial"/>
          <w:b/>
          <w:bCs/>
          <w:color w:val="252525"/>
          <w:sz w:val="21"/>
          <w:szCs w:val="21"/>
          <w:shd w:val="clear" w:color="auto" w:fill="FFFFFF"/>
          <w:lang w:val="fr-FR"/>
        </w:rPr>
        <w:t>processus aléatoire</w:t>
      </w:r>
      <w:r w:rsidRPr="003F74B8">
        <w:rPr>
          <w:rStyle w:val="apple-converted-space"/>
          <w:rFonts w:ascii="Arial" w:hAnsi="Arial" w:cs="Arial"/>
          <w:color w:val="252525"/>
          <w:sz w:val="21"/>
          <w:szCs w:val="21"/>
          <w:shd w:val="clear" w:color="auto" w:fill="FFFFFF"/>
          <w:lang w:val="fr-FR"/>
        </w:rPr>
        <w:t> </w:t>
      </w:r>
      <w:r w:rsidRPr="003F74B8">
        <w:rPr>
          <w:rFonts w:ascii="Arial" w:hAnsi="Arial" w:cs="Arial"/>
          <w:color w:val="252525"/>
          <w:sz w:val="21"/>
          <w:szCs w:val="21"/>
          <w:shd w:val="clear" w:color="auto" w:fill="FFFFFF"/>
          <w:lang w:val="fr-FR"/>
        </w:rPr>
        <w:t>(voir</w:t>
      </w:r>
      <w:r w:rsidRPr="003F74B8">
        <w:rPr>
          <w:rStyle w:val="apple-converted-space"/>
          <w:rFonts w:ascii="Arial" w:hAnsi="Arial" w:cs="Arial"/>
          <w:color w:val="252525"/>
          <w:sz w:val="21"/>
          <w:szCs w:val="21"/>
          <w:shd w:val="clear" w:color="auto" w:fill="FFFFFF"/>
          <w:lang w:val="fr-FR"/>
        </w:rPr>
        <w:t> </w:t>
      </w:r>
      <w:hyperlink r:id="rId17" w:tooltip="Calcul stochastique" w:history="1">
        <w:r w:rsidRPr="003F74B8">
          <w:rPr>
            <w:rStyle w:val="Hyperlink"/>
            <w:rFonts w:ascii="Arial" w:hAnsi="Arial" w:cs="Arial"/>
            <w:color w:val="0B0080"/>
            <w:sz w:val="21"/>
            <w:szCs w:val="21"/>
            <w:shd w:val="clear" w:color="auto" w:fill="FFFFFF"/>
            <w:lang w:val="fr-FR"/>
          </w:rPr>
          <w:t>Calcul stochastique</w:t>
        </w:r>
      </w:hyperlink>
      <w:r w:rsidRPr="003F74B8">
        <w:rPr>
          <w:rFonts w:ascii="Arial" w:hAnsi="Arial" w:cs="Arial"/>
          <w:color w:val="252525"/>
          <w:sz w:val="21"/>
          <w:szCs w:val="21"/>
          <w:shd w:val="clear" w:color="auto" w:fill="FFFFFF"/>
          <w:lang w:val="fr-FR"/>
        </w:rPr>
        <w:t>) ou</w:t>
      </w:r>
      <w:r w:rsidRPr="003F74B8">
        <w:rPr>
          <w:rFonts w:ascii="Arial" w:hAnsi="Arial" w:cs="Arial"/>
          <w:b/>
          <w:bCs/>
          <w:color w:val="252525"/>
          <w:sz w:val="21"/>
          <w:szCs w:val="21"/>
          <w:shd w:val="clear" w:color="auto" w:fill="FFFFFF"/>
          <w:lang w:val="fr-FR"/>
        </w:rPr>
        <w:t xml:space="preserve">fonction </w:t>
      </w:r>
    </w:p>
    <w:p w:rsidR="003F74B8" w:rsidRDefault="003F74B8">
      <w:pPr>
        <w:rPr>
          <w:rFonts w:ascii="Arial" w:hAnsi="Arial" w:cs="Arial"/>
          <w:color w:val="252525"/>
          <w:sz w:val="21"/>
          <w:szCs w:val="21"/>
          <w:shd w:val="clear" w:color="auto" w:fill="FFFFFF"/>
          <w:lang w:val="fr-FR"/>
        </w:rPr>
      </w:pPr>
      <w:r w:rsidRPr="003F74B8">
        <w:rPr>
          <w:rFonts w:ascii="Arial" w:hAnsi="Arial" w:cs="Arial"/>
          <w:b/>
          <w:bCs/>
          <w:color w:val="252525"/>
          <w:sz w:val="21"/>
          <w:szCs w:val="21"/>
          <w:shd w:val="clear" w:color="auto" w:fill="FFFFFF"/>
          <w:lang w:val="fr-FR"/>
        </w:rPr>
        <w:t>aléatoire</w:t>
      </w:r>
      <w:r w:rsidRPr="003F74B8">
        <w:rPr>
          <w:rStyle w:val="apple-converted-space"/>
          <w:rFonts w:ascii="Arial" w:hAnsi="Arial" w:cs="Arial"/>
          <w:color w:val="252525"/>
          <w:sz w:val="21"/>
          <w:szCs w:val="21"/>
          <w:shd w:val="clear" w:color="auto" w:fill="FFFFFF"/>
          <w:lang w:val="fr-FR"/>
        </w:rPr>
        <w:t> </w:t>
      </w:r>
      <w:r w:rsidRPr="003F74B8">
        <w:rPr>
          <w:rFonts w:ascii="Arial" w:hAnsi="Arial" w:cs="Arial"/>
          <w:color w:val="252525"/>
          <w:sz w:val="21"/>
          <w:szCs w:val="21"/>
          <w:shd w:val="clear" w:color="auto" w:fill="FFFFFF"/>
          <w:lang w:val="fr-FR"/>
        </w:rPr>
        <w:t>représente une évolution, discrète ou à temps continu, d'une</w:t>
      </w:r>
      <w:r w:rsidRPr="003F74B8">
        <w:rPr>
          <w:rStyle w:val="apple-converted-space"/>
          <w:rFonts w:ascii="Arial" w:hAnsi="Arial" w:cs="Arial"/>
          <w:color w:val="252525"/>
          <w:sz w:val="21"/>
          <w:szCs w:val="21"/>
          <w:shd w:val="clear" w:color="auto" w:fill="FFFFFF"/>
          <w:lang w:val="fr-FR"/>
        </w:rPr>
        <w:t> </w:t>
      </w:r>
      <w:hyperlink r:id="rId18" w:tooltip="Variable aléatoire" w:history="1">
        <w:r w:rsidRPr="003F74B8">
          <w:rPr>
            <w:rStyle w:val="Hyperlink"/>
            <w:rFonts w:ascii="Arial" w:hAnsi="Arial" w:cs="Arial"/>
            <w:color w:val="0B0080"/>
            <w:sz w:val="21"/>
            <w:szCs w:val="21"/>
            <w:shd w:val="clear" w:color="auto" w:fill="FFFFFF"/>
            <w:lang w:val="fr-FR"/>
          </w:rPr>
          <w:t>variable aléatoire</w:t>
        </w:r>
      </w:hyperlink>
      <w:r w:rsidRPr="003F74B8">
        <w:rPr>
          <w:rFonts w:ascii="Arial" w:hAnsi="Arial" w:cs="Arial"/>
          <w:color w:val="252525"/>
          <w:sz w:val="21"/>
          <w:szCs w:val="21"/>
          <w:shd w:val="clear" w:color="auto" w:fill="FFFFFF"/>
          <w:lang w:val="fr-FR"/>
        </w:rPr>
        <w:t>.</w:t>
      </w:r>
    </w:p>
    <w:p w:rsidR="00CF4A7A" w:rsidRDefault="00CF4A7A">
      <w:pPr>
        <w:rPr>
          <w:rFonts w:ascii="Arial" w:hAnsi="Arial" w:cs="Arial"/>
          <w:color w:val="252525"/>
          <w:sz w:val="21"/>
          <w:szCs w:val="21"/>
          <w:shd w:val="clear" w:color="auto" w:fill="FFFFFF"/>
          <w:lang w:val="fr-FR"/>
        </w:rPr>
      </w:pPr>
    </w:p>
    <w:p w:rsidR="00CF4A7A" w:rsidRDefault="00CF4A7A">
      <w:pPr>
        <w:rPr>
          <w:rStyle w:val="apple-converted-space"/>
          <w:color w:val="000000"/>
          <w:sz w:val="36"/>
          <w:szCs w:val="36"/>
          <w:lang w:val="fr-FR"/>
        </w:rPr>
      </w:pPr>
      <w:r>
        <w:rPr>
          <w:rFonts w:ascii="Arial" w:hAnsi="Arial" w:cs="Arial"/>
          <w:color w:val="252525"/>
          <w:sz w:val="21"/>
          <w:szCs w:val="21"/>
          <w:shd w:val="clear" w:color="auto" w:fill="FFFFFF"/>
          <w:lang w:val="fr-FR"/>
        </w:rPr>
        <w:t xml:space="preserve">Le modèle de black scholes est un modèle mathématiques du marché pour une action </w:t>
      </w:r>
      <w:r w:rsidRPr="00CF4A7A">
        <w:rPr>
          <w:color w:val="000000"/>
          <w:sz w:val="27"/>
          <w:szCs w:val="27"/>
          <w:lang w:val="fr-FR"/>
        </w:rPr>
        <w:t>Le modèle de Black et Scholès définit la valeur d'une</w:t>
      </w:r>
      <w:r w:rsidRPr="00CF4A7A">
        <w:rPr>
          <w:rStyle w:val="apple-converted-space"/>
          <w:color w:val="000000"/>
          <w:sz w:val="27"/>
          <w:szCs w:val="27"/>
          <w:lang w:val="fr-FR"/>
        </w:rPr>
        <w:t> </w:t>
      </w:r>
      <w:hyperlink r:id="rId19" w:history="1">
        <w:r w:rsidRPr="00CF4A7A">
          <w:rPr>
            <w:rStyle w:val="Hyperlink"/>
            <w:sz w:val="27"/>
            <w:szCs w:val="27"/>
            <w:lang w:val="fr-FR"/>
          </w:rPr>
          <w:t>option</w:t>
        </w:r>
      </w:hyperlink>
      <w:r w:rsidRPr="00CF4A7A">
        <w:rPr>
          <w:rStyle w:val="apple-converted-space"/>
          <w:color w:val="000000"/>
          <w:sz w:val="27"/>
          <w:szCs w:val="27"/>
          <w:lang w:val="fr-FR"/>
        </w:rPr>
        <w:t> </w:t>
      </w:r>
      <w:r w:rsidRPr="00CF4A7A">
        <w:rPr>
          <w:color w:val="000000"/>
          <w:sz w:val="27"/>
          <w:szCs w:val="27"/>
          <w:lang w:val="fr-FR"/>
        </w:rPr>
        <w:t>à l'instant</w:t>
      </w:r>
      <w:r w:rsidRPr="00CF4A7A">
        <w:rPr>
          <w:rStyle w:val="apple-converted-space"/>
          <w:color w:val="000000"/>
          <w:sz w:val="27"/>
          <w:szCs w:val="27"/>
          <w:lang w:val="fr-FR"/>
        </w:rPr>
        <w:t> </w:t>
      </w:r>
      <w:r w:rsidRPr="00CF4A7A">
        <w:rPr>
          <w:color w:val="000000"/>
          <w:sz w:val="36"/>
          <w:szCs w:val="36"/>
          <w:lang w:val="fr-FR"/>
        </w:rPr>
        <w:t>t</w:t>
      </w:r>
      <w:r w:rsidRPr="00CF4A7A">
        <w:rPr>
          <w:rStyle w:val="apple-converted-space"/>
          <w:color w:val="000000"/>
          <w:sz w:val="36"/>
          <w:szCs w:val="36"/>
          <w:lang w:val="fr-FR"/>
        </w:rPr>
        <w:t> </w:t>
      </w:r>
    </w:p>
    <w:p w:rsidR="00CF4A7A" w:rsidRPr="00CF4A7A" w:rsidRDefault="00CF4A7A" w:rsidP="00CF4A7A">
      <w:pPr>
        <w:shd w:val="clear" w:color="auto" w:fill="FFFFFF"/>
        <w:spacing w:before="120" w:after="120" w:line="336" w:lineRule="atLeast"/>
        <w:rPr>
          <w:rFonts w:ascii="Arial" w:eastAsia="Times New Roman" w:hAnsi="Arial" w:cs="Arial"/>
          <w:color w:val="252525"/>
          <w:sz w:val="21"/>
          <w:szCs w:val="21"/>
          <w:lang w:val="fr-FR"/>
        </w:rPr>
      </w:pPr>
      <w:r w:rsidRPr="00CF4A7A">
        <w:rPr>
          <w:rFonts w:ascii="Arial" w:eastAsia="Times New Roman" w:hAnsi="Arial" w:cs="Arial"/>
          <w:color w:val="252525"/>
          <w:sz w:val="21"/>
          <w:szCs w:val="21"/>
          <w:lang w:val="fr-FR"/>
        </w:rPr>
        <w:t>Le modèle Black-Scholes repose sur un certain nombre de conditions :</w:t>
      </w:r>
    </w:p>
    <w:p w:rsidR="00CF4A7A" w:rsidRPr="00CF4A7A" w:rsidRDefault="00CF4A7A" w:rsidP="004517DB">
      <w:pPr>
        <w:numPr>
          <w:ilvl w:val="0"/>
          <w:numId w:val="2"/>
        </w:numPr>
        <w:shd w:val="clear" w:color="auto" w:fill="FFFFFF"/>
        <w:spacing w:before="100" w:beforeAutospacing="1" w:after="24" w:line="336" w:lineRule="atLeast"/>
        <w:rPr>
          <w:rFonts w:ascii="Arial" w:eastAsia="Times New Roman" w:hAnsi="Arial" w:cs="Arial"/>
          <w:color w:val="252525"/>
          <w:sz w:val="21"/>
          <w:szCs w:val="21"/>
          <w:lang w:val="fr-FR"/>
        </w:rPr>
      </w:pPr>
      <w:r w:rsidRPr="00CF4A7A">
        <w:rPr>
          <w:rFonts w:ascii="Arial" w:eastAsia="Times New Roman" w:hAnsi="Arial" w:cs="Arial"/>
          <w:color w:val="252525"/>
          <w:sz w:val="21"/>
          <w:szCs w:val="21"/>
          <w:lang w:val="fr-FR"/>
        </w:rPr>
        <w:t>le prix de l'actif sous-jacent </w:t>
      </w:r>
      <w:r w:rsidRPr="00CF4A7A">
        <w:rPr>
          <w:rFonts w:ascii="Arial" w:eastAsia="Times New Roman" w:hAnsi="Arial" w:cs="Arial"/>
          <w:i/>
          <w:iCs/>
          <w:color w:val="252525"/>
          <w:sz w:val="21"/>
          <w:szCs w:val="21"/>
          <w:lang w:val="fr-FR"/>
        </w:rPr>
        <w:t>S</w:t>
      </w:r>
      <w:r w:rsidRPr="00CF4A7A">
        <w:rPr>
          <w:rFonts w:ascii="Arial" w:eastAsia="Times New Roman" w:hAnsi="Arial" w:cs="Arial"/>
          <w:i/>
          <w:iCs/>
          <w:color w:val="252525"/>
          <w:sz w:val="21"/>
          <w:szCs w:val="21"/>
          <w:vertAlign w:val="subscript"/>
          <w:lang w:val="fr-FR"/>
        </w:rPr>
        <w:t>t</w:t>
      </w:r>
      <w:r w:rsidRPr="00CF4A7A">
        <w:rPr>
          <w:rFonts w:ascii="Arial" w:eastAsia="Times New Roman" w:hAnsi="Arial" w:cs="Arial"/>
          <w:color w:val="252525"/>
          <w:sz w:val="21"/>
          <w:szCs w:val="21"/>
          <w:lang w:val="fr-FR"/>
        </w:rPr>
        <w:t> suit un </w:t>
      </w:r>
      <w:hyperlink r:id="rId20" w:tooltip="Mouvement brownien" w:history="1">
        <w:r w:rsidRPr="00CF4A7A">
          <w:rPr>
            <w:rFonts w:ascii="Arial" w:eastAsia="Times New Roman" w:hAnsi="Arial" w:cs="Arial"/>
            <w:color w:val="0B0080"/>
            <w:sz w:val="21"/>
            <w:szCs w:val="21"/>
            <w:lang w:val="fr-FR"/>
          </w:rPr>
          <w:t>mouvement brownien</w:t>
        </w:r>
      </w:hyperlink>
      <w:r w:rsidRPr="00CF4A7A">
        <w:rPr>
          <w:rFonts w:ascii="Arial" w:eastAsia="Times New Roman" w:hAnsi="Arial" w:cs="Arial"/>
          <w:color w:val="252525"/>
          <w:sz w:val="21"/>
          <w:szCs w:val="21"/>
          <w:lang w:val="fr-FR"/>
        </w:rPr>
        <w:t> géométrique avec une </w:t>
      </w:r>
      <w:hyperlink r:id="rId21" w:tooltip="Volatilité (finance)" w:history="1">
        <w:r w:rsidRPr="00CF4A7A">
          <w:rPr>
            <w:rFonts w:ascii="Arial" w:eastAsia="Times New Roman" w:hAnsi="Arial" w:cs="Arial"/>
            <w:color w:val="0B0080"/>
            <w:sz w:val="21"/>
            <w:szCs w:val="21"/>
            <w:lang w:val="fr-FR"/>
          </w:rPr>
          <w:t>volatilité</w:t>
        </w:r>
      </w:hyperlink>
      <w:r w:rsidRPr="00CF4A7A">
        <w:rPr>
          <w:rFonts w:ascii="Arial" w:eastAsia="Times New Roman" w:hAnsi="Arial" w:cs="Arial"/>
          <w:color w:val="252525"/>
          <w:sz w:val="21"/>
          <w:szCs w:val="21"/>
          <w:lang w:val="fr-FR"/>
        </w:rPr>
        <w:t> </w:t>
      </w:r>
      <w:r w:rsidRPr="00CF4A7A">
        <w:rPr>
          <w:rFonts w:ascii="Arial" w:eastAsia="Times New Roman" w:hAnsi="Arial" w:cs="Arial"/>
          <w:vanish/>
          <w:color w:val="252525"/>
          <w:sz w:val="21"/>
          <w:szCs w:val="21"/>
          <w:lang w:val="fr-FR"/>
        </w:rPr>
        <w:t>{\displaystyle \sigma }</w:t>
      </w:r>
      <w:r w:rsidRPr="00CF4A7A">
        <w:rPr>
          <w:rFonts w:ascii="Arial" w:eastAsia="Times New Roman" w:hAnsi="Arial" w:cs="Arial"/>
          <w:color w:val="252525"/>
          <w:sz w:val="21"/>
          <w:szCs w:val="21"/>
          <w:lang w:val="fr-FR"/>
        </w:rPr>
        <w:t>constante et une dérive </w:t>
      </w:r>
      <w:r w:rsidRPr="00CF4A7A">
        <w:rPr>
          <w:rFonts w:ascii="Arial" w:eastAsia="Times New Roman" w:hAnsi="Arial" w:cs="Arial"/>
          <w:vanish/>
          <w:color w:val="252525"/>
          <w:sz w:val="21"/>
          <w:szCs w:val="21"/>
          <w:lang w:val="fr-FR"/>
        </w:rPr>
        <w:t xml:space="preserve">{\displaystyle \mu } </w:t>
      </w:r>
      <w:r w:rsidRPr="00CF4A7A">
        <w:rPr>
          <w:rFonts w:ascii="Arial" w:eastAsia="Times New Roman" w:hAnsi="Arial" w:cs="Arial"/>
          <w:color w:val="252525"/>
          <w:sz w:val="21"/>
          <w:szCs w:val="21"/>
          <w:lang w:val="fr-FR"/>
        </w:rPr>
        <w:t>constante</w:t>
      </w:r>
      <w:r w:rsidRPr="00CF4A7A">
        <w:rPr>
          <w:rFonts w:ascii="Arial" w:eastAsia="Times New Roman" w:hAnsi="Arial" w:cs="Arial"/>
          <w:vanish/>
          <w:color w:val="252525"/>
          <w:sz w:val="21"/>
          <w:szCs w:val="21"/>
          <w:lang w:val="fr-FR"/>
        </w:rPr>
        <w:t>{\displaystyle dS_{t}=\mu S_{t}\,dt+\sigma S_{t}\,dW_{t}\,}</w:t>
      </w:r>
      <w:r w:rsidRPr="00CF4A7A">
        <w:rPr>
          <w:rFonts w:ascii="Arial" w:eastAsia="Times New Roman" w:hAnsi="Arial" w:cs="Arial"/>
          <w:color w:val="252525"/>
          <w:sz w:val="21"/>
          <w:szCs w:val="21"/>
          <w:lang w:val="fr-FR"/>
        </w:rPr>
        <w:t>, où </w:t>
      </w:r>
      <w:r w:rsidRPr="00CF4A7A">
        <w:rPr>
          <w:rFonts w:ascii="Arial" w:eastAsia="Times New Roman" w:hAnsi="Arial" w:cs="Arial"/>
          <w:vanish/>
          <w:color w:val="252525"/>
          <w:sz w:val="21"/>
          <w:szCs w:val="21"/>
          <w:lang w:val="fr-FR"/>
        </w:rPr>
        <w:t>{\displaystyle W_{t}\,}</w:t>
      </w:r>
      <w:r w:rsidRPr="00CF4A7A">
        <w:rPr>
          <w:rFonts w:ascii="Arial" w:eastAsia="Times New Roman" w:hAnsi="Arial" w:cs="Arial"/>
          <w:color w:val="252525"/>
          <w:sz w:val="21"/>
          <w:szCs w:val="21"/>
          <w:lang w:val="fr-FR"/>
        </w:rPr>
        <w:t> est un </w:t>
      </w:r>
      <w:hyperlink r:id="rId22" w:tooltip="Processus de Wiener" w:history="1">
        <w:r w:rsidRPr="00CF4A7A">
          <w:rPr>
            <w:rFonts w:ascii="Arial" w:eastAsia="Times New Roman" w:hAnsi="Arial" w:cs="Arial"/>
            <w:color w:val="0B0080"/>
            <w:sz w:val="21"/>
            <w:szCs w:val="21"/>
            <w:lang w:val="fr-FR"/>
          </w:rPr>
          <w:t>processus de Wiener</w:t>
        </w:r>
      </w:hyperlink>
      <w:r w:rsidRPr="00CF4A7A">
        <w:rPr>
          <w:rFonts w:ascii="Arial" w:eastAsia="Times New Roman" w:hAnsi="Arial" w:cs="Arial"/>
          <w:color w:val="252525"/>
          <w:sz w:val="21"/>
          <w:szCs w:val="21"/>
          <w:lang w:val="fr-FR"/>
        </w:rPr>
        <w:t>.</w:t>
      </w:r>
    </w:p>
    <w:p w:rsidR="00CF4A7A" w:rsidRPr="00CF4A7A" w:rsidRDefault="00CF4A7A" w:rsidP="00CF4A7A">
      <w:pPr>
        <w:numPr>
          <w:ilvl w:val="0"/>
          <w:numId w:val="3"/>
        </w:numPr>
        <w:shd w:val="clear" w:color="auto" w:fill="FFFFFF"/>
        <w:spacing w:before="100" w:beforeAutospacing="1" w:after="24" w:line="336" w:lineRule="atLeast"/>
        <w:ind w:left="768"/>
        <w:rPr>
          <w:rFonts w:ascii="Arial" w:eastAsia="Times New Roman" w:hAnsi="Arial" w:cs="Arial"/>
          <w:color w:val="252525"/>
          <w:sz w:val="21"/>
          <w:szCs w:val="21"/>
          <w:lang w:val="fr-FR"/>
        </w:rPr>
      </w:pPr>
      <w:r w:rsidRPr="00CF4A7A">
        <w:rPr>
          <w:rFonts w:ascii="Arial" w:eastAsia="Times New Roman" w:hAnsi="Arial" w:cs="Arial"/>
          <w:color w:val="252525"/>
          <w:sz w:val="21"/>
          <w:szCs w:val="21"/>
          <w:lang w:val="fr-FR"/>
        </w:rPr>
        <w:lastRenderedPageBreak/>
        <w:t>il n'y a pas d'opportunités d'arbitrage,</w:t>
      </w:r>
    </w:p>
    <w:p w:rsidR="00CF4A7A" w:rsidRPr="00CF4A7A" w:rsidRDefault="00CF4A7A" w:rsidP="00CF4A7A">
      <w:pPr>
        <w:numPr>
          <w:ilvl w:val="0"/>
          <w:numId w:val="3"/>
        </w:numPr>
        <w:shd w:val="clear" w:color="auto" w:fill="FFFFFF"/>
        <w:spacing w:before="100" w:beforeAutospacing="1" w:after="24" w:line="336" w:lineRule="atLeast"/>
        <w:ind w:left="768"/>
        <w:rPr>
          <w:rFonts w:ascii="Arial" w:eastAsia="Times New Roman" w:hAnsi="Arial" w:cs="Arial"/>
          <w:color w:val="252525"/>
          <w:sz w:val="21"/>
          <w:szCs w:val="21"/>
          <w:lang w:val="fr-FR"/>
        </w:rPr>
      </w:pPr>
      <w:r w:rsidRPr="00CF4A7A">
        <w:rPr>
          <w:rFonts w:ascii="Arial" w:eastAsia="Times New Roman" w:hAnsi="Arial" w:cs="Arial"/>
          <w:color w:val="252525"/>
          <w:sz w:val="21"/>
          <w:szCs w:val="21"/>
          <w:lang w:val="fr-FR"/>
        </w:rPr>
        <w:t>le temps est une </w:t>
      </w:r>
      <w:hyperlink r:id="rId23" w:tooltip="Fonction continue" w:history="1">
        <w:r w:rsidRPr="00CF4A7A">
          <w:rPr>
            <w:rFonts w:ascii="Arial" w:eastAsia="Times New Roman" w:hAnsi="Arial" w:cs="Arial"/>
            <w:color w:val="0B0080"/>
            <w:sz w:val="21"/>
            <w:szCs w:val="21"/>
            <w:lang w:val="fr-FR"/>
          </w:rPr>
          <w:t>fonction continue</w:t>
        </w:r>
      </w:hyperlink>
      <w:r w:rsidRPr="00CF4A7A">
        <w:rPr>
          <w:rFonts w:ascii="Arial" w:eastAsia="Times New Roman" w:hAnsi="Arial" w:cs="Arial"/>
          <w:color w:val="252525"/>
          <w:sz w:val="21"/>
          <w:szCs w:val="21"/>
          <w:lang w:val="fr-FR"/>
        </w:rPr>
        <w:t>,</w:t>
      </w:r>
    </w:p>
    <w:p w:rsidR="00CF4A7A" w:rsidRPr="00CF4A7A" w:rsidRDefault="00CF4A7A" w:rsidP="00CF4A7A">
      <w:pPr>
        <w:numPr>
          <w:ilvl w:val="0"/>
          <w:numId w:val="3"/>
        </w:numPr>
        <w:shd w:val="clear" w:color="auto" w:fill="FFFFFF"/>
        <w:spacing w:before="100" w:beforeAutospacing="1" w:after="24" w:line="336" w:lineRule="atLeast"/>
        <w:ind w:left="768"/>
        <w:rPr>
          <w:rFonts w:ascii="Arial" w:eastAsia="Times New Roman" w:hAnsi="Arial" w:cs="Arial"/>
          <w:color w:val="252525"/>
          <w:sz w:val="21"/>
          <w:szCs w:val="21"/>
          <w:lang w:val="fr-FR"/>
        </w:rPr>
      </w:pPr>
      <w:r w:rsidRPr="00CF4A7A">
        <w:rPr>
          <w:rFonts w:ascii="Arial" w:eastAsia="Times New Roman" w:hAnsi="Arial" w:cs="Arial"/>
          <w:color w:val="252525"/>
          <w:sz w:val="21"/>
          <w:szCs w:val="21"/>
          <w:lang w:val="fr-FR"/>
        </w:rPr>
        <w:t>il est possible d'effectuer des </w:t>
      </w:r>
      <w:hyperlink r:id="rId24" w:tooltip="Vente à découvert" w:history="1">
        <w:r w:rsidRPr="00CF4A7A">
          <w:rPr>
            <w:rFonts w:ascii="Arial" w:eastAsia="Times New Roman" w:hAnsi="Arial" w:cs="Arial"/>
            <w:color w:val="0B0080"/>
            <w:sz w:val="21"/>
            <w:szCs w:val="21"/>
            <w:lang w:val="fr-FR"/>
          </w:rPr>
          <w:t>ventes à découvert</w:t>
        </w:r>
      </w:hyperlink>
      <w:r w:rsidRPr="00CF4A7A">
        <w:rPr>
          <w:rFonts w:ascii="Arial" w:eastAsia="Times New Roman" w:hAnsi="Arial" w:cs="Arial"/>
          <w:color w:val="252525"/>
          <w:sz w:val="21"/>
          <w:szCs w:val="21"/>
          <w:lang w:val="fr-FR"/>
        </w:rPr>
        <w:t>,</w:t>
      </w:r>
    </w:p>
    <w:p w:rsidR="00CF4A7A" w:rsidRPr="00CF4A7A" w:rsidRDefault="00CF4A7A" w:rsidP="00CF4A7A">
      <w:pPr>
        <w:numPr>
          <w:ilvl w:val="0"/>
          <w:numId w:val="3"/>
        </w:numPr>
        <w:shd w:val="clear" w:color="auto" w:fill="FFFFFF"/>
        <w:spacing w:before="100" w:beforeAutospacing="1" w:after="24" w:line="336" w:lineRule="atLeast"/>
        <w:ind w:left="768"/>
        <w:rPr>
          <w:rFonts w:ascii="Arial" w:eastAsia="Times New Roman" w:hAnsi="Arial" w:cs="Arial"/>
          <w:color w:val="252525"/>
          <w:sz w:val="21"/>
          <w:szCs w:val="21"/>
          <w:lang w:val="fr-FR"/>
        </w:rPr>
      </w:pPr>
      <w:r w:rsidRPr="00CF4A7A">
        <w:rPr>
          <w:rFonts w:ascii="Arial" w:eastAsia="Times New Roman" w:hAnsi="Arial" w:cs="Arial"/>
          <w:color w:val="252525"/>
          <w:sz w:val="21"/>
          <w:szCs w:val="21"/>
          <w:lang w:val="fr-FR"/>
        </w:rPr>
        <w:t>il n'y a pas de coûts de transactions,</w:t>
      </w:r>
    </w:p>
    <w:p w:rsidR="00CF4A7A" w:rsidRPr="00CF4A7A" w:rsidRDefault="00CF4A7A" w:rsidP="00CF4A7A">
      <w:pPr>
        <w:numPr>
          <w:ilvl w:val="0"/>
          <w:numId w:val="3"/>
        </w:numPr>
        <w:shd w:val="clear" w:color="auto" w:fill="FFFFFF"/>
        <w:spacing w:before="100" w:beforeAutospacing="1" w:after="24" w:line="336" w:lineRule="atLeast"/>
        <w:ind w:left="768"/>
        <w:rPr>
          <w:rFonts w:ascii="Arial" w:eastAsia="Times New Roman" w:hAnsi="Arial" w:cs="Arial"/>
          <w:color w:val="252525"/>
          <w:sz w:val="21"/>
          <w:szCs w:val="21"/>
          <w:lang w:val="fr-FR"/>
        </w:rPr>
      </w:pPr>
      <w:r w:rsidRPr="00CF4A7A">
        <w:rPr>
          <w:rFonts w:ascii="Arial" w:eastAsia="Times New Roman" w:hAnsi="Arial" w:cs="Arial"/>
          <w:color w:val="252525"/>
          <w:sz w:val="21"/>
          <w:szCs w:val="21"/>
          <w:lang w:val="fr-FR"/>
        </w:rPr>
        <w:t>il existe un </w:t>
      </w:r>
      <w:hyperlink r:id="rId25" w:tooltip="Taux sans risque" w:history="1">
        <w:r w:rsidRPr="00CF4A7A">
          <w:rPr>
            <w:rFonts w:ascii="Arial" w:eastAsia="Times New Roman" w:hAnsi="Arial" w:cs="Arial"/>
            <w:color w:val="0B0080"/>
            <w:sz w:val="21"/>
            <w:szCs w:val="21"/>
            <w:lang w:val="fr-FR"/>
          </w:rPr>
          <w:t>taux d'intérêt sans risque</w:t>
        </w:r>
      </w:hyperlink>
      <w:r w:rsidRPr="00CF4A7A">
        <w:rPr>
          <w:rFonts w:ascii="Arial" w:eastAsia="Times New Roman" w:hAnsi="Arial" w:cs="Arial"/>
          <w:color w:val="252525"/>
          <w:sz w:val="21"/>
          <w:szCs w:val="21"/>
          <w:lang w:val="fr-FR"/>
        </w:rPr>
        <w:t>, connu à l'avance et constant,</w:t>
      </w:r>
    </w:p>
    <w:p w:rsidR="00CF4A7A" w:rsidRPr="00CF4A7A" w:rsidRDefault="00CF4A7A" w:rsidP="00CF4A7A">
      <w:pPr>
        <w:numPr>
          <w:ilvl w:val="0"/>
          <w:numId w:val="3"/>
        </w:numPr>
        <w:shd w:val="clear" w:color="auto" w:fill="FFFFFF"/>
        <w:spacing w:before="100" w:beforeAutospacing="1" w:after="24" w:line="336" w:lineRule="atLeast"/>
        <w:ind w:left="768"/>
        <w:rPr>
          <w:rFonts w:ascii="Arial" w:eastAsia="Times New Roman" w:hAnsi="Arial" w:cs="Arial"/>
          <w:color w:val="252525"/>
          <w:sz w:val="21"/>
          <w:szCs w:val="21"/>
          <w:lang w:val="fr-FR"/>
        </w:rPr>
      </w:pPr>
      <w:r w:rsidRPr="00CF4A7A">
        <w:rPr>
          <w:rFonts w:ascii="Arial" w:eastAsia="Times New Roman" w:hAnsi="Arial" w:cs="Arial"/>
          <w:color w:val="252525"/>
          <w:sz w:val="21"/>
          <w:szCs w:val="21"/>
          <w:lang w:val="fr-FR"/>
        </w:rPr>
        <w:t>tous les sous-jacents sont parfaitement divisibles (on peut par exemple acheter 1/100</w:t>
      </w:r>
      <w:r w:rsidRPr="00CF4A7A">
        <w:rPr>
          <w:rFonts w:ascii="Arial" w:eastAsia="Times New Roman" w:hAnsi="Arial" w:cs="Arial"/>
          <w:color w:val="252525"/>
          <w:sz w:val="21"/>
          <w:szCs w:val="21"/>
          <w:vertAlign w:val="superscript"/>
          <w:lang w:val="fr-FR"/>
        </w:rPr>
        <w:t>e</w:t>
      </w:r>
      <w:r w:rsidRPr="00CF4A7A">
        <w:rPr>
          <w:rFonts w:ascii="Arial" w:eastAsia="Times New Roman" w:hAnsi="Arial" w:cs="Arial"/>
          <w:color w:val="252525"/>
          <w:sz w:val="21"/>
          <w:szCs w:val="21"/>
          <w:lang w:val="fr-FR"/>
        </w:rPr>
        <w:t> d'action),</w:t>
      </w:r>
    </w:p>
    <w:p w:rsidR="00CF4A7A" w:rsidRPr="00CF4A7A" w:rsidRDefault="00CF4A7A" w:rsidP="00CF4A7A">
      <w:pPr>
        <w:numPr>
          <w:ilvl w:val="0"/>
          <w:numId w:val="3"/>
        </w:numPr>
        <w:shd w:val="clear" w:color="auto" w:fill="FFFFFF"/>
        <w:spacing w:before="100" w:beforeAutospacing="1" w:after="24" w:line="336" w:lineRule="atLeast"/>
        <w:ind w:left="768"/>
        <w:rPr>
          <w:rFonts w:ascii="Arial" w:eastAsia="Times New Roman" w:hAnsi="Arial" w:cs="Arial"/>
          <w:color w:val="252525"/>
          <w:sz w:val="21"/>
          <w:szCs w:val="21"/>
          <w:lang w:val="fr-FR"/>
        </w:rPr>
      </w:pPr>
      <w:r w:rsidRPr="00CF4A7A">
        <w:rPr>
          <w:rFonts w:ascii="Arial" w:eastAsia="Times New Roman" w:hAnsi="Arial" w:cs="Arial"/>
          <w:color w:val="252525"/>
          <w:sz w:val="21"/>
          <w:szCs w:val="21"/>
          <w:lang w:val="fr-FR"/>
        </w:rPr>
        <w:t>dans le cas d'une action, celle-ci ne paie pas de </w:t>
      </w:r>
      <w:hyperlink r:id="rId26" w:tooltip="Dividende" w:history="1">
        <w:r w:rsidRPr="00CF4A7A">
          <w:rPr>
            <w:rFonts w:ascii="Arial" w:eastAsia="Times New Roman" w:hAnsi="Arial" w:cs="Arial"/>
            <w:color w:val="0B0080"/>
            <w:sz w:val="21"/>
            <w:szCs w:val="21"/>
            <w:lang w:val="fr-FR"/>
          </w:rPr>
          <w:t>dividendes</w:t>
        </w:r>
      </w:hyperlink>
      <w:r w:rsidRPr="00CF4A7A">
        <w:rPr>
          <w:rFonts w:ascii="Arial" w:eastAsia="Times New Roman" w:hAnsi="Arial" w:cs="Arial"/>
          <w:color w:val="252525"/>
          <w:sz w:val="21"/>
          <w:szCs w:val="21"/>
          <w:lang w:val="fr-FR"/>
        </w:rPr>
        <w:t> entre le moment de l'évaluation de l'option et l'échéance de celle-ci.</w:t>
      </w:r>
    </w:p>
    <w:p w:rsidR="00CF4A7A" w:rsidRDefault="00CF4A7A">
      <w:pPr>
        <w:rPr>
          <w:lang w:val="fr-FR"/>
        </w:rPr>
      </w:pPr>
    </w:p>
    <w:p w:rsidR="00D03A03" w:rsidRDefault="00D03A03">
      <w:pPr>
        <w:rPr>
          <w:rFonts w:ascii="Arial" w:hAnsi="Arial" w:cs="Arial"/>
          <w:color w:val="252525"/>
          <w:sz w:val="21"/>
          <w:szCs w:val="21"/>
          <w:shd w:val="clear" w:color="auto" w:fill="FFFFFF"/>
          <w:lang w:val="fr-FR"/>
        </w:rPr>
      </w:pPr>
      <w:r w:rsidRPr="00D03A03">
        <w:rPr>
          <w:rFonts w:ascii="Arial" w:hAnsi="Arial" w:cs="Arial"/>
          <w:color w:val="252525"/>
          <w:sz w:val="21"/>
          <w:szCs w:val="21"/>
          <w:shd w:val="clear" w:color="auto" w:fill="FFFFFF"/>
          <w:lang w:val="fr-FR"/>
        </w:rPr>
        <w:t>Une</w:t>
      </w:r>
      <w:r w:rsidRPr="00D03A03">
        <w:rPr>
          <w:rStyle w:val="apple-converted-space"/>
          <w:rFonts w:ascii="Arial" w:hAnsi="Arial" w:cs="Arial"/>
          <w:color w:val="252525"/>
          <w:sz w:val="21"/>
          <w:szCs w:val="21"/>
          <w:shd w:val="clear" w:color="auto" w:fill="FFFFFF"/>
          <w:lang w:val="fr-FR"/>
        </w:rPr>
        <w:t> </w:t>
      </w:r>
      <w:r w:rsidRPr="00D03A03">
        <w:rPr>
          <w:rFonts w:ascii="Arial" w:hAnsi="Arial" w:cs="Arial"/>
          <w:b/>
          <w:bCs/>
          <w:color w:val="252525"/>
          <w:sz w:val="21"/>
          <w:szCs w:val="21"/>
          <w:shd w:val="clear" w:color="auto" w:fill="FFFFFF"/>
          <w:lang w:val="fr-FR"/>
        </w:rPr>
        <w:t>obligation</w:t>
      </w:r>
      <w:r w:rsidRPr="00D03A03">
        <w:rPr>
          <w:rStyle w:val="apple-converted-space"/>
          <w:rFonts w:ascii="Arial" w:hAnsi="Arial" w:cs="Arial"/>
          <w:color w:val="252525"/>
          <w:sz w:val="21"/>
          <w:szCs w:val="21"/>
          <w:shd w:val="clear" w:color="auto" w:fill="FFFFFF"/>
          <w:lang w:val="fr-FR"/>
        </w:rPr>
        <w:t> </w:t>
      </w:r>
      <w:r w:rsidRPr="00D03A03">
        <w:rPr>
          <w:rFonts w:ascii="Arial" w:hAnsi="Arial" w:cs="Arial"/>
          <w:color w:val="252525"/>
          <w:sz w:val="21"/>
          <w:szCs w:val="21"/>
          <w:shd w:val="clear" w:color="auto" w:fill="FFFFFF"/>
          <w:lang w:val="fr-FR"/>
        </w:rPr>
        <w:t>est une</w:t>
      </w:r>
      <w:r w:rsidRPr="00D03A03">
        <w:rPr>
          <w:rStyle w:val="apple-converted-space"/>
          <w:rFonts w:ascii="Arial" w:hAnsi="Arial" w:cs="Arial"/>
          <w:color w:val="252525"/>
          <w:sz w:val="21"/>
          <w:szCs w:val="21"/>
          <w:shd w:val="clear" w:color="auto" w:fill="FFFFFF"/>
          <w:lang w:val="fr-FR"/>
        </w:rPr>
        <w:t> </w:t>
      </w:r>
      <w:hyperlink r:id="rId27" w:tooltip="Valeur mobilière" w:history="1">
        <w:r w:rsidRPr="00D03A03">
          <w:rPr>
            <w:rStyle w:val="Hyperlink"/>
            <w:rFonts w:ascii="Arial" w:hAnsi="Arial" w:cs="Arial"/>
            <w:color w:val="0B0080"/>
            <w:sz w:val="21"/>
            <w:szCs w:val="21"/>
            <w:shd w:val="clear" w:color="auto" w:fill="FFFFFF"/>
            <w:lang w:val="fr-FR"/>
          </w:rPr>
          <w:t>valeur mobilière</w:t>
        </w:r>
      </w:hyperlink>
      <w:r w:rsidRPr="00D03A03">
        <w:rPr>
          <w:rStyle w:val="apple-converted-space"/>
          <w:rFonts w:ascii="Arial" w:hAnsi="Arial" w:cs="Arial"/>
          <w:color w:val="252525"/>
          <w:sz w:val="21"/>
          <w:szCs w:val="21"/>
          <w:shd w:val="clear" w:color="auto" w:fill="FFFFFF"/>
          <w:lang w:val="fr-FR"/>
        </w:rPr>
        <w:t> </w:t>
      </w:r>
      <w:r w:rsidRPr="00D03A03">
        <w:rPr>
          <w:rFonts w:ascii="Arial" w:hAnsi="Arial" w:cs="Arial"/>
          <w:color w:val="252525"/>
          <w:sz w:val="21"/>
          <w:szCs w:val="21"/>
          <w:shd w:val="clear" w:color="auto" w:fill="FFFFFF"/>
          <w:lang w:val="fr-FR"/>
        </w:rPr>
        <w:t>qui constitue une</w:t>
      </w:r>
      <w:r w:rsidRPr="00D03A03">
        <w:rPr>
          <w:rStyle w:val="apple-converted-space"/>
          <w:rFonts w:ascii="Arial" w:hAnsi="Arial" w:cs="Arial"/>
          <w:color w:val="252525"/>
          <w:sz w:val="21"/>
          <w:szCs w:val="21"/>
          <w:shd w:val="clear" w:color="auto" w:fill="FFFFFF"/>
          <w:lang w:val="fr-FR"/>
        </w:rPr>
        <w:t> </w:t>
      </w:r>
      <w:r w:rsidRPr="00D03A03">
        <w:rPr>
          <w:rFonts w:ascii="Arial" w:hAnsi="Arial" w:cs="Arial"/>
          <w:b/>
          <w:bCs/>
          <w:color w:val="252525"/>
          <w:sz w:val="21"/>
          <w:szCs w:val="21"/>
          <w:shd w:val="clear" w:color="auto" w:fill="FFFFFF"/>
          <w:lang w:val="fr-FR"/>
        </w:rPr>
        <w:t>créance</w:t>
      </w:r>
      <w:r w:rsidRPr="00D03A03">
        <w:rPr>
          <w:rStyle w:val="apple-converted-space"/>
          <w:rFonts w:ascii="Arial" w:hAnsi="Arial" w:cs="Arial"/>
          <w:color w:val="252525"/>
          <w:sz w:val="21"/>
          <w:szCs w:val="21"/>
          <w:shd w:val="clear" w:color="auto" w:fill="FFFFFF"/>
          <w:lang w:val="fr-FR"/>
        </w:rPr>
        <w:t> </w:t>
      </w:r>
      <w:r w:rsidRPr="00D03A03">
        <w:rPr>
          <w:rFonts w:ascii="Arial" w:hAnsi="Arial" w:cs="Arial"/>
          <w:color w:val="252525"/>
          <w:sz w:val="21"/>
          <w:szCs w:val="21"/>
          <w:shd w:val="clear" w:color="auto" w:fill="FFFFFF"/>
          <w:lang w:val="fr-FR"/>
        </w:rPr>
        <w:t>sur son émetteur, elle est donc représentative d'une dette financière à moyen, long terme, parfois même à perpétuité. Cette dette est émise dans une devise donnée, pour une durée définie et elle donne droit au paiement d'un intérêt fixe ou variable, appelé coupon qui est parfois capitalisé jusqu'à sa maturité</w:t>
      </w:r>
    </w:p>
    <w:p w:rsidR="00D03A03" w:rsidRDefault="00D03A03">
      <w:pPr>
        <w:rPr>
          <w:rFonts w:ascii="Arial" w:hAnsi="Arial" w:cs="Arial"/>
          <w:color w:val="252525"/>
          <w:sz w:val="21"/>
          <w:szCs w:val="21"/>
          <w:shd w:val="clear" w:color="auto" w:fill="FFFFFF"/>
          <w:lang w:val="fr-FR"/>
        </w:rPr>
      </w:pPr>
      <w:r w:rsidRPr="00D03A03">
        <w:rPr>
          <w:rFonts w:ascii="Arial" w:hAnsi="Arial" w:cs="Arial"/>
          <w:color w:val="252525"/>
          <w:sz w:val="21"/>
          <w:szCs w:val="21"/>
          <w:shd w:val="clear" w:color="auto" w:fill="FFFFFF"/>
          <w:lang w:val="fr-FR"/>
        </w:rPr>
        <w:t>L'émetteur d'une obligation est l'emprunteur, le souscripteur ou le porteur d'une obligation, le créancier</w:t>
      </w:r>
    </w:p>
    <w:p w:rsidR="00D03A03" w:rsidRDefault="00D03A03">
      <w:pPr>
        <w:rPr>
          <w:rFonts w:ascii="Arial" w:hAnsi="Arial" w:cs="Arial"/>
          <w:color w:val="252525"/>
          <w:sz w:val="21"/>
          <w:szCs w:val="21"/>
          <w:shd w:val="clear" w:color="auto" w:fill="FFFFFF"/>
          <w:lang w:val="fr-FR"/>
        </w:rPr>
      </w:pPr>
    </w:p>
    <w:p w:rsidR="00842387" w:rsidRDefault="00842387">
      <w:pPr>
        <w:rPr>
          <w:rFonts w:ascii="Arial" w:hAnsi="Arial" w:cs="Arial"/>
          <w:color w:val="252525"/>
          <w:sz w:val="21"/>
          <w:szCs w:val="21"/>
          <w:shd w:val="clear" w:color="auto" w:fill="FFFFFF"/>
          <w:lang w:val="fr-FR"/>
        </w:rPr>
      </w:pPr>
      <w:r w:rsidRPr="00842387">
        <w:rPr>
          <w:color w:val="000000"/>
          <w:sz w:val="23"/>
          <w:szCs w:val="23"/>
          <w:shd w:val="clear" w:color="auto" w:fill="CCCCCC"/>
          <w:lang w:val="fr-FR"/>
        </w:rPr>
        <w:t>Une option européenne est un contrat donnant le droit et non l'obligation d'acheter (Call) ou de vendre (Put) un sous-jacent à un prix (le strike) et à une date (la maturité) convenus à l'avance.</w:t>
      </w:r>
      <w:r w:rsidRPr="00842387">
        <w:rPr>
          <w:rStyle w:val="apple-converted-space"/>
          <w:color w:val="000000"/>
          <w:sz w:val="23"/>
          <w:szCs w:val="23"/>
          <w:shd w:val="clear" w:color="auto" w:fill="CCCCCC"/>
          <w:lang w:val="fr-FR"/>
        </w:rPr>
        <w:t> </w:t>
      </w:r>
      <w:r w:rsidRPr="00842387">
        <w:rPr>
          <w:color w:val="000000"/>
          <w:sz w:val="23"/>
          <w:szCs w:val="23"/>
          <w:lang w:val="fr-FR"/>
        </w:rPr>
        <w:br/>
      </w:r>
      <w:r w:rsidRPr="00842387">
        <w:rPr>
          <w:color w:val="000000"/>
          <w:sz w:val="23"/>
          <w:szCs w:val="23"/>
          <w:shd w:val="clear" w:color="auto" w:fill="CCCCCC"/>
          <w:lang w:val="fr-FR"/>
        </w:rPr>
        <w:t>Ainsi, le détenteur d'un Call à maturité reçoit le flux :</w:t>
      </w:r>
      <w:r w:rsidRPr="00842387">
        <w:rPr>
          <w:rStyle w:val="apple-converted-space"/>
          <w:color w:val="000000"/>
          <w:sz w:val="23"/>
          <w:szCs w:val="23"/>
          <w:shd w:val="clear" w:color="auto" w:fill="CCCCCC"/>
          <w:lang w:val="fr-FR"/>
        </w:rPr>
        <w:t> </w:t>
      </w:r>
      <w:r>
        <w:rPr>
          <w:noProof/>
        </w:rPr>
        <w:drawing>
          <wp:inline distT="0" distB="0" distL="0" distR="0">
            <wp:extent cx="1059180" cy="160020"/>
            <wp:effectExtent l="0" t="0" r="7620" b="0"/>
            <wp:docPr id="16" name="Picture 16" descr="http://perso.telecom-paristech.fr/~decreuse/pricer/formules/payoff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perso.telecom-paristech.fr/~decreuse/pricer/formules/payoffCal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59180" cy="160020"/>
                    </a:xfrm>
                    <a:prstGeom prst="rect">
                      <a:avLst/>
                    </a:prstGeom>
                    <a:noFill/>
                    <a:ln>
                      <a:noFill/>
                    </a:ln>
                  </pic:spPr>
                </pic:pic>
              </a:graphicData>
            </a:graphic>
          </wp:inline>
        </w:drawing>
      </w:r>
      <w:r w:rsidRPr="00842387">
        <w:rPr>
          <w:color w:val="000000"/>
          <w:sz w:val="23"/>
          <w:szCs w:val="23"/>
          <w:lang w:val="fr-FR"/>
        </w:rPr>
        <w:br/>
      </w:r>
      <w:r w:rsidRPr="00842387">
        <w:rPr>
          <w:color w:val="000000"/>
          <w:sz w:val="23"/>
          <w:szCs w:val="23"/>
          <w:shd w:val="clear" w:color="auto" w:fill="CCCCCC"/>
          <w:lang w:val="fr-FR"/>
        </w:rPr>
        <w:t>Où K est le strike et</w:t>
      </w:r>
      <w:r w:rsidRPr="00842387">
        <w:rPr>
          <w:rStyle w:val="apple-converted-space"/>
          <w:color w:val="000000"/>
          <w:sz w:val="23"/>
          <w:szCs w:val="23"/>
          <w:shd w:val="clear" w:color="auto" w:fill="CCCCCC"/>
          <w:lang w:val="fr-FR"/>
        </w:rPr>
        <w:t> </w:t>
      </w:r>
      <w:r>
        <w:rPr>
          <w:noProof/>
        </w:rPr>
        <w:drawing>
          <wp:inline distT="0" distB="0" distL="0" distR="0">
            <wp:extent cx="160020" cy="137160"/>
            <wp:effectExtent l="0" t="0" r="0" b="0"/>
            <wp:docPr id="15" name="Picture 15" descr="http://perso.telecom-paristech.fr/~decreuse/pricer/formules/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erso.telecom-paristech.fr/~decreuse/pricer/formules/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020" cy="137160"/>
                    </a:xfrm>
                    <a:prstGeom prst="rect">
                      <a:avLst/>
                    </a:prstGeom>
                    <a:noFill/>
                    <a:ln>
                      <a:noFill/>
                    </a:ln>
                  </pic:spPr>
                </pic:pic>
              </a:graphicData>
            </a:graphic>
          </wp:inline>
        </w:drawing>
      </w:r>
      <w:r w:rsidRPr="00842387">
        <w:rPr>
          <w:rStyle w:val="apple-converted-space"/>
          <w:color w:val="000000"/>
          <w:sz w:val="23"/>
          <w:szCs w:val="23"/>
          <w:shd w:val="clear" w:color="auto" w:fill="CCCCCC"/>
          <w:lang w:val="fr-FR"/>
        </w:rPr>
        <w:t> </w:t>
      </w:r>
      <w:r w:rsidRPr="00842387">
        <w:rPr>
          <w:color w:val="000000"/>
          <w:sz w:val="23"/>
          <w:szCs w:val="23"/>
          <w:shd w:val="clear" w:color="auto" w:fill="CCCCCC"/>
          <w:lang w:val="fr-FR"/>
        </w:rPr>
        <w:t>est le prix du sous-jacent à la maturité T.</w:t>
      </w:r>
      <w:r w:rsidRPr="00842387">
        <w:rPr>
          <w:color w:val="000000"/>
          <w:sz w:val="23"/>
          <w:szCs w:val="23"/>
          <w:lang w:val="fr-FR"/>
        </w:rPr>
        <w:br/>
      </w:r>
      <w:r w:rsidRPr="00842387">
        <w:rPr>
          <w:color w:val="000000"/>
          <w:sz w:val="23"/>
          <w:szCs w:val="23"/>
          <w:shd w:val="clear" w:color="auto" w:fill="CCCCCC"/>
          <w:lang w:val="fr-FR"/>
        </w:rPr>
        <w:t>De même, le détenteur d'un Put à maturité reçoit le flux :</w:t>
      </w:r>
      <w:r w:rsidRPr="00842387">
        <w:rPr>
          <w:rStyle w:val="apple-converted-space"/>
          <w:color w:val="000000"/>
          <w:sz w:val="23"/>
          <w:szCs w:val="23"/>
          <w:shd w:val="clear" w:color="auto" w:fill="CCCCCC"/>
          <w:lang w:val="fr-FR"/>
        </w:rPr>
        <w:t> </w:t>
      </w:r>
      <w:r>
        <w:rPr>
          <w:noProof/>
        </w:rPr>
        <w:drawing>
          <wp:inline distT="0" distB="0" distL="0" distR="0">
            <wp:extent cx="1066800" cy="160020"/>
            <wp:effectExtent l="0" t="0" r="0" b="0"/>
            <wp:docPr id="14" name="Picture 14" descr="http://perso.telecom-paristech.fr/~decreuse/pricer/formules/payoff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erso.telecom-paristech.fr/~decreuse/pricer/formules/payoffPu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66800" cy="160020"/>
                    </a:xfrm>
                    <a:prstGeom prst="rect">
                      <a:avLst/>
                    </a:prstGeom>
                    <a:noFill/>
                    <a:ln>
                      <a:noFill/>
                    </a:ln>
                  </pic:spPr>
                </pic:pic>
              </a:graphicData>
            </a:graphic>
          </wp:inline>
        </w:drawing>
      </w:r>
    </w:p>
    <w:p w:rsidR="00842387" w:rsidRDefault="00842387" w:rsidP="00D03A03">
      <w:pPr>
        <w:rPr>
          <w:sz w:val="28"/>
          <w:szCs w:val="28"/>
          <w:lang w:val="fr-FR"/>
        </w:rPr>
      </w:pPr>
    </w:p>
    <w:p w:rsidR="00842387" w:rsidRPr="00842387" w:rsidRDefault="00842387" w:rsidP="00D03A03">
      <w:pPr>
        <w:rPr>
          <w:sz w:val="28"/>
          <w:szCs w:val="28"/>
          <w:lang w:val="fr-FR"/>
        </w:rPr>
      </w:pPr>
      <w:r w:rsidRPr="00842387">
        <w:rPr>
          <w:color w:val="000000"/>
          <w:sz w:val="23"/>
          <w:szCs w:val="23"/>
          <w:shd w:val="clear" w:color="auto" w:fill="CCCCCC"/>
          <w:lang w:val="fr-FR"/>
        </w:rPr>
        <w:t>Les grecques s'en déduisent par simples dérivations.</w:t>
      </w:r>
      <w:r w:rsidRPr="00842387">
        <w:rPr>
          <w:color w:val="000000"/>
          <w:sz w:val="23"/>
          <w:szCs w:val="23"/>
          <w:lang w:val="fr-FR"/>
        </w:rPr>
        <w:br/>
      </w:r>
      <w:r w:rsidRPr="00842387">
        <w:rPr>
          <w:color w:val="000000"/>
          <w:sz w:val="23"/>
          <w:szCs w:val="23"/>
          <w:shd w:val="clear" w:color="auto" w:fill="CCCCCC"/>
          <w:lang w:val="fr-FR"/>
        </w:rPr>
        <w:t>Delta est la dérivée du prix de l'option par rapport au cours du sous-jacent.</w:t>
      </w:r>
      <w:r w:rsidRPr="00842387">
        <w:rPr>
          <w:color w:val="000000"/>
          <w:sz w:val="23"/>
          <w:szCs w:val="23"/>
          <w:lang w:val="fr-FR"/>
        </w:rPr>
        <w:br/>
      </w:r>
      <w:r w:rsidRPr="00842387">
        <w:rPr>
          <w:color w:val="000000"/>
          <w:sz w:val="23"/>
          <w:szCs w:val="23"/>
          <w:shd w:val="clear" w:color="auto" w:fill="CCCCCC"/>
          <w:lang w:val="fr-FR"/>
        </w:rPr>
        <w:t>Gamma est la dérivée seconde du prix de l'option par rapport au cours du sous-jacent.</w:t>
      </w:r>
      <w:r w:rsidRPr="00842387">
        <w:rPr>
          <w:color w:val="000000"/>
          <w:sz w:val="23"/>
          <w:szCs w:val="23"/>
          <w:lang w:val="fr-FR"/>
        </w:rPr>
        <w:br/>
      </w:r>
      <w:r w:rsidRPr="00842387">
        <w:rPr>
          <w:color w:val="000000"/>
          <w:sz w:val="23"/>
          <w:szCs w:val="23"/>
          <w:shd w:val="clear" w:color="auto" w:fill="CCCCCC"/>
          <w:lang w:val="fr-FR"/>
        </w:rPr>
        <w:t>Véga est la dérivée du prix de l'option par rapport à la volatilité du sous-jacent.</w:t>
      </w:r>
      <w:r w:rsidRPr="00842387">
        <w:rPr>
          <w:color w:val="000000"/>
          <w:sz w:val="23"/>
          <w:szCs w:val="23"/>
          <w:lang w:val="fr-FR"/>
        </w:rPr>
        <w:br/>
      </w:r>
      <w:r w:rsidRPr="00842387">
        <w:rPr>
          <w:color w:val="000000"/>
          <w:sz w:val="23"/>
          <w:szCs w:val="23"/>
          <w:shd w:val="clear" w:color="auto" w:fill="CCCCCC"/>
          <w:lang w:val="fr-FR"/>
        </w:rPr>
        <w:t>Théta est la dérivée du prix de l'option par rapport au temps.</w:t>
      </w:r>
      <w:r w:rsidRPr="00842387">
        <w:rPr>
          <w:color w:val="000000"/>
          <w:sz w:val="23"/>
          <w:szCs w:val="23"/>
          <w:lang w:val="fr-FR"/>
        </w:rPr>
        <w:br/>
      </w:r>
      <w:r w:rsidRPr="00842387">
        <w:rPr>
          <w:color w:val="000000"/>
          <w:sz w:val="23"/>
          <w:szCs w:val="23"/>
          <w:shd w:val="clear" w:color="auto" w:fill="CCCCCC"/>
          <w:lang w:val="fr-FR"/>
        </w:rPr>
        <w:t>Rho est la dérivée du prix de l'option par rapport au taux d'intérêt sans risque.</w:t>
      </w:r>
    </w:p>
    <w:p w:rsidR="00842387" w:rsidRDefault="00842387" w:rsidP="00D03A03">
      <w:pPr>
        <w:rPr>
          <w:sz w:val="28"/>
          <w:szCs w:val="28"/>
          <w:lang w:val="fr-FR"/>
        </w:rPr>
      </w:pPr>
    </w:p>
    <w:p w:rsidR="00842387" w:rsidRDefault="00842387" w:rsidP="00D03A03">
      <w:pPr>
        <w:rPr>
          <w:rStyle w:val="apple-converted-space"/>
          <w:color w:val="000000"/>
          <w:sz w:val="23"/>
          <w:szCs w:val="23"/>
          <w:shd w:val="clear" w:color="auto" w:fill="CCCCCC"/>
        </w:rPr>
      </w:pPr>
      <w:r w:rsidRPr="00842387">
        <w:rPr>
          <w:color w:val="000000"/>
          <w:sz w:val="23"/>
          <w:szCs w:val="23"/>
          <w:shd w:val="clear" w:color="auto" w:fill="CCCCCC"/>
          <w:lang w:val="fr-FR"/>
        </w:rPr>
        <w:t>Une option asiatique est un contrat qui promet à son détenteur, un capital à maturité lorsque la moyenne arithmétique des cours du sous-jacent (actions, taux d'intérêt,taux de change...) durant une période déterminée est en-dessous ou au-dessus d'un certain niveau prédéterminé à l'avance (le Strike ici fixe K).</w:t>
      </w:r>
      <w:r w:rsidRPr="00842387">
        <w:rPr>
          <w:color w:val="000000"/>
          <w:sz w:val="23"/>
          <w:szCs w:val="23"/>
          <w:lang w:val="fr-FR"/>
        </w:rPr>
        <w:br/>
      </w:r>
      <w:r w:rsidRPr="00842387">
        <w:rPr>
          <w:color w:val="000000"/>
          <w:sz w:val="23"/>
          <w:szCs w:val="23"/>
          <w:shd w:val="clear" w:color="auto" w:fill="CCCCCC"/>
          <w:lang w:val="fr-FR"/>
        </w:rPr>
        <w:t>Elle coûte moins cher que l'option vanille car la valeur moyenne d'un sous-jacent est moins volatile que sa valeur finale. Les cours sont relevés à des dates</w:t>
      </w:r>
      <w:r w:rsidRPr="00842387">
        <w:rPr>
          <w:rStyle w:val="apple-converted-space"/>
          <w:color w:val="000000"/>
          <w:sz w:val="23"/>
          <w:szCs w:val="23"/>
          <w:shd w:val="clear" w:color="auto" w:fill="CCCCCC"/>
          <w:lang w:val="fr-FR"/>
        </w:rPr>
        <w:t> </w:t>
      </w:r>
      <w:r>
        <w:rPr>
          <w:noProof/>
        </w:rPr>
        <w:drawing>
          <wp:inline distT="0" distB="0" distL="0" distR="0">
            <wp:extent cx="83820" cy="121920"/>
            <wp:effectExtent l="0" t="0" r="0" b="0"/>
            <wp:docPr id="20" name="Picture 20" descr="http://perso.telecom-paristech.fr/~decreuse/pricer/formule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perso.telecom-paristech.fr/~decreuse/pricer/formules/ti.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842387">
        <w:rPr>
          <w:rStyle w:val="apple-converted-space"/>
          <w:color w:val="000000"/>
          <w:sz w:val="23"/>
          <w:szCs w:val="23"/>
          <w:shd w:val="clear" w:color="auto" w:fill="CCCCCC"/>
          <w:lang w:val="fr-FR"/>
        </w:rPr>
        <w:t> </w:t>
      </w:r>
      <w:r w:rsidRPr="00842387">
        <w:rPr>
          <w:color w:val="000000"/>
          <w:sz w:val="23"/>
          <w:szCs w:val="23"/>
          <w:shd w:val="clear" w:color="auto" w:fill="CCCCCC"/>
          <w:lang w:val="fr-FR"/>
        </w:rPr>
        <w:t xml:space="preserve">. Cette moyenne arithmétique se calcule </w:t>
      </w:r>
      <w:r w:rsidRPr="00842387">
        <w:rPr>
          <w:color w:val="000000"/>
          <w:sz w:val="23"/>
          <w:szCs w:val="23"/>
          <w:shd w:val="clear" w:color="auto" w:fill="CCCCCC"/>
          <w:lang w:val="fr-FR"/>
        </w:rPr>
        <w:lastRenderedPageBreak/>
        <w:t>par :</w:t>
      </w:r>
      <w:r w:rsidRPr="00842387">
        <w:rPr>
          <w:rStyle w:val="apple-converted-space"/>
          <w:color w:val="000000"/>
          <w:sz w:val="23"/>
          <w:szCs w:val="23"/>
          <w:shd w:val="clear" w:color="auto" w:fill="CCCCCC"/>
          <w:lang w:val="fr-FR"/>
        </w:rPr>
        <w:t> </w:t>
      </w:r>
      <w:r>
        <w:rPr>
          <w:noProof/>
        </w:rPr>
        <w:drawing>
          <wp:inline distT="0" distB="0" distL="0" distR="0">
            <wp:extent cx="1089660" cy="457200"/>
            <wp:effectExtent l="0" t="0" r="0" b="0"/>
            <wp:docPr id="19" name="Picture 19" descr="http://perso.telecom-paristech.fr/~decreuse/pricer/formules/moyenneArithdiscr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erso.telecom-paristech.fr/~decreuse/pricer/formules/moyenneArithdiscret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9660" cy="457200"/>
                    </a:xfrm>
                    <a:prstGeom prst="rect">
                      <a:avLst/>
                    </a:prstGeom>
                    <a:noFill/>
                    <a:ln>
                      <a:noFill/>
                    </a:ln>
                  </pic:spPr>
                </pic:pic>
              </a:graphicData>
            </a:graphic>
          </wp:inline>
        </w:drawing>
      </w:r>
      <w:r w:rsidRPr="00842387">
        <w:rPr>
          <w:color w:val="000000"/>
          <w:sz w:val="23"/>
          <w:szCs w:val="23"/>
          <w:lang w:val="fr-FR"/>
        </w:rPr>
        <w:br/>
      </w:r>
      <w:r w:rsidRPr="00842387">
        <w:rPr>
          <w:color w:val="000000"/>
          <w:sz w:val="23"/>
          <w:szCs w:val="23"/>
          <w:shd w:val="clear" w:color="auto" w:fill="CCCCCC"/>
          <w:lang w:val="fr-FR"/>
        </w:rPr>
        <w:t>Le payoff du Call est alors donné par :</w:t>
      </w:r>
      <w:r w:rsidRPr="00842387">
        <w:rPr>
          <w:rStyle w:val="apple-converted-space"/>
          <w:color w:val="000000"/>
          <w:sz w:val="23"/>
          <w:szCs w:val="23"/>
          <w:shd w:val="clear" w:color="auto" w:fill="CCCCCC"/>
          <w:lang w:val="fr-FR"/>
        </w:rPr>
        <w:t> </w:t>
      </w:r>
      <w:r>
        <w:rPr>
          <w:noProof/>
        </w:rPr>
        <w:drawing>
          <wp:inline distT="0" distB="0" distL="0" distR="0">
            <wp:extent cx="762000" cy="160020"/>
            <wp:effectExtent l="0" t="0" r="0" b="0"/>
            <wp:docPr id="18" name="Picture 18" descr="http://perso.telecom-paristech.fr/~decreuse/pricer/formules/callasi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perso.telecom-paristech.fr/~decreuse/pricer/formules/callasia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842387">
        <w:rPr>
          <w:color w:val="000000"/>
          <w:sz w:val="23"/>
          <w:szCs w:val="23"/>
          <w:lang w:val="fr-FR"/>
        </w:rPr>
        <w:br/>
      </w:r>
      <w:r w:rsidRPr="00842387">
        <w:rPr>
          <w:color w:val="000000"/>
          <w:sz w:val="23"/>
          <w:szCs w:val="23"/>
          <w:shd w:val="clear" w:color="auto" w:fill="CCCCCC"/>
          <w:lang w:val="fr-FR"/>
        </w:rPr>
        <w:t>De même, le payoff du Put est :</w:t>
      </w:r>
      <w:r w:rsidRPr="00842387">
        <w:rPr>
          <w:rStyle w:val="apple-converted-space"/>
          <w:color w:val="000000"/>
          <w:sz w:val="23"/>
          <w:szCs w:val="23"/>
          <w:shd w:val="clear" w:color="auto" w:fill="CCCCCC"/>
          <w:lang w:val="fr-FR"/>
        </w:rPr>
        <w:t> </w:t>
      </w:r>
      <w:r>
        <w:rPr>
          <w:noProof/>
        </w:rPr>
        <w:drawing>
          <wp:inline distT="0" distB="0" distL="0" distR="0">
            <wp:extent cx="762000" cy="160020"/>
            <wp:effectExtent l="0" t="0" r="0" b="0"/>
            <wp:docPr id="17" name="Picture 17" descr="http://perso.telecom-paristech.fr/~decreuse/pricer/formules/putasi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erso.telecom-paristech.fr/~decreuse/pricer/formules/putasia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p>
    <w:p w:rsidR="00842387" w:rsidRDefault="00842387" w:rsidP="00D03A03">
      <w:pPr>
        <w:rPr>
          <w:rStyle w:val="apple-converted-space"/>
          <w:color w:val="000000"/>
          <w:sz w:val="23"/>
          <w:szCs w:val="23"/>
          <w:shd w:val="clear" w:color="auto" w:fill="CCCCCC"/>
        </w:rPr>
      </w:pPr>
    </w:p>
    <w:p w:rsidR="00842387" w:rsidRDefault="00842387" w:rsidP="00D03A03">
      <w:pPr>
        <w:rPr>
          <w:color w:val="000000"/>
          <w:sz w:val="23"/>
          <w:szCs w:val="23"/>
          <w:shd w:val="clear" w:color="auto" w:fill="CCCCCC"/>
          <w:lang w:val="fr-FR"/>
        </w:rPr>
      </w:pPr>
      <w:r w:rsidRPr="00842387">
        <w:rPr>
          <w:color w:val="000000"/>
          <w:sz w:val="23"/>
          <w:szCs w:val="23"/>
          <w:shd w:val="clear" w:color="auto" w:fill="CCCCCC"/>
          <w:lang w:val="fr-FR"/>
        </w:rPr>
        <w:t>Ce pricer évalue les options asiatiques à moyenne arithmétique à partir de différents paramètres.</w:t>
      </w:r>
      <w:r w:rsidRPr="00842387">
        <w:rPr>
          <w:color w:val="000000"/>
          <w:sz w:val="23"/>
          <w:szCs w:val="23"/>
          <w:lang w:val="fr-FR"/>
        </w:rPr>
        <w:br/>
      </w:r>
      <w:r w:rsidRPr="00842387">
        <w:rPr>
          <w:color w:val="000000"/>
          <w:sz w:val="23"/>
          <w:szCs w:val="23"/>
          <w:shd w:val="clear" w:color="auto" w:fill="CCCCCC"/>
          <w:lang w:val="fr-FR"/>
        </w:rPr>
        <w:t>Le prix du sous-jacent est le cours actuel de l'actif sous-jacent sur lequel porte l'option.</w:t>
      </w:r>
      <w:r w:rsidRPr="00842387">
        <w:rPr>
          <w:color w:val="000000"/>
          <w:sz w:val="23"/>
          <w:szCs w:val="23"/>
          <w:lang w:val="fr-FR"/>
        </w:rPr>
        <w:br/>
      </w:r>
      <w:r w:rsidRPr="00842387">
        <w:rPr>
          <w:color w:val="000000"/>
          <w:sz w:val="23"/>
          <w:szCs w:val="23"/>
          <w:shd w:val="clear" w:color="auto" w:fill="CCCCCC"/>
          <w:lang w:val="fr-FR"/>
        </w:rPr>
        <w:t xml:space="preserve">Le strike K est le prix auquel le détenteur de l'option aura le droit d'acheter ou de vendre la </w:t>
      </w:r>
      <w:r w:rsidR="004517DB">
        <w:rPr>
          <w:color w:val="000000"/>
          <w:sz w:val="23"/>
          <w:szCs w:val="23"/>
          <w:shd w:val="clear" w:color="auto" w:fill="CCCCCC"/>
          <w:lang w:val="fr-FR"/>
        </w:rPr>
        <w:t>&amp;</w:t>
      </w:r>
      <w:r w:rsidRPr="00842387">
        <w:rPr>
          <w:color w:val="000000"/>
          <w:sz w:val="23"/>
          <w:szCs w:val="23"/>
          <w:shd w:val="clear" w:color="auto" w:fill="CCCCCC"/>
          <w:lang w:val="fr-FR"/>
        </w:rPr>
        <w:t>moyenne géométrique à l'expiration du contrat.</w:t>
      </w:r>
      <w:r w:rsidRPr="00842387">
        <w:rPr>
          <w:color w:val="000000"/>
          <w:sz w:val="23"/>
          <w:szCs w:val="23"/>
          <w:lang w:val="fr-FR"/>
        </w:rPr>
        <w:br/>
      </w:r>
      <w:r w:rsidRPr="00842387">
        <w:rPr>
          <w:color w:val="000000"/>
          <w:sz w:val="23"/>
          <w:szCs w:val="23"/>
          <w:shd w:val="clear" w:color="auto" w:fill="CCCCCC"/>
          <w:lang w:val="fr-FR"/>
        </w:rPr>
        <w:t>Le taux est le taux d'intérêt sans risque, exprimé en %.</w:t>
      </w:r>
      <w:r w:rsidRPr="00842387">
        <w:rPr>
          <w:color w:val="000000"/>
          <w:sz w:val="23"/>
          <w:szCs w:val="23"/>
          <w:lang w:val="fr-FR"/>
        </w:rPr>
        <w:br/>
      </w:r>
      <w:r w:rsidRPr="00842387">
        <w:rPr>
          <w:color w:val="000000"/>
          <w:sz w:val="23"/>
          <w:szCs w:val="23"/>
          <w:shd w:val="clear" w:color="auto" w:fill="CCCCCC"/>
          <w:lang w:val="fr-FR"/>
        </w:rPr>
        <w:t>La volatilité du sous-jacent mesure sa "propension à changer de valeur". Elle peut être calculée à partir des données historiques du cours du sous-jacent :</w:t>
      </w:r>
      <w:r w:rsidRPr="00842387">
        <w:rPr>
          <w:rStyle w:val="apple-converted-space"/>
          <w:color w:val="000000"/>
          <w:sz w:val="23"/>
          <w:szCs w:val="23"/>
          <w:shd w:val="clear" w:color="auto" w:fill="CCCCCC"/>
          <w:lang w:val="fr-FR"/>
        </w:rPr>
        <w:t> </w:t>
      </w:r>
      <w:r>
        <w:rPr>
          <w:noProof/>
        </w:rPr>
        <w:drawing>
          <wp:inline distT="0" distB="0" distL="0" distR="0">
            <wp:extent cx="1371600" cy="373380"/>
            <wp:effectExtent l="0" t="0" r="0" b="7620"/>
            <wp:docPr id="23" name="Picture 23" descr="http://perso.telecom-paristech.fr/~decreuse/pricer/formules/vol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perso.telecom-paristech.fr/~decreuse/pricer/formules/volHistoriqu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71600" cy="373380"/>
                    </a:xfrm>
                    <a:prstGeom prst="rect">
                      <a:avLst/>
                    </a:prstGeom>
                    <a:noFill/>
                    <a:ln>
                      <a:noFill/>
                    </a:ln>
                  </pic:spPr>
                </pic:pic>
              </a:graphicData>
            </a:graphic>
          </wp:inline>
        </w:drawing>
      </w:r>
      <w:r w:rsidRPr="00842387">
        <w:rPr>
          <w:rStyle w:val="apple-converted-space"/>
          <w:color w:val="000000"/>
          <w:sz w:val="23"/>
          <w:szCs w:val="23"/>
          <w:shd w:val="clear" w:color="auto" w:fill="CCCCCC"/>
          <w:lang w:val="fr-FR"/>
        </w:rPr>
        <w:t> </w:t>
      </w:r>
      <w:r w:rsidRPr="00842387">
        <w:rPr>
          <w:color w:val="000000"/>
          <w:sz w:val="23"/>
          <w:szCs w:val="23"/>
          <w:shd w:val="clear" w:color="auto" w:fill="CCCCCC"/>
          <w:lang w:val="fr-FR"/>
        </w:rPr>
        <w:t>où</w:t>
      </w:r>
      <w:r w:rsidRPr="00842387">
        <w:rPr>
          <w:rStyle w:val="apple-converted-space"/>
          <w:color w:val="000000"/>
          <w:sz w:val="23"/>
          <w:szCs w:val="23"/>
          <w:shd w:val="clear" w:color="auto" w:fill="CCCCCC"/>
          <w:lang w:val="fr-FR"/>
        </w:rPr>
        <w:t> </w:t>
      </w:r>
      <w:r>
        <w:rPr>
          <w:noProof/>
        </w:rPr>
        <w:drawing>
          <wp:inline distT="0" distB="0" distL="0" distR="0">
            <wp:extent cx="83820" cy="76200"/>
            <wp:effectExtent l="0" t="0" r="0" b="0"/>
            <wp:docPr id="22" name="Picture 22" descr="http://perso.telecom-paristech.fr/~decreuse/pricer/formules/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perso.telecom-paristech.fr/~decreuse/pricer/formules/sigm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842387">
        <w:rPr>
          <w:rStyle w:val="apple-converted-space"/>
          <w:color w:val="000000"/>
          <w:sz w:val="23"/>
          <w:szCs w:val="23"/>
          <w:shd w:val="clear" w:color="auto" w:fill="CCCCCC"/>
          <w:lang w:val="fr-FR"/>
        </w:rPr>
        <w:t> </w:t>
      </w:r>
      <w:r w:rsidRPr="00842387">
        <w:rPr>
          <w:color w:val="000000"/>
          <w:sz w:val="23"/>
          <w:szCs w:val="23"/>
          <w:shd w:val="clear" w:color="auto" w:fill="CCCCCC"/>
          <w:lang w:val="fr-FR"/>
        </w:rPr>
        <w:t>est la volatilité historique et</w:t>
      </w:r>
      <w:r w:rsidRPr="00842387">
        <w:rPr>
          <w:rStyle w:val="apple-converted-space"/>
          <w:color w:val="000000"/>
          <w:sz w:val="23"/>
          <w:szCs w:val="23"/>
          <w:shd w:val="clear" w:color="auto" w:fill="CCCCCC"/>
          <w:lang w:val="fr-FR"/>
        </w:rPr>
        <w:t> </w:t>
      </w:r>
      <w:r>
        <w:rPr>
          <w:noProof/>
        </w:rPr>
        <w:drawing>
          <wp:inline distT="0" distB="0" distL="0" distR="0">
            <wp:extent cx="160020" cy="160020"/>
            <wp:effectExtent l="0" t="0" r="0" b="0"/>
            <wp:docPr id="21" name="Picture 21" descr="http://perso.telecom-paristech.fr/~decreuse/pricer/formules/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perso.telecom-paristech.fr/~decreuse/pricer/formules/Sti.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842387">
        <w:rPr>
          <w:rStyle w:val="apple-converted-space"/>
          <w:color w:val="000000"/>
          <w:sz w:val="23"/>
          <w:szCs w:val="23"/>
          <w:shd w:val="clear" w:color="auto" w:fill="CCCCCC"/>
          <w:lang w:val="fr-FR"/>
        </w:rPr>
        <w:t> </w:t>
      </w:r>
      <w:r w:rsidRPr="00842387">
        <w:rPr>
          <w:color w:val="000000"/>
          <w:sz w:val="23"/>
          <w:szCs w:val="23"/>
          <w:shd w:val="clear" w:color="auto" w:fill="CCCCCC"/>
          <w:lang w:val="fr-FR"/>
        </w:rPr>
        <w:t>est le cours du sous-jacent.</w:t>
      </w:r>
      <w:r w:rsidRPr="00842387">
        <w:rPr>
          <w:color w:val="000000"/>
          <w:sz w:val="23"/>
          <w:szCs w:val="23"/>
          <w:lang w:val="fr-FR"/>
        </w:rPr>
        <w:br/>
      </w:r>
      <w:r w:rsidRPr="00842387">
        <w:rPr>
          <w:color w:val="000000"/>
          <w:sz w:val="23"/>
          <w:szCs w:val="23"/>
          <w:shd w:val="clear" w:color="auto" w:fill="CCCCCC"/>
          <w:lang w:val="fr-FR"/>
        </w:rPr>
        <w:t>La maturité T est la durée de vie de l'option.</w:t>
      </w:r>
      <w:r w:rsidRPr="00842387">
        <w:rPr>
          <w:color w:val="000000"/>
          <w:sz w:val="23"/>
          <w:szCs w:val="23"/>
          <w:lang w:val="fr-FR"/>
        </w:rPr>
        <w:br/>
      </w:r>
      <w:r w:rsidRPr="00842387">
        <w:rPr>
          <w:color w:val="000000"/>
          <w:sz w:val="23"/>
          <w:szCs w:val="23"/>
          <w:shd w:val="clear" w:color="auto" w:fill="CCCCCC"/>
          <w:lang w:val="fr-FR"/>
        </w:rPr>
        <w:t>Enfin, le nombre de points M utilisés pour calculer la moyenne géométrique. Les points sont alors iT/M pour i compris entre 0 et M.</w:t>
      </w:r>
      <w:r w:rsidRPr="00842387">
        <w:rPr>
          <w:color w:val="000000"/>
          <w:sz w:val="23"/>
          <w:szCs w:val="23"/>
          <w:lang w:val="fr-FR"/>
        </w:rPr>
        <w:br/>
      </w:r>
      <w:r w:rsidRPr="00842387">
        <w:rPr>
          <w:color w:val="000000"/>
          <w:sz w:val="23"/>
          <w:szCs w:val="23"/>
          <w:shd w:val="clear" w:color="auto" w:fill="CCCCCC"/>
          <w:lang w:val="fr-FR"/>
        </w:rPr>
        <w:t>L'évaluation est alors faite par la méthode de Monte-Carlo classique. Chaque calcul nécessite 10 secondes (durée choisie arbitrairement), un intervalle de confiance à 99% est donnée, ainsi que le nombre de simulations réalisées pendant ces 10 secondes.</w:t>
      </w:r>
    </w:p>
    <w:p w:rsidR="00842387" w:rsidRDefault="00842387" w:rsidP="00D03A03">
      <w:pPr>
        <w:rPr>
          <w:color w:val="000000"/>
          <w:sz w:val="23"/>
          <w:szCs w:val="23"/>
          <w:shd w:val="clear" w:color="auto" w:fill="CCCCCC"/>
          <w:lang w:val="fr-FR"/>
        </w:rPr>
      </w:pPr>
    </w:p>
    <w:p w:rsidR="00842387" w:rsidRPr="00842387" w:rsidRDefault="00842387" w:rsidP="00D03A03">
      <w:pPr>
        <w:rPr>
          <w:sz w:val="28"/>
          <w:szCs w:val="28"/>
          <w:lang w:val="fr-FR"/>
        </w:rPr>
      </w:pPr>
      <w:r w:rsidRPr="00842387">
        <w:rPr>
          <w:color w:val="000000"/>
          <w:sz w:val="23"/>
          <w:szCs w:val="23"/>
          <w:shd w:val="clear" w:color="auto" w:fill="CCCCCC"/>
          <w:lang w:val="fr-FR"/>
        </w:rPr>
        <w:t>Une option panier est une option dont le payoff porte sur une combinaison linéaire des cours de plusieurs sous-jacents.</w:t>
      </w:r>
      <w:r w:rsidRPr="00842387">
        <w:rPr>
          <w:color w:val="000000"/>
          <w:sz w:val="23"/>
          <w:szCs w:val="23"/>
          <w:lang w:val="fr-FR"/>
        </w:rPr>
        <w:br/>
      </w:r>
      <w:r w:rsidRPr="00842387">
        <w:rPr>
          <w:color w:val="000000"/>
          <w:sz w:val="23"/>
          <w:szCs w:val="23"/>
          <w:shd w:val="clear" w:color="auto" w:fill="CCCCCC"/>
          <w:lang w:val="fr-FR"/>
        </w:rPr>
        <w:t>Ainsi, si on appelle</w:t>
      </w:r>
      <w:r w:rsidRPr="00842387">
        <w:rPr>
          <w:rStyle w:val="apple-converted-space"/>
          <w:color w:val="000000"/>
          <w:sz w:val="23"/>
          <w:szCs w:val="23"/>
          <w:shd w:val="clear" w:color="auto" w:fill="CCCCCC"/>
          <w:lang w:val="fr-FR"/>
        </w:rPr>
        <w:t> </w:t>
      </w:r>
      <w:r>
        <w:rPr>
          <w:noProof/>
        </w:rPr>
        <w:drawing>
          <wp:inline distT="0" distB="0" distL="0" distR="0">
            <wp:extent cx="114300" cy="99060"/>
            <wp:effectExtent l="0" t="0" r="0" b="0"/>
            <wp:docPr id="27" name="Picture 27" descr="http://perso.telecom-paristech.fr/~decreuse/pricer/formule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perso.telecom-paristech.fr/~decreuse/pricer/formules/ai.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842387">
        <w:rPr>
          <w:rStyle w:val="apple-converted-space"/>
          <w:color w:val="000000"/>
          <w:sz w:val="23"/>
          <w:szCs w:val="23"/>
          <w:shd w:val="clear" w:color="auto" w:fill="CCCCCC"/>
          <w:lang w:val="fr-FR"/>
        </w:rPr>
        <w:t> </w:t>
      </w:r>
      <w:r w:rsidRPr="00842387">
        <w:rPr>
          <w:color w:val="000000"/>
          <w:sz w:val="23"/>
          <w:szCs w:val="23"/>
          <w:shd w:val="clear" w:color="auto" w:fill="CCCCCC"/>
          <w:lang w:val="fr-FR"/>
        </w:rPr>
        <w:t>les poids des n sous-jacents et si on pose</w:t>
      </w:r>
      <w:r w:rsidRPr="00842387">
        <w:rPr>
          <w:rStyle w:val="apple-converted-space"/>
          <w:color w:val="000000"/>
          <w:sz w:val="23"/>
          <w:szCs w:val="23"/>
          <w:shd w:val="clear" w:color="auto" w:fill="CCCCCC"/>
          <w:lang w:val="fr-FR"/>
        </w:rPr>
        <w:t> </w:t>
      </w:r>
      <w:r>
        <w:rPr>
          <w:noProof/>
        </w:rPr>
        <w:drawing>
          <wp:inline distT="0" distB="0" distL="0" distR="0">
            <wp:extent cx="967740" cy="426720"/>
            <wp:effectExtent l="0" t="0" r="3810" b="0"/>
            <wp:docPr id="26" name="Picture 26" descr="http://perso.telecom-paristech.fr/~decreuse/pricer/formules/pan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perso.telecom-paristech.fr/~decreuse/pricer/formules/panie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7740" cy="426720"/>
                    </a:xfrm>
                    <a:prstGeom prst="rect">
                      <a:avLst/>
                    </a:prstGeom>
                    <a:noFill/>
                    <a:ln>
                      <a:noFill/>
                    </a:ln>
                  </pic:spPr>
                </pic:pic>
              </a:graphicData>
            </a:graphic>
          </wp:inline>
        </w:drawing>
      </w:r>
      <w:r w:rsidRPr="00842387">
        <w:rPr>
          <w:rStyle w:val="apple-converted-space"/>
          <w:color w:val="000000"/>
          <w:sz w:val="23"/>
          <w:szCs w:val="23"/>
          <w:shd w:val="clear" w:color="auto" w:fill="CCCCCC"/>
          <w:lang w:val="fr-FR"/>
        </w:rPr>
        <w:t> </w:t>
      </w:r>
      <w:r w:rsidRPr="00842387">
        <w:rPr>
          <w:color w:val="000000"/>
          <w:sz w:val="23"/>
          <w:szCs w:val="23"/>
          <w:shd w:val="clear" w:color="auto" w:fill="CCCCCC"/>
          <w:lang w:val="fr-FR"/>
        </w:rPr>
        <w:t>le payoff du Call est donné par :</w:t>
      </w:r>
      <w:r w:rsidRPr="00842387">
        <w:rPr>
          <w:rStyle w:val="apple-converted-space"/>
          <w:color w:val="000000"/>
          <w:sz w:val="23"/>
          <w:szCs w:val="23"/>
          <w:shd w:val="clear" w:color="auto" w:fill="CCCCCC"/>
          <w:lang w:val="fr-FR"/>
        </w:rPr>
        <w:t> </w:t>
      </w:r>
      <w:r>
        <w:rPr>
          <w:noProof/>
        </w:rPr>
        <w:drawing>
          <wp:inline distT="0" distB="0" distL="0" distR="0">
            <wp:extent cx="1051560" cy="160020"/>
            <wp:effectExtent l="0" t="0" r="0" b="0"/>
            <wp:docPr id="25" name="Picture 25" descr="http://perso.telecom-paristech.fr/~decreuse/pricer/formules/payoffCallPan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perso.telecom-paristech.fr/~decreuse/pricer/formules/payoffCallPanie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51560" cy="160020"/>
                    </a:xfrm>
                    <a:prstGeom prst="rect">
                      <a:avLst/>
                    </a:prstGeom>
                    <a:noFill/>
                    <a:ln>
                      <a:noFill/>
                    </a:ln>
                  </pic:spPr>
                </pic:pic>
              </a:graphicData>
            </a:graphic>
          </wp:inline>
        </w:drawing>
      </w:r>
      <w:r w:rsidRPr="00842387">
        <w:rPr>
          <w:color w:val="000000"/>
          <w:sz w:val="23"/>
          <w:szCs w:val="23"/>
          <w:lang w:val="fr-FR"/>
        </w:rPr>
        <w:br/>
      </w:r>
      <w:r w:rsidRPr="00842387">
        <w:rPr>
          <w:color w:val="000000"/>
          <w:sz w:val="23"/>
          <w:szCs w:val="23"/>
          <w:shd w:val="clear" w:color="auto" w:fill="CCCCCC"/>
          <w:lang w:val="fr-FR"/>
        </w:rPr>
        <w:t>De même, le payoff du Put est :</w:t>
      </w:r>
      <w:r w:rsidRPr="00842387">
        <w:rPr>
          <w:rStyle w:val="apple-converted-space"/>
          <w:color w:val="000000"/>
          <w:sz w:val="23"/>
          <w:szCs w:val="23"/>
          <w:shd w:val="clear" w:color="auto" w:fill="CCCCCC"/>
          <w:lang w:val="fr-FR"/>
        </w:rPr>
        <w:t> </w:t>
      </w:r>
      <w:r>
        <w:rPr>
          <w:noProof/>
        </w:rPr>
        <w:drawing>
          <wp:inline distT="0" distB="0" distL="0" distR="0">
            <wp:extent cx="1059180" cy="160020"/>
            <wp:effectExtent l="0" t="0" r="7620" b="0"/>
            <wp:docPr id="24" name="Picture 24" descr="http://perso.telecom-paristech.fr/~decreuse/pricer/formules/payoffPutPan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perso.telecom-paristech.fr/~decreuse/pricer/formules/payoffPutPanier.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59180" cy="160020"/>
                    </a:xfrm>
                    <a:prstGeom prst="rect">
                      <a:avLst/>
                    </a:prstGeom>
                    <a:noFill/>
                    <a:ln>
                      <a:noFill/>
                    </a:ln>
                  </pic:spPr>
                </pic:pic>
              </a:graphicData>
            </a:graphic>
          </wp:inline>
        </w:drawing>
      </w:r>
    </w:p>
    <w:p w:rsidR="00842387" w:rsidRDefault="00842387" w:rsidP="00D03A03">
      <w:pPr>
        <w:rPr>
          <w:sz w:val="28"/>
          <w:szCs w:val="28"/>
          <w:lang w:val="fr-FR"/>
        </w:rPr>
      </w:pPr>
    </w:p>
    <w:p w:rsidR="00842387" w:rsidRDefault="00842387" w:rsidP="00D03A03">
      <w:pPr>
        <w:rPr>
          <w:sz w:val="28"/>
          <w:szCs w:val="28"/>
          <w:lang w:val="fr-FR"/>
        </w:rPr>
      </w:pPr>
    </w:p>
    <w:p w:rsidR="00842387" w:rsidRDefault="00842387" w:rsidP="00D03A03">
      <w:pPr>
        <w:rPr>
          <w:sz w:val="28"/>
          <w:szCs w:val="28"/>
          <w:lang w:val="fr-FR"/>
        </w:rPr>
      </w:pPr>
    </w:p>
    <w:p w:rsidR="00842387" w:rsidRDefault="00842387" w:rsidP="00D03A03">
      <w:pPr>
        <w:rPr>
          <w:sz w:val="28"/>
          <w:szCs w:val="28"/>
          <w:lang w:val="fr-FR"/>
        </w:rPr>
      </w:pPr>
    </w:p>
    <w:p w:rsidR="00842387" w:rsidRDefault="00842387" w:rsidP="00D03A03">
      <w:pPr>
        <w:rPr>
          <w:sz w:val="28"/>
          <w:szCs w:val="28"/>
          <w:lang w:val="fr-FR"/>
        </w:rPr>
      </w:pPr>
    </w:p>
    <w:p w:rsidR="00842387" w:rsidRDefault="00842387" w:rsidP="00D03A03">
      <w:pPr>
        <w:rPr>
          <w:sz w:val="28"/>
          <w:szCs w:val="28"/>
          <w:lang w:val="fr-FR"/>
        </w:rPr>
      </w:pPr>
    </w:p>
    <w:p w:rsidR="00D03A03" w:rsidRPr="00067CC4" w:rsidRDefault="00D03A03" w:rsidP="00D03A03">
      <w:pPr>
        <w:rPr>
          <w:sz w:val="28"/>
          <w:szCs w:val="28"/>
          <w:lang w:val="fr-FR"/>
        </w:rPr>
      </w:pPr>
      <w:r w:rsidRPr="00067CC4">
        <w:rPr>
          <w:sz w:val="28"/>
          <w:szCs w:val="28"/>
          <w:lang w:val="fr-FR"/>
        </w:rPr>
        <w:lastRenderedPageBreak/>
        <w:t>Dans le but de répondre au besoin des clients assureurs (compagnies d'assurance) dans leur gestion de risque, Moody's Analytics souhaite mettre en place un environnement de développement interactif pour le prototypage rapide et l'analyse de données. Cet outils doit permettre entre autres la collection, l'analyse et le traitement des données depuis différents sources.\\</w:t>
      </w:r>
    </w:p>
    <w:p w:rsidR="00D03A03" w:rsidRPr="00067CC4" w:rsidRDefault="00D03A03" w:rsidP="00D03A03">
      <w:pPr>
        <w:rPr>
          <w:sz w:val="28"/>
          <w:szCs w:val="28"/>
          <w:lang w:val="fr-FR"/>
        </w:rPr>
      </w:pPr>
    </w:p>
    <w:p w:rsidR="00D03A03" w:rsidRPr="00067CC4" w:rsidRDefault="00D03A03" w:rsidP="00D03A03">
      <w:pPr>
        <w:rPr>
          <w:sz w:val="28"/>
          <w:szCs w:val="28"/>
          <w:lang w:val="fr-FR"/>
        </w:rPr>
      </w:pPr>
    </w:p>
    <w:p w:rsidR="00D03A03" w:rsidRPr="00067CC4" w:rsidRDefault="00D03A03" w:rsidP="00D03A03">
      <w:pPr>
        <w:rPr>
          <w:sz w:val="28"/>
          <w:szCs w:val="28"/>
          <w:lang w:val="fr-FR"/>
        </w:rPr>
      </w:pPr>
      <w:r w:rsidRPr="00067CC4">
        <w:rPr>
          <w:sz w:val="28"/>
          <w:szCs w:val="28"/>
          <w:lang w:val="fr-FR"/>
        </w:rPr>
        <w:t>Il sera donc question de mettre en place une application web qui offre aux assureurs une solution complète et qui est conforme au processus \textbf{ORSA}(Own Risk and Solvency Assessment ou Évaluation interne des risques et de la solvabilité), leurs permettant ainsi une bonne prise de décision fondée sur les risques.</w:t>
      </w:r>
    </w:p>
    <w:p w:rsidR="00D03A03" w:rsidRPr="00067CC4" w:rsidRDefault="00D03A03" w:rsidP="00D03A03">
      <w:pPr>
        <w:rPr>
          <w:sz w:val="28"/>
          <w:szCs w:val="28"/>
        </w:rPr>
      </w:pPr>
      <w:r w:rsidRPr="00067CC4">
        <w:rPr>
          <w:sz w:val="28"/>
          <w:szCs w:val="28"/>
        </w:rPr>
        <w:t>{Own Risk and Solvency Assessment (ORSA)}</w:t>
      </w:r>
    </w:p>
    <w:p w:rsidR="00D03A03" w:rsidRPr="00067CC4" w:rsidRDefault="00D03A03" w:rsidP="00D03A03">
      <w:pPr>
        <w:rPr>
          <w:sz w:val="28"/>
          <w:szCs w:val="28"/>
          <w:lang w:val="fr-FR"/>
        </w:rPr>
      </w:pPr>
      <w:r w:rsidRPr="00067CC4">
        <w:rPr>
          <w:sz w:val="28"/>
          <w:szCs w:val="28"/>
          <w:lang w:val="fr-FR"/>
        </w:rPr>
        <w:t>{ORSA} est un processus interne entrepris par un groupe d'assurance ou un assureur visant à évaluer la pertinence de sa gestion de risque et ses positions de solvabilités actuelles et futures en vertu des fortes scénarios de stress ou scénario normale.</w:t>
      </w:r>
    </w:p>
    <w:p w:rsidR="00D03A03" w:rsidRPr="00067CC4" w:rsidRDefault="00D03A03" w:rsidP="00D03A03">
      <w:pPr>
        <w:rPr>
          <w:sz w:val="28"/>
          <w:szCs w:val="28"/>
          <w:lang w:val="fr-FR"/>
        </w:rPr>
      </w:pPr>
      <w:r w:rsidRPr="00067CC4">
        <w:rPr>
          <w:sz w:val="28"/>
          <w:szCs w:val="28"/>
          <w:lang w:val="fr-FR"/>
        </w:rPr>
        <w:t>C'est donc un outil d'analyse décisionnelle et stratégique qui va exiger aux</w:t>
      </w:r>
      <w:r w:rsidR="006327F1">
        <w:rPr>
          <w:sz w:val="28"/>
          <w:szCs w:val="28"/>
          <w:lang w:val="fr-FR"/>
        </w:rPr>
        <w:t xml:space="preserve"> </w:t>
      </w:r>
      <w:bookmarkStart w:id="0" w:name="_GoBack"/>
      <w:bookmarkEnd w:id="0"/>
      <w:r w:rsidRPr="00067CC4">
        <w:rPr>
          <w:sz w:val="28"/>
          <w:szCs w:val="28"/>
          <w:lang w:val="fr-FR"/>
        </w:rPr>
        <w:t xml:space="preserve"> assureurs d'analyser tous les risques matériels raisonnablement prévisibles et pertinents(risques de liquidités, crédit, etc..) qui pourraient avoir un impact sur la capacité d'un assureur à remplir ses obligations envers les titulaires.</w:t>
      </w:r>
    </w:p>
    <w:p w:rsidR="00D03A03" w:rsidRPr="00067CC4" w:rsidRDefault="003667FA" w:rsidP="00D03A03">
      <w:pPr>
        <w:rPr>
          <w:sz w:val="28"/>
          <w:szCs w:val="28"/>
          <w:lang w:val="fr-FR"/>
        </w:rPr>
      </w:pPr>
      <w:r>
        <w:rPr>
          <w:sz w:val="28"/>
          <w:szCs w:val="28"/>
          <w:lang w:val="fr-FR"/>
        </w:rPr>
        <w:t>::::::::::::::::::::::::::::::::::::::::::::::::::::::</w:t>
      </w:r>
    </w:p>
    <w:p w:rsidR="00D03A03" w:rsidRPr="00067CC4" w:rsidRDefault="00D03A03" w:rsidP="00D03A03">
      <w:pPr>
        <w:rPr>
          <w:sz w:val="28"/>
          <w:szCs w:val="28"/>
          <w:lang w:val="fr-FR"/>
        </w:rPr>
      </w:pPr>
      <w:r w:rsidRPr="00067CC4">
        <w:rPr>
          <w:sz w:val="28"/>
          <w:szCs w:val="28"/>
          <w:lang w:val="fr-FR"/>
        </w:rPr>
        <w:t>L'outil doit couvrir entre autres:</w:t>
      </w:r>
    </w:p>
    <w:p w:rsidR="00D03A03" w:rsidRPr="00067CC4" w:rsidRDefault="00D03A03" w:rsidP="00D03A03">
      <w:pPr>
        <w:rPr>
          <w:sz w:val="28"/>
          <w:szCs w:val="28"/>
          <w:lang w:val="fr-FR"/>
        </w:rPr>
      </w:pPr>
      <w:r w:rsidRPr="00067CC4">
        <w:rPr>
          <w:sz w:val="28"/>
          <w:szCs w:val="28"/>
          <w:lang w:val="fr-FR"/>
        </w:rPr>
        <w:t>La gestion de données: Pouvoir interroger une base de données(Oracle/mySql)</w:t>
      </w:r>
    </w:p>
    <w:p w:rsidR="00D03A03" w:rsidRPr="00067CC4" w:rsidRDefault="00D03A03" w:rsidP="00D03A03">
      <w:pPr>
        <w:rPr>
          <w:sz w:val="28"/>
          <w:szCs w:val="28"/>
          <w:lang w:val="fr-FR"/>
        </w:rPr>
      </w:pPr>
      <w:r w:rsidRPr="00067CC4">
        <w:rPr>
          <w:sz w:val="28"/>
          <w:szCs w:val="28"/>
          <w:lang w:val="fr-FR"/>
        </w:rPr>
        <w:t>Reporting: Pouvoir effectuer des analyses complexes sur de gros volumes des visualisations graphiques(Dashboards, histogramme, table, camembert, etc...) tout en minimisant la dépendance à l'informatique.</w:t>
      </w:r>
    </w:p>
    <w:p w:rsidR="00D03A03" w:rsidRPr="00067CC4" w:rsidRDefault="00D03A03" w:rsidP="00D03A03">
      <w:pPr>
        <w:rPr>
          <w:sz w:val="28"/>
          <w:szCs w:val="28"/>
          <w:lang w:val="fr-FR"/>
        </w:rPr>
      </w:pPr>
      <w:r w:rsidRPr="00067CC4">
        <w:rPr>
          <w:sz w:val="28"/>
          <w:szCs w:val="28"/>
          <w:lang w:val="fr-FR"/>
        </w:rPr>
        <w:t>Moteur de calcul: Calculer du capital et solvabilité requis et les ratios de solvabilité.</w:t>
      </w:r>
    </w:p>
    <w:p w:rsidR="00D03A03" w:rsidRPr="00067CC4" w:rsidRDefault="00D03A03" w:rsidP="00D03A03">
      <w:pPr>
        <w:rPr>
          <w:sz w:val="28"/>
          <w:szCs w:val="28"/>
          <w:lang w:val="fr-FR"/>
        </w:rPr>
      </w:pPr>
      <w:r w:rsidRPr="00067CC4">
        <w:rPr>
          <w:sz w:val="28"/>
          <w:szCs w:val="28"/>
          <w:lang w:val="fr-FR"/>
        </w:rPr>
        <w:t>Bilan prospectif: Faire des projections futures.</w:t>
      </w:r>
    </w:p>
    <w:p w:rsidR="00067CC4" w:rsidRPr="00067CC4" w:rsidRDefault="00067CC4" w:rsidP="00D03A03">
      <w:pPr>
        <w:rPr>
          <w:sz w:val="28"/>
          <w:szCs w:val="28"/>
          <w:lang w:val="fr-FR"/>
        </w:rPr>
      </w:pPr>
    </w:p>
    <w:p w:rsidR="00067CC4" w:rsidRPr="00067CC4" w:rsidRDefault="00067CC4" w:rsidP="00D03A03">
      <w:pPr>
        <w:rPr>
          <w:sz w:val="28"/>
          <w:szCs w:val="28"/>
          <w:lang w:val="fr-FR"/>
        </w:rPr>
      </w:pPr>
      <w:r w:rsidRPr="00067CC4">
        <w:rPr>
          <w:sz w:val="28"/>
          <w:szCs w:val="28"/>
          <w:lang w:val="fr-FR"/>
        </w:rPr>
        <w:t>Ces scénarios sont définit comme le "résultat le plus probable" sur la base des conditions actuelles</w:t>
      </w:r>
    </w:p>
    <w:sectPr w:rsidR="00067CC4" w:rsidRPr="00067C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B8C" w:rsidRDefault="00E46B8C" w:rsidP="006327F1">
      <w:pPr>
        <w:spacing w:after="0" w:line="240" w:lineRule="auto"/>
      </w:pPr>
      <w:r>
        <w:separator/>
      </w:r>
    </w:p>
  </w:endnote>
  <w:endnote w:type="continuationSeparator" w:id="0">
    <w:p w:rsidR="00E46B8C" w:rsidRDefault="00E46B8C" w:rsidP="0063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B8C" w:rsidRDefault="00E46B8C" w:rsidP="006327F1">
      <w:pPr>
        <w:spacing w:after="0" w:line="240" w:lineRule="auto"/>
      </w:pPr>
      <w:r>
        <w:separator/>
      </w:r>
    </w:p>
  </w:footnote>
  <w:footnote w:type="continuationSeparator" w:id="0">
    <w:p w:rsidR="00E46B8C" w:rsidRDefault="00E46B8C" w:rsidP="006327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E2618"/>
    <w:multiLevelType w:val="multilevel"/>
    <w:tmpl w:val="58C0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2A60D3"/>
    <w:multiLevelType w:val="multilevel"/>
    <w:tmpl w:val="A440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DD0852"/>
    <w:multiLevelType w:val="multilevel"/>
    <w:tmpl w:val="C308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9C"/>
    <w:rsid w:val="00067CC4"/>
    <w:rsid w:val="003667FA"/>
    <w:rsid w:val="003F74B8"/>
    <w:rsid w:val="004517DB"/>
    <w:rsid w:val="0045459C"/>
    <w:rsid w:val="006327F1"/>
    <w:rsid w:val="006906CE"/>
    <w:rsid w:val="00725231"/>
    <w:rsid w:val="00842387"/>
    <w:rsid w:val="00CF4A7A"/>
    <w:rsid w:val="00D03A03"/>
    <w:rsid w:val="00E46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361570-7B6E-407C-96EF-CE175284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459C"/>
  </w:style>
  <w:style w:type="character" w:styleId="Hyperlink">
    <w:name w:val="Hyperlink"/>
    <w:basedOn w:val="DefaultParagraphFont"/>
    <w:uiPriority w:val="99"/>
    <w:semiHidden/>
    <w:unhideWhenUsed/>
    <w:rsid w:val="0045459C"/>
    <w:rPr>
      <w:color w:val="0000FF"/>
      <w:u w:val="single"/>
    </w:rPr>
  </w:style>
  <w:style w:type="character" w:customStyle="1" w:styleId="mwe-math-mathml-inline">
    <w:name w:val="mwe-math-mathml-inline"/>
    <w:basedOn w:val="DefaultParagraphFont"/>
    <w:rsid w:val="00CF4A7A"/>
  </w:style>
  <w:style w:type="paragraph" w:styleId="Header">
    <w:name w:val="header"/>
    <w:basedOn w:val="Normal"/>
    <w:link w:val="HeaderChar"/>
    <w:uiPriority w:val="99"/>
    <w:unhideWhenUsed/>
    <w:rsid w:val="00632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7F1"/>
  </w:style>
  <w:style w:type="paragraph" w:styleId="Footer">
    <w:name w:val="footer"/>
    <w:basedOn w:val="Normal"/>
    <w:link w:val="FooterChar"/>
    <w:uiPriority w:val="99"/>
    <w:unhideWhenUsed/>
    <w:rsid w:val="00632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11934">
      <w:bodyDiv w:val="1"/>
      <w:marLeft w:val="0"/>
      <w:marRight w:val="0"/>
      <w:marTop w:val="0"/>
      <w:marBottom w:val="0"/>
      <w:divBdr>
        <w:top w:val="none" w:sz="0" w:space="0" w:color="auto"/>
        <w:left w:val="none" w:sz="0" w:space="0" w:color="auto"/>
        <w:bottom w:val="none" w:sz="0" w:space="0" w:color="auto"/>
        <w:right w:val="none" w:sz="0" w:space="0" w:color="auto"/>
      </w:divBdr>
    </w:div>
    <w:div w:id="359745468">
      <w:bodyDiv w:val="1"/>
      <w:marLeft w:val="0"/>
      <w:marRight w:val="0"/>
      <w:marTop w:val="0"/>
      <w:marBottom w:val="0"/>
      <w:divBdr>
        <w:top w:val="none" w:sz="0" w:space="0" w:color="auto"/>
        <w:left w:val="none" w:sz="0" w:space="0" w:color="auto"/>
        <w:bottom w:val="none" w:sz="0" w:space="0" w:color="auto"/>
        <w:right w:val="none" w:sz="0" w:space="0" w:color="auto"/>
      </w:divBdr>
    </w:div>
    <w:div w:id="915361958">
      <w:bodyDiv w:val="1"/>
      <w:marLeft w:val="0"/>
      <w:marRight w:val="0"/>
      <w:marTop w:val="0"/>
      <w:marBottom w:val="0"/>
      <w:divBdr>
        <w:top w:val="none" w:sz="0" w:space="0" w:color="auto"/>
        <w:left w:val="none" w:sz="0" w:space="0" w:color="auto"/>
        <w:bottom w:val="none" w:sz="0" w:space="0" w:color="auto"/>
        <w:right w:val="none" w:sz="0" w:space="0" w:color="auto"/>
      </w:divBdr>
    </w:div>
    <w:div w:id="119283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D%C3%A9riv%C3%A9" TargetMode="External"/><Relationship Id="rId13" Type="http://schemas.openxmlformats.org/officeDocument/2006/relationships/hyperlink" Target="https://fr.wikipedia.org/wiki/Actif_sous-jacent" TargetMode="External"/><Relationship Id="rId18" Type="http://schemas.openxmlformats.org/officeDocument/2006/relationships/hyperlink" Target="https://fr.wikipedia.org/wiki/Variable_al%C3%A9atoire" TargetMode="External"/><Relationship Id="rId26" Type="http://schemas.openxmlformats.org/officeDocument/2006/relationships/hyperlink" Target="https://fr.wikipedia.org/wiki/Dividende" TargetMode="External"/><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fr.wikipedia.org/wiki/Volatilit%C3%A9_(finance)"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hyperlink" Target="https://fr.wikipedia.org/wiki/Produit_d%C3%A9riv%C3%A9_financier" TargetMode="External"/><Relationship Id="rId12" Type="http://schemas.openxmlformats.org/officeDocument/2006/relationships/hyperlink" Target="https://fr.wikipedia.org/wiki/Put" TargetMode="External"/><Relationship Id="rId17" Type="http://schemas.openxmlformats.org/officeDocument/2006/relationships/hyperlink" Target="https://fr.wikipedia.org/wiki/Calcul_stochastique" TargetMode="External"/><Relationship Id="rId25" Type="http://schemas.openxmlformats.org/officeDocument/2006/relationships/hyperlink" Target="https://fr.wikipedia.org/wiki/Taux_sans_risque" TargetMode="External"/><Relationship Id="rId33" Type="http://schemas.openxmlformats.org/officeDocument/2006/relationships/image" Target="media/image6.png"/><Relationship Id="rId38"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fr.wikipedia.org/wiki/Probabilit%C3%A9" TargetMode="External"/><Relationship Id="rId20" Type="http://schemas.openxmlformats.org/officeDocument/2006/relationships/hyperlink" Target="https://fr.wikipedia.org/wiki/Mouvement_brownien" TargetMode="External"/><Relationship Id="rId29" Type="http://schemas.openxmlformats.org/officeDocument/2006/relationships/image" Target="media/image2.png"/><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Call" TargetMode="External"/><Relationship Id="rId24" Type="http://schemas.openxmlformats.org/officeDocument/2006/relationships/hyperlink" Target="https://fr.wikipedia.org/wiki/Vente_%C3%A0_d%C3%A9couvert"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fr.wikipedia.org/wiki/Taux_sans_risque" TargetMode="External"/><Relationship Id="rId23" Type="http://schemas.openxmlformats.org/officeDocument/2006/relationships/hyperlink" Target="https://fr.wikipedia.org/wiki/Fonction_continue" TargetMode="Externa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hyperlink" Target="https://fr.wikipedia.org/wiki/Produit_d%C3%A9riv%C3%A9_(finance)" TargetMode="External"/><Relationship Id="rId19" Type="http://schemas.openxmlformats.org/officeDocument/2006/relationships/hyperlink" Target="http://www.lexinter.net/JF/options.htm"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fr.wikipedia.org/wiki/Contrat_%C3%A0_terme" TargetMode="External"/><Relationship Id="rId14" Type="http://schemas.openxmlformats.org/officeDocument/2006/relationships/hyperlink" Target="https://fr.wikipedia.org/wiki/Strike_(finance)" TargetMode="External"/><Relationship Id="rId22" Type="http://schemas.openxmlformats.org/officeDocument/2006/relationships/hyperlink" Target="https://fr.wikipedia.org/wiki/Processus_de_Wiener" TargetMode="External"/><Relationship Id="rId27" Type="http://schemas.openxmlformats.org/officeDocument/2006/relationships/hyperlink" Target="https://fr.wikipedia.org/wiki/Valeur_mobili%C3%A8re"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Mouhamadou</dc:creator>
  <cp:keywords/>
  <dc:description/>
  <cp:lastModifiedBy>Lo, Mouhamadou</cp:lastModifiedBy>
  <cp:revision>1</cp:revision>
  <dcterms:created xsi:type="dcterms:W3CDTF">2016-07-12T08:43:00Z</dcterms:created>
  <dcterms:modified xsi:type="dcterms:W3CDTF">2016-09-07T10:10:00Z</dcterms:modified>
</cp:coreProperties>
</file>