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2F" w:rsidRDefault="0018762F" w:rsidP="0018762F">
      <w:pPr>
        <w:pStyle w:val="Corpsdetexte0"/>
        <w:jc w:val="center"/>
        <w:rPr>
          <w:b/>
          <w:u w:val="single"/>
          <w:lang w:val="en-US"/>
        </w:rPr>
      </w:pPr>
      <w:r w:rsidRPr="00D87A92">
        <w:rPr>
          <w:b/>
          <w:u w:val="single"/>
          <w:lang w:val="en-US"/>
        </w:rPr>
        <w:t xml:space="preserve">PROPOSED AMENDMENTS TO </w:t>
      </w:r>
      <w:r>
        <w:rPr>
          <w:b/>
          <w:u w:val="single"/>
          <w:lang w:val="en-US"/>
        </w:rPr>
        <w:t>THE EUROPEAN COMMISSION'S PROPOSED GENERAL DATA PROTECTION REGULATION</w:t>
      </w:r>
    </w:p>
    <w:p w:rsidR="0018762F" w:rsidRDefault="0018762F" w:rsidP="0018762F">
      <w:pPr>
        <w:pStyle w:val="Corpsdetexte0"/>
        <w:ind w:left="284"/>
        <w:jc w:val="left"/>
        <w:rPr>
          <w:b/>
          <w:u w:val="single"/>
          <w:lang w:val="en-US"/>
        </w:rPr>
      </w:pPr>
      <w:r>
        <w:rPr>
          <w:b/>
          <w:u w:val="single"/>
          <w:lang w:val="en-US"/>
        </w:rPr>
        <w:t>December, 2012</w:t>
      </w:r>
    </w:p>
    <w:p w:rsidR="0018762F" w:rsidRDefault="0018762F" w:rsidP="0018762F">
      <w:pPr>
        <w:pStyle w:val="Corpsdetexte0"/>
        <w:jc w:val="left"/>
        <w:rPr>
          <w:b/>
          <w:u w:val="single"/>
          <w:lang w:val="en-US"/>
        </w:rPr>
      </w:pPr>
    </w:p>
    <w:p w:rsidR="0018762F" w:rsidRDefault="0018762F" w:rsidP="0018762F">
      <w:pPr>
        <w:pStyle w:val="Corpsdetexte0"/>
        <w:numPr>
          <w:ilvl w:val="0"/>
          <w:numId w:val="1"/>
        </w:numPr>
        <w:jc w:val="left"/>
        <w:rPr>
          <w:b/>
          <w:u w:val="single"/>
          <w:lang w:val="en-US"/>
        </w:rPr>
      </w:pPr>
      <w:r>
        <w:rPr>
          <w:b/>
          <w:u w:val="single"/>
          <w:lang w:val="en-US"/>
        </w:rPr>
        <w:t>Recital 34</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4377"/>
        <w:gridCol w:w="4820"/>
        <w:gridCol w:w="3544"/>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4377"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w:t>
            </w:r>
            <w:r w:rsidRPr="006D28F1">
              <w:rPr>
                <w:color w:val="auto"/>
                <w:sz w:val="18"/>
                <w:szCs w:val="18"/>
                <w:lang w:val="en-US"/>
              </w:rPr>
              <w:t xml:space="preserve"> text</w:t>
            </w:r>
          </w:p>
        </w:tc>
        <w:tc>
          <w:tcPr>
            <w:tcW w:w="4820"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3544"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2839"/>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Recital 34</w:t>
            </w:r>
          </w:p>
        </w:tc>
        <w:tc>
          <w:tcPr>
            <w:tcW w:w="4377" w:type="dxa"/>
          </w:tcPr>
          <w:p w:rsidR="0018762F" w:rsidRPr="00953556" w:rsidRDefault="0018762F" w:rsidP="00882921">
            <w:pPr>
              <w:pStyle w:val="Corpsdetexte0"/>
              <w:cnfStyle w:val="000000100000"/>
              <w:rPr>
                <w:sz w:val="16"/>
                <w:szCs w:val="16"/>
                <w:lang w:val="en-US"/>
              </w:rPr>
            </w:pPr>
            <w:r>
              <w:rPr>
                <w:sz w:val="16"/>
                <w:szCs w:val="16"/>
                <w:lang w:val="en-US"/>
              </w:rPr>
              <w:t xml:space="preserve">(34)  </w:t>
            </w:r>
            <w:r w:rsidRPr="00953556">
              <w:rPr>
                <w:sz w:val="16"/>
                <w:szCs w:val="16"/>
                <w:lang w:val="en-US"/>
              </w:rPr>
              <w:t>Consent should not provide a valid legal ground for the processing</w:t>
            </w:r>
            <w:r>
              <w:rPr>
                <w:sz w:val="16"/>
                <w:szCs w:val="16"/>
                <w:lang w:val="en-US"/>
              </w:rPr>
              <w:t xml:space="preserve"> of personal data, </w:t>
            </w:r>
            <w:r w:rsidRPr="00953556">
              <w:rPr>
                <w:sz w:val="16"/>
                <w:szCs w:val="16"/>
                <w:lang w:val="en-US"/>
              </w:rPr>
              <w:t>where there is a clear imbalance between the data subj</w:t>
            </w:r>
            <w:r>
              <w:rPr>
                <w:sz w:val="16"/>
                <w:szCs w:val="16"/>
                <w:lang w:val="en-US"/>
              </w:rPr>
              <w:t xml:space="preserve">ect and the controller. This is </w:t>
            </w:r>
            <w:r w:rsidRPr="00953556">
              <w:rPr>
                <w:sz w:val="16"/>
                <w:szCs w:val="16"/>
                <w:lang w:val="en-US"/>
              </w:rPr>
              <w:t>especially the case where the data subject is in a s</w:t>
            </w:r>
            <w:r>
              <w:rPr>
                <w:sz w:val="16"/>
                <w:szCs w:val="16"/>
                <w:lang w:val="en-US"/>
              </w:rPr>
              <w:t xml:space="preserve">ituation of dependence from the </w:t>
            </w:r>
            <w:r w:rsidRPr="00953556">
              <w:rPr>
                <w:sz w:val="16"/>
                <w:szCs w:val="16"/>
                <w:lang w:val="en-US"/>
              </w:rPr>
              <w:t xml:space="preserve">controller, among others, where personal data are processed by the </w:t>
            </w:r>
            <w:r>
              <w:rPr>
                <w:sz w:val="16"/>
                <w:szCs w:val="16"/>
                <w:lang w:val="en-US"/>
              </w:rPr>
              <w:t xml:space="preserve">employer of </w:t>
            </w:r>
            <w:r w:rsidRPr="00953556">
              <w:rPr>
                <w:sz w:val="16"/>
                <w:szCs w:val="16"/>
                <w:lang w:val="en-US"/>
              </w:rPr>
              <w:t>employees' personal data in the employment context. W</w:t>
            </w:r>
            <w:r>
              <w:rPr>
                <w:sz w:val="16"/>
                <w:szCs w:val="16"/>
                <w:lang w:val="en-US"/>
              </w:rPr>
              <w:t xml:space="preserve">here the controller is a public </w:t>
            </w:r>
            <w:r w:rsidRPr="00953556">
              <w:rPr>
                <w:sz w:val="16"/>
                <w:szCs w:val="16"/>
                <w:lang w:val="en-US"/>
              </w:rPr>
              <w:t>authority, there would be an imbalance only in the spec</w:t>
            </w:r>
            <w:r>
              <w:rPr>
                <w:sz w:val="16"/>
                <w:szCs w:val="16"/>
                <w:lang w:val="en-US"/>
              </w:rPr>
              <w:t xml:space="preserve">ific data processing operations </w:t>
            </w:r>
            <w:r w:rsidRPr="00953556">
              <w:rPr>
                <w:sz w:val="16"/>
                <w:szCs w:val="16"/>
                <w:lang w:val="en-US"/>
              </w:rPr>
              <w:t>where the public authority can impose an obligation by virtue of its rel</w:t>
            </w:r>
            <w:r>
              <w:rPr>
                <w:sz w:val="16"/>
                <w:szCs w:val="16"/>
                <w:lang w:val="en-US"/>
              </w:rPr>
              <w:t xml:space="preserve">evant public </w:t>
            </w:r>
            <w:r w:rsidRPr="00953556">
              <w:rPr>
                <w:sz w:val="16"/>
                <w:szCs w:val="16"/>
                <w:lang w:val="en-US"/>
              </w:rPr>
              <w:t>powers and the consent cannot be deemed as freely</w:t>
            </w:r>
            <w:r>
              <w:rPr>
                <w:sz w:val="16"/>
                <w:szCs w:val="16"/>
                <w:lang w:val="en-US"/>
              </w:rPr>
              <w:t xml:space="preserve"> given, taking into account the </w:t>
            </w:r>
            <w:r w:rsidRPr="00953556">
              <w:rPr>
                <w:sz w:val="16"/>
                <w:szCs w:val="16"/>
                <w:lang w:val="en-US"/>
              </w:rPr>
              <w:t>interest of the data subject.</w:t>
            </w:r>
          </w:p>
          <w:p w:rsidR="0018762F" w:rsidRPr="00E244EE" w:rsidRDefault="0018762F" w:rsidP="00882921">
            <w:pPr>
              <w:pStyle w:val="Corpsdetexte0"/>
              <w:jc w:val="left"/>
              <w:cnfStyle w:val="000000100000"/>
              <w:rPr>
                <w:sz w:val="16"/>
                <w:szCs w:val="16"/>
                <w:lang w:val="en-US"/>
              </w:rPr>
            </w:pPr>
          </w:p>
        </w:tc>
        <w:tc>
          <w:tcPr>
            <w:tcW w:w="4820" w:type="dxa"/>
          </w:tcPr>
          <w:p w:rsidR="0018762F" w:rsidRPr="00E244EE" w:rsidRDefault="0018762F" w:rsidP="00882921">
            <w:pPr>
              <w:pStyle w:val="Corpsdetexte0"/>
              <w:jc w:val="left"/>
              <w:cnfStyle w:val="000000100000"/>
              <w:rPr>
                <w:b/>
                <w:sz w:val="16"/>
                <w:szCs w:val="16"/>
                <w:lang w:val="en-US"/>
              </w:rPr>
            </w:pPr>
            <w:r>
              <w:rPr>
                <w:sz w:val="16"/>
                <w:szCs w:val="16"/>
                <w:lang w:val="en-US"/>
              </w:rPr>
              <w:t xml:space="preserve">(34) </w:t>
            </w:r>
            <w:r w:rsidRPr="00953556">
              <w:rPr>
                <w:sz w:val="16"/>
                <w:szCs w:val="16"/>
                <w:lang w:val="en-US"/>
              </w:rPr>
              <w:t>Consent should not provide a valid legal ground for the processing</w:t>
            </w:r>
            <w:r>
              <w:rPr>
                <w:sz w:val="16"/>
                <w:szCs w:val="16"/>
                <w:lang w:val="en-US"/>
              </w:rPr>
              <w:t xml:space="preserve"> of personal data, </w:t>
            </w:r>
            <w:r w:rsidRPr="00953556">
              <w:rPr>
                <w:sz w:val="16"/>
                <w:szCs w:val="16"/>
                <w:lang w:val="en-US"/>
              </w:rPr>
              <w:t>where there is a clear imbalance between the data subj</w:t>
            </w:r>
            <w:r>
              <w:rPr>
                <w:sz w:val="16"/>
                <w:szCs w:val="16"/>
                <w:lang w:val="en-US"/>
              </w:rPr>
              <w:t xml:space="preserve">ect and the controller. This is </w:t>
            </w:r>
            <w:r w:rsidRPr="00953556">
              <w:rPr>
                <w:sz w:val="16"/>
                <w:szCs w:val="16"/>
                <w:lang w:val="en-US"/>
              </w:rPr>
              <w:t>especially the case where the data subject is in a s</w:t>
            </w:r>
            <w:r>
              <w:rPr>
                <w:sz w:val="16"/>
                <w:szCs w:val="16"/>
                <w:lang w:val="en-US"/>
              </w:rPr>
              <w:t xml:space="preserve">ituation of dependence from the </w:t>
            </w:r>
            <w:r w:rsidRPr="00953556">
              <w:rPr>
                <w:sz w:val="16"/>
                <w:szCs w:val="16"/>
                <w:lang w:val="en-US"/>
              </w:rPr>
              <w:t xml:space="preserve">controller, among others, where personal data are processed by the </w:t>
            </w:r>
            <w:r>
              <w:rPr>
                <w:sz w:val="16"/>
                <w:szCs w:val="16"/>
                <w:lang w:val="en-US"/>
              </w:rPr>
              <w:t xml:space="preserve">employer of </w:t>
            </w:r>
            <w:r w:rsidRPr="00953556">
              <w:rPr>
                <w:sz w:val="16"/>
                <w:szCs w:val="16"/>
                <w:lang w:val="en-US"/>
              </w:rPr>
              <w:t>employees' personal data in the employment context</w:t>
            </w:r>
            <w:r>
              <w:rPr>
                <w:sz w:val="16"/>
                <w:szCs w:val="16"/>
                <w:lang w:val="en-US"/>
              </w:rPr>
              <w:t xml:space="preserve"> </w:t>
            </w:r>
            <w:r w:rsidRPr="00953556">
              <w:rPr>
                <w:b/>
                <w:sz w:val="16"/>
                <w:szCs w:val="16"/>
                <w:u w:val="single"/>
                <w:lang w:val="en-US"/>
              </w:rPr>
              <w:t xml:space="preserve">to the extent that it is proven that significant pressure was exercised on the employee so that he had no choice but to provide his </w:t>
            </w:r>
            <w:r w:rsidRPr="00F960DE">
              <w:rPr>
                <w:b/>
                <w:sz w:val="16"/>
                <w:szCs w:val="16"/>
                <w:u w:val="single"/>
                <w:lang w:val="en-US"/>
              </w:rPr>
              <w:t>consent</w:t>
            </w:r>
            <w:r w:rsidRPr="005B5933">
              <w:rPr>
                <w:sz w:val="16"/>
                <w:szCs w:val="16"/>
                <w:lang w:val="en-US"/>
              </w:rPr>
              <w:t xml:space="preserve">. </w:t>
            </w:r>
            <w:r>
              <w:rPr>
                <w:sz w:val="16"/>
                <w:szCs w:val="16"/>
                <w:lang w:val="en-US"/>
              </w:rPr>
              <w:t>Whe</w:t>
            </w:r>
            <w:r w:rsidRPr="00F960DE">
              <w:rPr>
                <w:sz w:val="16"/>
                <w:szCs w:val="16"/>
                <w:lang w:val="en-US"/>
              </w:rPr>
              <w:t>re</w:t>
            </w:r>
            <w:r>
              <w:rPr>
                <w:sz w:val="16"/>
                <w:szCs w:val="16"/>
                <w:lang w:val="en-US"/>
              </w:rPr>
              <w:t xml:space="preserve"> the controller is a public </w:t>
            </w:r>
            <w:r w:rsidRPr="00953556">
              <w:rPr>
                <w:sz w:val="16"/>
                <w:szCs w:val="16"/>
                <w:lang w:val="en-US"/>
              </w:rPr>
              <w:t>authority, there would be an imbalance only in the spec</w:t>
            </w:r>
            <w:r>
              <w:rPr>
                <w:sz w:val="16"/>
                <w:szCs w:val="16"/>
                <w:lang w:val="en-US"/>
              </w:rPr>
              <w:t xml:space="preserve">ific data processing operations </w:t>
            </w:r>
            <w:r w:rsidRPr="00953556">
              <w:rPr>
                <w:sz w:val="16"/>
                <w:szCs w:val="16"/>
                <w:lang w:val="en-US"/>
              </w:rPr>
              <w:t>where the public authority can impose an obligation by virtue of its rel</w:t>
            </w:r>
            <w:r>
              <w:rPr>
                <w:sz w:val="16"/>
                <w:szCs w:val="16"/>
                <w:lang w:val="en-US"/>
              </w:rPr>
              <w:t xml:space="preserve">evant public </w:t>
            </w:r>
            <w:r w:rsidRPr="00953556">
              <w:rPr>
                <w:sz w:val="16"/>
                <w:szCs w:val="16"/>
                <w:lang w:val="en-US"/>
              </w:rPr>
              <w:t>powers and the consent cannot be deemed as freely</w:t>
            </w:r>
            <w:r>
              <w:rPr>
                <w:sz w:val="16"/>
                <w:szCs w:val="16"/>
                <w:lang w:val="en-US"/>
              </w:rPr>
              <w:t xml:space="preserve"> given, taking into account the </w:t>
            </w:r>
            <w:r w:rsidRPr="00953556">
              <w:rPr>
                <w:sz w:val="16"/>
                <w:szCs w:val="16"/>
                <w:lang w:val="en-US"/>
              </w:rPr>
              <w:t>interest of the data subject.</w:t>
            </w:r>
          </w:p>
        </w:tc>
        <w:tc>
          <w:tcPr>
            <w:tcW w:w="3544" w:type="dxa"/>
          </w:tcPr>
          <w:p w:rsidR="0018762F" w:rsidRPr="00E043F7" w:rsidRDefault="0018762F" w:rsidP="00882921">
            <w:pPr>
              <w:pStyle w:val="Corpsdetexte0"/>
              <w:jc w:val="left"/>
              <w:cnfStyle w:val="000000100000"/>
              <w:rPr>
                <w:i/>
                <w:sz w:val="16"/>
                <w:szCs w:val="16"/>
                <w:lang w:val="en-US"/>
              </w:rPr>
            </w:pPr>
            <w:r w:rsidRPr="00E043F7">
              <w:rPr>
                <w:i/>
                <w:sz w:val="16"/>
                <w:szCs w:val="16"/>
                <w:lang w:val="en-US"/>
              </w:rPr>
              <w:t>In particular for data processing companies that employ a vast amount of</w:t>
            </w:r>
            <w:r>
              <w:rPr>
                <w:i/>
                <w:sz w:val="16"/>
                <w:szCs w:val="16"/>
                <w:lang w:val="en-US"/>
              </w:rPr>
              <w:t xml:space="preserve"> employees</w:t>
            </w:r>
            <w:r w:rsidRPr="00E043F7">
              <w:rPr>
                <w:i/>
                <w:sz w:val="16"/>
                <w:szCs w:val="16"/>
                <w:lang w:val="en-US"/>
              </w:rPr>
              <w:t xml:space="preserve"> throughout the EU</w:t>
            </w:r>
            <w:r>
              <w:rPr>
                <w:i/>
                <w:sz w:val="16"/>
                <w:szCs w:val="16"/>
                <w:lang w:val="en-US"/>
              </w:rPr>
              <w:t>, and therefore find themselves</w:t>
            </w:r>
            <w:r w:rsidRPr="00E043F7">
              <w:rPr>
                <w:i/>
                <w:sz w:val="16"/>
                <w:szCs w:val="16"/>
                <w:lang w:val="en-US"/>
              </w:rPr>
              <w:t xml:space="preserve"> subject to signific</w:t>
            </w:r>
            <w:r>
              <w:rPr>
                <w:i/>
                <w:sz w:val="16"/>
                <w:szCs w:val="16"/>
                <w:lang w:val="en-US"/>
              </w:rPr>
              <w:t xml:space="preserve">ant administrative obligations, </w:t>
            </w:r>
            <w:r w:rsidRPr="00E043F7">
              <w:rPr>
                <w:i/>
                <w:sz w:val="16"/>
                <w:szCs w:val="16"/>
                <w:lang w:val="en-US"/>
              </w:rPr>
              <w:t xml:space="preserve">it is important to be more precise as to when exactly </w:t>
            </w:r>
            <w:r>
              <w:rPr>
                <w:i/>
                <w:sz w:val="16"/>
                <w:szCs w:val="16"/>
                <w:lang w:val="en-US"/>
              </w:rPr>
              <w:t xml:space="preserve">an </w:t>
            </w:r>
            <w:r w:rsidRPr="00E043F7">
              <w:rPr>
                <w:i/>
                <w:sz w:val="16"/>
                <w:szCs w:val="16"/>
                <w:lang w:val="en-US"/>
              </w:rPr>
              <w:t>employee</w:t>
            </w:r>
            <w:r>
              <w:rPr>
                <w:i/>
                <w:sz w:val="16"/>
                <w:szCs w:val="16"/>
                <w:lang w:val="en-US"/>
              </w:rPr>
              <w:t xml:space="preserve">'s </w:t>
            </w:r>
            <w:r w:rsidRPr="00E043F7">
              <w:rPr>
                <w:i/>
                <w:sz w:val="16"/>
                <w:szCs w:val="16"/>
                <w:lang w:val="en-US"/>
              </w:rPr>
              <w:t xml:space="preserve">consent will not provide a valid legal ground for the processing of personal data in the employment context. </w:t>
            </w:r>
            <w:r>
              <w:rPr>
                <w:i/>
                <w:sz w:val="16"/>
                <w:szCs w:val="16"/>
                <w:lang w:val="en-US"/>
              </w:rPr>
              <w:t xml:space="preserve">If such criteria </w:t>
            </w:r>
            <w:r w:rsidRPr="00E043F7">
              <w:rPr>
                <w:i/>
                <w:sz w:val="16"/>
                <w:szCs w:val="16"/>
                <w:lang w:val="en-US"/>
              </w:rPr>
              <w:t>are</w:t>
            </w:r>
            <w:r>
              <w:rPr>
                <w:i/>
                <w:sz w:val="16"/>
                <w:szCs w:val="16"/>
                <w:lang w:val="en-US"/>
              </w:rPr>
              <w:t xml:space="preserve"> not strictly</w:t>
            </w:r>
            <w:r w:rsidRPr="00E043F7">
              <w:rPr>
                <w:i/>
                <w:sz w:val="16"/>
                <w:szCs w:val="16"/>
                <w:lang w:val="en-US"/>
              </w:rPr>
              <w:t xml:space="preserve"> defined, it could open the floodgates for unwarranted claims against such companies</w:t>
            </w:r>
            <w:r>
              <w:rPr>
                <w:i/>
                <w:sz w:val="16"/>
                <w:szCs w:val="16"/>
                <w:lang w:val="en-US"/>
              </w:rPr>
              <w:t>.</w:t>
            </w:r>
            <w:r w:rsidRPr="00E043F7">
              <w:rPr>
                <w:i/>
                <w:sz w:val="16"/>
                <w:szCs w:val="16"/>
                <w:lang w:val="en-US"/>
              </w:rPr>
              <w:t xml:space="preserve"> </w:t>
            </w:r>
            <w:r>
              <w:rPr>
                <w:i/>
                <w:sz w:val="16"/>
                <w:szCs w:val="16"/>
                <w:lang w:val="en-US"/>
              </w:rPr>
              <w:t xml:space="preserve">Furthermore, employee consent may help ensure   legal certainty in cases where it is not absolutely clear if processing of employee data based on the general legal terms is admissible, or in cases the employee would receive an advantage. </w:t>
            </w:r>
          </w:p>
        </w:tc>
      </w:tr>
    </w:tbl>
    <w:p w:rsidR="0018762F" w:rsidRDefault="0018762F" w:rsidP="0018762F">
      <w:pPr>
        <w:pStyle w:val="Corpsdetexte0"/>
        <w:ind w:left="1080"/>
        <w:jc w:val="left"/>
        <w:rPr>
          <w:b/>
          <w:u w:val="single"/>
          <w:lang w:val="en-US"/>
        </w:rPr>
      </w:pPr>
    </w:p>
    <w:p w:rsidR="0018762F" w:rsidRDefault="0018762F" w:rsidP="0018762F">
      <w:pPr>
        <w:pStyle w:val="Corpsdetexte0"/>
        <w:ind w:left="1080"/>
        <w:jc w:val="left"/>
        <w:rPr>
          <w:b/>
          <w:u w:val="single"/>
          <w:lang w:val="en-US"/>
        </w:rPr>
      </w:pPr>
    </w:p>
    <w:p w:rsidR="0018762F" w:rsidRDefault="0018762F" w:rsidP="0018762F">
      <w:pPr>
        <w:pStyle w:val="Corpsdetexte0"/>
        <w:ind w:left="1080"/>
        <w:jc w:val="left"/>
        <w:rPr>
          <w:b/>
          <w:u w:val="single"/>
          <w:lang w:val="en-US"/>
        </w:rPr>
      </w:pPr>
    </w:p>
    <w:p w:rsidR="0018762F" w:rsidRDefault="0018762F" w:rsidP="0018762F">
      <w:pPr>
        <w:pStyle w:val="Corpsdetexte0"/>
        <w:ind w:left="1080"/>
        <w:jc w:val="left"/>
        <w:rPr>
          <w:b/>
          <w:u w:val="single"/>
          <w:lang w:val="en-US"/>
        </w:rPr>
      </w:pPr>
    </w:p>
    <w:p w:rsidR="0018762F" w:rsidRDefault="0018762F" w:rsidP="0018762F">
      <w:pPr>
        <w:pStyle w:val="Corpsdetexte0"/>
        <w:ind w:left="1080"/>
        <w:jc w:val="left"/>
        <w:rPr>
          <w:b/>
          <w:u w:val="single"/>
          <w:lang w:val="en-US"/>
        </w:rPr>
      </w:pPr>
    </w:p>
    <w:p w:rsidR="0018762F" w:rsidRDefault="0018762F" w:rsidP="0018762F">
      <w:pPr>
        <w:pStyle w:val="Corpsdetexte0"/>
        <w:ind w:left="1080"/>
        <w:jc w:val="left"/>
        <w:rPr>
          <w:b/>
          <w:u w:val="single"/>
          <w:lang w:val="en-US"/>
        </w:rPr>
      </w:pPr>
    </w:p>
    <w:p w:rsidR="0018762F" w:rsidRPr="006D28F1" w:rsidRDefault="0018762F" w:rsidP="0018762F">
      <w:pPr>
        <w:pStyle w:val="Corpsdetexte0"/>
        <w:numPr>
          <w:ilvl w:val="0"/>
          <w:numId w:val="1"/>
        </w:numPr>
        <w:jc w:val="left"/>
        <w:rPr>
          <w:b/>
          <w:u w:val="single"/>
          <w:lang w:val="en-US"/>
        </w:rPr>
      </w:pPr>
      <w:r>
        <w:rPr>
          <w:b/>
          <w:u w:val="single"/>
          <w:lang w:val="en-US"/>
        </w:rPr>
        <w:lastRenderedPageBreak/>
        <w:t>Article 17: Right to be forgotten and to erasure</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 xml:space="preserve">Commission proposed </w:t>
            </w:r>
            <w:r w:rsidRPr="006D28F1">
              <w:rPr>
                <w:color w:val="auto"/>
                <w:sz w:val="18"/>
                <w:szCs w:val="18"/>
                <w:lang w:val="en-US"/>
              </w:rPr>
              <w:t>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17(1)(a)</w:t>
            </w:r>
          </w:p>
        </w:tc>
        <w:tc>
          <w:tcPr>
            <w:tcW w:w="3952" w:type="dxa"/>
          </w:tcPr>
          <w:p w:rsidR="0018762F" w:rsidRPr="00E244EE" w:rsidRDefault="0018762F" w:rsidP="00882921">
            <w:pPr>
              <w:pStyle w:val="Corpsdetexte0"/>
              <w:jc w:val="left"/>
              <w:cnfStyle w:val="000000100000"/>
              <w:rPr>
                <w:sz w:val="16"/>
                <w:szCs w:val="16"/>
                <w:lang w:val="en-US"/>
              </w:rPr>
            </w:pPr>
            <w:r w:rsidRPr="00F71758">
              <w:rPr>
                <w:sz w:val="16"/>
                <w:szCs w:val="16"/>
                <w:lang w:val="en-US"/>
              </w:rPr>
              <w:t>(a</w:t>
            </w:r>
            <w:r>
              <w:rPr>
                <w:sz w:val="16"/>
                <w:szCs w:val="16"/>
                <w:lang w:val="en-US"/>
              </w:rPr>
              <w:t>)  the data are no longer necessary in relation to the purposes for which they were collected or otherwise processed;</w:t>
            </w:r>
          </w:p>
        </w:tc>
        <w:tc>
          <w:tcPr>
            <w:tcW w:w="4394" w:type="dxa"/>
          </w:tcPr>
          <w:p w:rsidR="0018762F" w:rsidRPr="00D360D4" w:rsidRDefault="0018762F" w:rsidP="0018762F">
            <w:pPr>
              <w:pStyle w:val="Corpsdetexte0"/>
              <w:jc w:val="left"/>
              <w:cnfStyle w:val="000000100000"/>
              <w:rPr>
                <w:b/>
                <w:i/>
                <w:sz w:val="16"/>
                <w:szCs w:val="16"/>
                <w:lang w:val="en-US"/>
              </w:rPr>
            </w:pPr>
            <w:r>
              <w:rPr>
                <w:sz w:val="16"/>
                <w:szCs w:val="16"/>
                <w:lang w:val="en-US"/>
              </w:rPr>
              <w:t xml:space="preserve">(a) </w:t>
            </w:r>
            <w:proofErr w:type="gramStart"/>
            <w:r>
              <w:rPr>
                <w:sz w:val="16"/>
                <w:szCs w:val="16"/>
                <w:lang w:val="en-US"/>
              </w:rPr>
              <w:t>the</w:t>
            </w:r>
            <w:proofErr w:type="gramEnd"/>
            <w:r>
              <w:rPr>
                <w:sz w:val="16"/>
                <w:szCs w:val="16"/>
                <w:lang w:val="en-US"/>
              </w:rPr>
              <w:t xml:space="preserve"> data are no longer necessary in relation to the purposes for which they were collected or otherwise processed</w:t>
            </w:r>
            <w:r w:rsidRPr="00703CB3">
              <w:rPr>
                <w:b/>
                <w:sz w:val="16"/>
                <w:szCs w:val="16"/>
                <w:lang w:val="en-US"/>
              </w:rPr>
              <w:t xml:space="preserve"> </w:t>
            </w:r>
            <w:r w:rsidRPr="00C0589A">
              <w:rPr>
                <w:b/>
                <w:sz w:val="16"/>
                <w:szCs w:val="16"/>
                <w:u w:val="single"/>
                <w:lang w:val="en-US"/>
              </w:rPr>
              <w:t>and,  where the data controller or processor has not foreseen a regular deletion of data which is considered reasonable for the applicable sector</w:t>
            </w:r>
            <w:r w:rsidRPr="0018762F">
              <w:rPr>
                <w:b/>
                <w:sz w:val="16"/>
                <w:szCs w:val="16"/>
                <w:u w:val="single"/>
                <w:lang w:val="en-US"/>
              </w:rPr>
              <w:t xml:space="preserve"> and/or in compliance with the relevant data retention rules.</w:t>
            </w:r>
          </w:p>
        </w:tc>
        <w:tc>
          <w:tcPr>
            <w:tcW w:w="4395" w:type="dxa"/>
          </w:tcPr>
          <w:p w:rsidR="0018762F" w:rsidRDefault="0018762F" w:rsidP="00882921">
            <w:pPr>
              <w:pStyle w:val="Corpsdetexte0"/>
              <w:jc w:val="left"/>
              <w:cnfStyle w:val="000000100000"/>
              <w:rPr>
                <w:i/>
                <w:sz w:val="16"/>
                <w:szCs w:val="16"/>
                <w:lang w:val="en-US"/>
              </w:rPr>
            </w:pPr>
            <w:r w:rsidRPr="00803A29">
              <w:rPr>
                <w:i/>
                <w:sz w:val="16"/>
                <w:szCs w:val="16"/>
                <w:lang w:val="en-US"/>
              </w:rPr>
              <w:t xml:space="preserve">It is important to ensure that compliance with Article 17 would not require disproportionate effort. For example, in the payments industry, annual transactions processed by (i.e. credit </w:t>
            </w:r>
            <w:r>
              <w:rPr>
                <w:i/>
                <w:sz w:val="16"/>
                <w:szCs w:val="16"/>
                <w:lang w:val="en-US"/>
              </w:rPr>
              <w:t xml:space="preserve">/ debit </w:t>
            </w:r>
            <w:r w:rsidRPr="00803A29">
              <w:rPr>
                <w:i/>
                <w:sz w:val="16"/>
                <w:szCs w:val="16"/>
                <w:lang w:val="en-US"/>
              </w:rPr>
              <w:t xml:space="preserve">card processors) are counted in billions and selecting individual data </w:t>
            </w:r>
            <w:r>
              <w:rPr>
                <w:i/>
                <w:sz w:val="16"/>
                <w:szCs w:val="16"/>
                <w:lang w:val="en-US"/>
              </w:rPr>
              <w:t xml:space="preserve">could cause huge effort or </w:t>
            </w:r>
            <w:r w:rsidRPr="00803A29">
              <w:rPr>
                <w:i/>
                <w:sz w:val="16"/>
                <w:szCs w:val="16"/>
                <w:lang w:val="en-US"/>
              </w:rPr>
              <w:t>can</w:t>
            </w:r>
            <w:r>
              <w:rPr>
                <w:i/>
                <w:sz w:val="16"/>
                <w:szCs w:val="16"/>
                <w:lang w:val="en-US"/>
              </w:rPr>
              <w:t xml:space="preserve"> even</w:t>
            </w:r>
            <w:r w:rsidRPr="00803A29">
              <w:rPr>
                <w:i/>
                <w:sz w:val="16"/>
                <w:szCs w:val="16"/>
                <w:lang w:val="en-US"/>
              </w:rPr>
              <w:t xml:space="preserve"> be technically impossible</w:t>
            </w:r>
            <w:r>
              <w:rPr>
                <w:i/>
                <w:sz w:val="16"/>
                <w:szCs w:val="16"/>
                <w:lang w:val="en-US"/>
              </w:rPr>
              <w:t xml:space="preserve"> e.g. when the identification of the data subject is not possible for the payment processor </w:t>
            </w:r>
            <w:proofErr w:type="gramStart"/>
            <w:r>
              <w:rPr>
                <w:i/>
                <w:sz w:val="16"/>
                <w:szCs w:val="16"/>
                <w:lang w:val="en-US"/>
              </w:rPr>
              <w:t>( i.e</w:t>
            </w:r>
            <w:proofErr w:type="gramEnd"/>
            <w:r>
              <w:rPr>
                <w:i/>
                <w:sz w:val="16"/>
                <w:szCs w:val="16"/>
                <w:lang w:val="en-US"/>
              </w:rPr>
              <w:t>. when only card numbers, but no cardholder names are processed), or when data  is stored in not only one system or if there exist back-up copies etc.</w:t>
            </w:r>
            <w:r w:rsidRPr="00803A29">
              <w:rPr>
                <w:i/>
                <w:sz w:val="16"/>
                <w:szCs w:val="16"/>
                <w:lang w:val="en-US"/>
              </w:rPr>
              <w:t xml:space="preserve">. </w:t>
            </w:r>
            <w:r>
              <w:rPr>
                <w:i/>
                <w:sz w:val="16"/>
                <w:szCs w:val="16"/>
                <w:lang w:val="en-US"/>
              </w:rPr>
              <w:t>Indeed, w</w:t>
            </w:r>
            <w:r w:rsidRPr="00803A29">
              <w:rPr>
                <w:i/>
                <w:sz w:val="16"/>
                <w:szCs w:val="16"/>
                <w:lang w:val="en-US"/>
              </w:rPr>
              <w:t>ith regards to financial data, it is often not feasible to conduct selective deletion upon request and instead more practical to ensure total destruction of data after a certain period of time has lapsed.</w:t>
            </w:r>
          </w:p>
          <w:p w:rsidR="0018762F" w:rsidRPr="00803A29" w:rsidRDefault="0018762F" w:rsidP="00882921">
            <w:pPr>
              <w:pStyle w:val="Corpsdetexte0"/>
              <w:jc w:val="left"/>
              <w:cnfStyle w:val="000000100000"/>
              <w:rPr>
                <w:i/>
                <w:sz w:val="16"/>
                <w:szCs w:val="16"/>
                <w:lang w:val="en-US"/>
              </w:rPr>
            </w:pPr>
            <w:r>
              <w:rPr>
                <w:i/>
                <w:sz w:val="16"/>
                <w:szCs w:val="16"/>
                <w:lang w:val="en-US"/>
              </w:rPr>
              <w:t>Therefore, we would prefer a more general obligation to delete data instead of a right of each data subject to request his/her data to be deleted.</w:t>
            </w:r>
          </w:p>
        </w:tc>
      </w:tr>
      <w:tr w:rsidR="0018762F" w:rsidRPr="006C096F" w:rsidTr="00882921">
        <w:trPr>
          <w:trHeight w:val="630"/>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17(1)(d)</w:t>
            </w:r>
          </w:p>
        </w:tc>
        <w:tc>
          <w:tcPr>
            <w:tcW w:w="3952" w:type="dxa"/>
          </w:tcPr>
          <w:p w:rsidR="0018762F" w:rsidRPr="00C0589A" w:rsidRDefault="0018762F" w:rsidP="00882921">
            <w:pPr>
              <w:pStyle w:val="Corpsdetexte0"/>
              <w:cnfStyle w:val="000000000000"/>
              <w:rPr>
                <w:sz w:val="16"/>
                <w:szCs w:val="16"/>
                <w:lang w:val="en-US"/>
              </w:rPr>
            </w:pPr>
            <w:r>
              <w:rPr>
                <w:sz w:val="16"/>
                <w:szCs w:val="16"/>
                <w:lang w:val="en-US"/>
              </w:rPr>
              <w:t xml:space="preserve">(d) </w:t>
            </w:r>
            <w:proofErr w:type="gramStart"/>
            <w:r w:rsidRPr="00C0589A">
              <w:rPr>
                <w:sz w:val="16"/>
                <w:szCs w:val="16"/>
                <w:lang w:val="en-US"/>
              </w:rPr>
              <w:t>the</w:t>
            </w:r>
            <w:proofErr w:type="gramEnd"/>
            <w:r w:rsidRPr="00C0589A">
              <w:rPr>
                <w:sz w:val="16"/>
                <w:szCs w:val="16"/>
                <w:lang w:val="en-US"/>
              </w:rPr>
              <w:t xml:space="preserve"> processing of the data does not comply</w:t>
            </w:r>
            <w:r>
              <w:rPr>
                <w:sz w:val="16"/>
                <w:szCs w:val="16"/>
                <w:lang w:val="en-US"/>
              </w:rPr>
              <w:t xml:space="preserve"> with this Regulation for other </w:t>
            </w:r>
            <w:r w:rsidRPr="00C0589A">
              <w:rPr>
                <w:sz w:val="16"/>
                <w:szCs w:val="16"/>
                <w:lang w:val="en-US"/>
              </w:rPr>
              <w:t>reasons.</w:t>
            </w:r>
          </w:p>
          <w:p w:rsidR="0018762F" w:rsidRPr="00E244EE" w:rsidRDefault="0018762F" w:rsidP="00882921">
            <w:pPr>
              <w:pStyle w:val="Corpsdetexte0"/>
              <w:jc w:val="left"/>
              <w:cnfStyle w:val="000000000000"/>
              <w:rPr>
                <w:sz w:val="16"/>
                <w:szCs w:val="16"/>
                <w:lang w:val="en-US"/>
              </w:rPr>
            </w:pPr>
          </w:p>
        </w:tc>
        <w:tc>
          <w:tcPr>
            <w:tcW w:w="4394" w:type="dxa"/>
          </w:tcPr>
          <w:p w:rsidR="0018762F" w:rsidRDefault="0018762F" w:rsidP="00882921">
            <w:pPr>
              <w:pStyle w:val="Corpsdetexte0"/>
              <w:cnfStyle w:val="000000000000"/>
              <w:rPr>
                <w:b/>
                <w:sz w:val="16"/>
                <w:szCs w:val="16"/>
                <w:u w:val="single"/>
                <w:lang w:val="en-US"/>
              </w:rPr>
            </w:pPr>
            <w:r w:rsidRPr="00C0589A">
              <w:rPr>
                <w:sz w:val="16"/>
                <w:szCs w:val="16"/>
                <w:lang w:val="en-US"/>
              </w:rPr>
              <w:t xml:space="preserve">(d) </w:t>
            </w:r>
            <w:proofErr w:type="gramStart"/>
            <w:r>
              <w:rPr>
                <w:sz w:val="16"/>
                <w:szCs w:val="16"/>
                <w:lang w:val="en-US"/>
              </w:rPr>
              <w:t>the</w:t>
            </w:r>
            <w:proofErr w:type="gramEnd"/>
            <w:r>
              <w:rPr>
                <w:sz w:val="16"/>
                <w:szCs w:val="16"/>
                <w:lang w:val="en-US"/>
              </w:rPr>
              <w:t xml:space="preserve"> processing of the data does not comply with this Regulation for </w:t>
            </w:r>
            <w:r w:rsidRPr="00C0589A">
              <w:rPr>
                <w:strike/>
                <w:sz w:val="16"/>
                <w:szCs w:val="16"/>
                <w:lang w:val="en-US"/>
              </w:rPr>
              <w:t xml:space="preserve">other </w:t>
            </w:r>
            <w:r>
              <w:rPr>
                <w:strike/>
                <w:sz w:val="16"/>
                <w:szCs w:val="16"/>
                <w:lang w:val="en-US"/>
              </w:rPr>
              <w:t>reasons</w:t>
            </w:r>
            <w:r w:rsidRPr="00C0589A">
              <w:rPr>
                <w:sz w:val="16"/>
                <w:szCs w:val="16"/>
                <w:lang w:val="en-US"/>
              </w:rPr>
              <w:t xml:space="preserve"> </w:t>
            </w:r>
            <w:r w:rsidRPr="00C0589A">
              <w:rPr>
                <w:b/>
                <w:sz w:val="16"/>
                <w:szCs w:val="16"/>
                <w:u w:val="single"/>
                <w:lang w:val="en-US"/>
              </w:rPr>
              <w:t>reasons that constitu</w:t>
            </w:r>
            <w:r>
              <w:rPr>
                <w:b/>
                <w:sz w:val="16"/>
                <w:szCs w:val="16"/>
                <w:u w:val="single"/>
                <w:lang w:val="en-US"/>
              </w:rPr>
              <w:t>te a material breach of it</w:t>
            </w:r>
            <w:r w:rsidRPr="00C0589A">
              <w:rPr>
                <w:b/>
                <w:sz w:val="16"/>
                <w:szCs w:val="16"/>
                <w:u w:val="single"/>
                <w:lang w:val="en-US"/>
              </w:rPr>
              <w:t>.</w:t>
            </w:r>
          </w:p>
          <w:p w:rsidR="0018762F" w:rsidRPr="00C0589A" w:rsidRDefault="0018762F" w:rsidP="00882921">
            <w:pPr>
              <w:pStyle w:val="Corpsdetexte0"/>
              <w:cnfStyle w:val="000000000000"/>
              <w:rPr>
                <w:sz w:val="16"/>
                <w:szCs w:val="16"/>
                <w:lang w:val="en-US"/>
              </w:rPr>
            </w:pPr>
          </w:p>
        </w:tc>
        <w:tc>
          <w:tcPr>
            <w:tcW w:w="4395" w:type="dxa"/>
          </w:tcPr>
          <w:p w:rsidR="0018762F" w:rsidRPr="00E043F7" w:rsidRDefault="0018762F" w:rsidP="00882921">
            <w:pPr>
              <w:pStyle w:val="Corpsdetexte0"/>
              <w:jc w:val="left"/>
              <w:cnfStyle w:val="000000000000"/>
              <w:rPr>
                <w:b/>
                <w:i/>
                <w:sz w:val="16"/>
                <w:szCs w:val="16"/>
                <w:lang w:val="en-US"/>
              </w:rPr>
            </w:pPr>
            <w:r w:rsidRPr="00394FF4">
              <w:rPr>
                <w:i/>
                <w:sz w:val="16"/>
                <w:szCs w:val="16"/>
                <w:lang w:val="en-US"/>
              </w:rPr>
              <w:t>For the reasons mentioned above, it is imperative</w:t>
            </w:r>
            <w:r>
              <w:rPr>
                <w:i/>
                <w:sz w:val="16"/>
                <w:szCs w:val="16"/>
                <w:lang w:val="en-US"/>
              </w:rPr>
              <w:t xml:space="preserve"> to ensure that the conditions as to when a data subject shall have the right to erasure are clearly defined so as not to impose disproportionate, or in some cases even impossible, duties on the data processor or controller. The condition of material breach provides a reasonable qualification that would cover all relevant cases while providing more clarity and legal certainty than "other reasons".   </w:t>
            </w:r>
          </w:p>
        </w:tc>
      </w:tr>
      <w:tr w:rsidR="0018762F" w:rsidRPr="006C096F" w:rsidTr="00882921">
        <w:trPr>
          <w:cnfStyle w:val="000000100000"/>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17(2)</w:t>
            </w:r>
          </w:p>
        </w:tc>
        <w:tc>
          <w:tcPr>
            <w:tcW w:w="3952" w:type="dxa"/>
          </w:tcPr>
          <w:p w:rsidR="0018762F" w:rsidRPr="00013315" w:rsidRDefault="0018762F" w:rsidP="00882921">
            <w:pPr>
              <w:pStyle w:val="Corpsdetexte0"/>
              <w:cnfStyle w:val="000000100000"/>
              <w:rPr>
                <w:sz w:val="16"/>
                <w:szCs w:val="16"/>
                <w:lang w:val="en-US"/>
              </w:rPr>
            </w:pPr>
            <w:r>
              <w:rPr>
                <w:sz w:val="16"/>
                <w:szCs w:val="16"/>
                <w:lang w:val="en-US"/>
              </w:rPr>
              <w:t xml:space="preserve">(2) </w:t>
            </w:r>
            <w:r w:rsidRPr="00013315">
              <w:rPr>
                <w:sz w:val="16"/>
                <w:szCs w:val="16"/>
                <w:lang w:val="en-US"/>
              </w:rPr>
              <w:t>Where the controller referred to in paragraph 1 has ma</w:t>
            </w:r>
            <w:r>
              <w:rPr>
                <w:sz w:val="16"/>
                <w:szCs w:val="16"/>
                <w:lang w:val="en-US"/>
              </w:rPr>
              <w:t xml:space="preserve">de the personal data public, it </w:t>
            </w:r>
            <w:r w:rsidRPr="00013315">
              <w:rPr>
                <w:sz w:val="16"/>
                <w:szCs w:val="16"/>
                <w:lang w:val="en-US"/>
              </w:rPr>
              <w:t>shall take all reasonable steps, including technical me</w:t>
            </w:r>
            <w:r>
              <w:rPr>
                <w:sz w:val="16"/>
                <w:szCs w:val="16"/>
                <w:lang w:val="en-US"/>
              </w:rPr>
              <w:t xml:space="preserve">asures, in relation to data for </w:t>
            </w:r>
            <w:r w:rsidRPr="00013315">
              <w:rPr>
                <w:sz w:val="16"/>
                <w:szCs w:val="16"/>
                <w:lang w:val="en-US"/>
              </w:rPr>
              <w:t>the publication of which the controller is responsible</w:t>
            </w:r>
            <w:r>
              <w:rPr>
                <w:sz w:val="16"/>
                <w:szCs w:val="16"/>
                <w:lang w:val="en-US"/>
              </w:rPr>
              <w:t xml:space="preserve">, to inform third parties which </w:t>
            </w:r>
            <w:r w:rsidRPr="00013315">
              <w:rPr>
                <w:sz w:val="16"/>
                <w:szCs w:val="16"/>
                <w:lang w:val="en-US"/>
              </w:rPr>
              <w:t>are processing such data, that a data subject requests</w:t>
            </w:r>
            <w:r>
              <w:rPr>
                <w:sz w:val="16"/>
                <w:szCs w:val="16"/>
                <w:lang w:val="en-US"/>
              </w:rPr>
              <w:t xml:space="preserve"> them to erase any links to, or </w:t>
            </w:r>
            <w:r w:rsidRPr="00013315">
              <w:rPr>
                <w:sz w:val="16"/>
                <w:szCs w:val="16"/>
                <w:lang w:val="en-US"/>
              </w:rPr>
              <w:t>copy or replication of that personal data. Where the co</w:t>
            </w:r>
            <w:r>
              <w:rPr>
                <w:sz w:val="16"/>
                <w:szCs w:val="16"/>
                <w:lang w:val="en-US"/>
              </w:rPr>
              <w:t xml:space="preserve">ntroller has authorised a third </w:t>
            </w:r>
            <w:r w:rsidRPr="00013315">
              <w:rPr>
                <w:sz w:val="16"/>
                <w:szCs w:val="16"/>
                <w:lang w:val="en-US"/>
              </w:rPr>
              <w:t>party publication of personal data, the controller shal</w:t>
            </w:r>
            <w:r>
              <w:rPr>
                <w:sz w:val="16"/>
                <w:szCs w:val="16"/>
                <w:lang w:val="en-US"/>
              </w:rPr>
              <w:t xml:space="preserve">l be considered responsible for </w:t>
            </w:r>
            <w:r w:rsidRPr="00013315">
              <w:rPr>
                <w:sz w:val="16"/>
                <w:szCs w:val="16"/>
                <w:lang w:val="en-US"/>
              </w:rPr>
              <w:t>that publication.</w:t>
            </w:r>
          </w:p>
          <w:p w:rsidR="0018762F" w:rsidRPr="00E244EE" w:rsidRDefault="0018762F" w:rsidP="00882921">
            <w:pPr>
              <w:pStyle w:val="Corpsdetexte0"/>
              <w:jc w:val="left"/>
              <w:cnfStyle w:val="000000100000"/>
              <w:rPr>
                <w:sz w:val="16"/>
                <w:szCs w:val="16"/>
                <w:lang w:val="en-US"/>
              </w:rPr>
            </w:pPr>
          </w:p>
        </w:tc>
        <w:tc>
          <w:tcPr>
            <w:tcW w:w="4394" w:type="dxa"/>
          </w:tcPr>
          <w:p w:rsidR="0018762F" w:rsidRPr="00E244EE" w:rsidRDefault="0018762F" w:rsidP="00882921">
            <w:pPr>
              <w:pStyle w:val="Corpsdetexte0"/>
              <w:jc w:val="left"/>
              <w:cnfStyle w:val="000000100000"/>
              <w:rPr>
                <w:b/>
                <w:sz w:val="16"/>
                <w:szCs w:val="16"/>
                <w:lang w:val="en-US"/>
              </w:rPr>
            </w:pPr>
            <w:r>
              <w:rPr>
                <w:sz w:val="16"/>
                <w:szCs w:val="16"/>
                <w:lang w:val="en-US"/>
              </w:rPr>
              <w:lastRenderedPageBreak/>
              <w:t xml:space="preserve">(2) </w:t>
            </w:r>
            <w:r w:rsidRPr="00013315">
              <w:rPr>
                <w:sz w:val="16"/>
                <w:szCs w:val="16"/>
                <w:lang w:val="en-US"/>
              </w:rPr>
              <w:t>Where the controller referred to in paragraph 1 has ma</w:t>
            </w:r>
            <w:r>
              <w:rPr>
                <w:sz w:val="16"/>
                <w:szCs w:val="16"/>
                <w:lang w:val="en-US"/>
              </w:rPr>
              <w:t xml:space="preserve">de the personal data public, it shall take all reasonable steps </w:t>
            </w:r>
            <w:r w:rsidRPr="00013315">
              <w:rPr>
                <w:b/>
                <w:sz w:val="16"/>
                <w:szCs w:val="16"/>
                <w:u w:val="single"/>
                <w:lang w:val="en-US"/>
              </w:rPr>
              <w:t xml:space="preserve">within its control, </w:t>
            </w:r>
            <w:r w:rsidRPr="00013315">
              <w:rPr>
                <w:sz w:val="16"/>
                <w:szCs w:val="16"/>
                <w:lang w:val="en-US"/>
              </w:rPr>
              <w:t>including technical me</w:t>
            </w:r>
            <w:r>
              <w:rPr>
                <w:sz w:val="16"/>
                <w:szCs w:val="16"/>
                <w:lang w:val="en-US"/>
              </w:rPr>
              <w:t xml:space="preserve">asures, in relation to data for </w:t>
            </w:r>
            <w:r w:rsidRPr="00013315">
              <w:rPr>
                <w:sz w:val="16"/>
                <w:szCs w:val="16"/>
                <w:lang w:val="en-US"/>
              </w:rPr>
              <w:t>the publication of which the controller is responsible</w:t>
            </w:r>
            <w:r>
              <w:rPr>
                <w:sz w:val="16"/>
                <w:szCs w:val="16"/>
                <w:lang w:val="en-US"/>
              </w:rPr>
              <w:t xml:space="preserve">, to inform third parties which </w:t>
            </w:r>
            <w:r w:rsidRPr="00013315">
              <w:rPr>
                <w:sz w:val="16"/>
                <w:szCs w:val="16"/>
                <w:lang w:val="en-US"/>
              </w:rPr>
              <w:t>are processing such data, that a data subject requests</w:t>
            </w:r>
            <w:r>
              <w:rPr>
                <w:sz w:val="16"/>
                <w:szCs w:val="16"/>
                <w:lang w:val="en-US"/>
              </w:rPr>
              <w:t xml:space="preserve"> them to erase any links to, or </w:t>
            </w:r>
            <w:r w:rsidRPr="00013315">
              <w:rPr>
                <w:sz w:val="16"/>
                <w:szCs w:val="16"/>
                <w:lang w:val="en-US"/>
              </w:rPr>
              <w:t>copy or replication of that personal data. Where the co</w:t>
            </w:r>
            <w:r>
              <w:rPr>
                <w:sz w:val="16"/>
                <w:szCs w:val="16"/>
                <w:lang w:val="en-US"/>
              </w:rPr>
              <w:t xml:space="preserve">ntroller has authorised a third </w:t>
            </w:r>
            <w:r w:rsidRPr="00013315">
              <w:rPr>
                <w:sz w:val="16"/>
                <w:szCs w:val="16"/>
                <w:lang w:val="en-US"/>
              </w:rPr>
              <w:t>party publication of personal data, the controller shal</w:t>
            </w:r>
            <w:r>
              <w:rPr>
                <w:sz w:val="16"/>
                <w:szCs w:val="16"/>
                <w:lang w:val="en-US"/>
              </w:rPr>
              <w:t xml:space="preserve">l be considered responsible for </w:t>
            </w:r>
            <w:r w:rsidRPr="00013315">
              <w:rPr>
                <w:sz w:val="16"/>
                <w:szCs w:val="16"/>
                <w:lang w:val="en-US"/>
              </w:rPr>
              <w:t>that publication.</w:t>
            </w:r>
          </w:p>
        </w:tc>
        <w:tc>
          <w:tcPr>
            <w:tcW w:w="4395" w:type="dxa"/>
          </w:tcPr>
          <w:p w:rsidR="0018762F" w:rsidRPr="00803A29" w:rsidRDefault="0018762F" w:rsidP="00882921">
            <w:pPr>
              <w:pStyle w:val="Corpsdetexte0"/>
              <w:jc w:val="left"/>
              <w:cnfStyle w:val="000000100000"/>
              <w:rPr>
                <w:sz w:val="16"/>
                <w:szCs w:val="16"/>
                <w:lang w:val="en-US"/>
              </w:rPr>
            </w:pPr>
            <w:r w:rsidRPr="00803A29">
              <w:rPr>
                <w:i/>
                <w:sz w:val="16"/>
                <w:szCs w:val="16"/>
                <w:lang w:val="en-US"/>
              </w:rPr>
              <w:t xml:space="preserve">In the payment processing industry for example, </w:t>
            </w:r>
            <w:r>
              <w:rPr>
                <w:i/>
                <w:sz w:val="16"/>
                <w:szCs w:val="16"/>
                <w:lang w:val="en-US"/>
              </w:rPr>
              <w:t xml:space="preserve">some </w:t>
            </w:r>
            <w:r w:rsidRPr="00803A29">
              <w:rPr>
                <w:i/>
                <w:sz w:val="16"/>
                <w:szCs w:val="16"/>
                <w:lang w:val="en-US"/>
              </w:rPr>
              <w:t>payment processors have merchant details and the credit</w:t>
            </w:r>
            <w:r>
              <w:rPr>
                <w:i/>
                <w:sz w:val="16"/>
                <w:szCs w:val="16"/>
                <w:lang w:val="en-US"/>
              </w:rPr>
              <w:t xml:space="preserve">/debit </w:t>
            </w:r>
            <w:r w:rsidRPr="00803A29">
              <w:rPr>
                <w:i/>
                <w:sz w:val="16"/>
                <w:szCs w:val="16"/>
                <w:lang w:val="en-US"/>
              </w:rPr>
              <w:t xml:space="preserve">card numbers </w:t>
            </w:r>
            <w:r>
              <w:rPr>
                <w:i/>
                <w:sz w:val="16"/>
                <w:szCs w:val="16"/>
                <w:lang w:val="en-US"/>
              </w:rPr>
              <w:t xml:space="preserve">of cardholders </w:t>
            </w:r>
            <w:r w:rsidRPr="00803A29">
              <w:rPr>
                <w:i/>
                <w:sz w:val="16"/>
                <w:szCs w:val="16"/>
                <w:lang w:val="en-US"/>
              </w:rPr>
              <w:t xml:space="preserve">but do not have names, addresses or any contact details of the </w:t>
            </w:r>
            <w:r>
              <w:rPr>
                <w:i/>
                <w:sz w:val="16"/>
                <w:szCs w:val="16"/>
                <w:lang w:val="en-US"/>
              </w:rPr>
              <w:t>cardholders</w:t>
            </w:r>
            <w:r w:rsidRPr="00803A29">
              <w:rPr>
                <w:i/>
                <w:sz w:val="16"/>
                <w:szCs w:val="16"/>
                <w:lang w:val="en-US"/>
              </w:rPr>
              <w:t xml:space="preserve"> so are</w:t>
            </w:r>
            <w:r>
              <w:rPr>
                <w:i/>
                <w:sz w:val="16"/>
                <w:szCs w:val="16"/>
                <w:lang w:val="en-US"/>
              </w:rPr>
              <w:t xml:space="preserve"> </w:t>
            </w:r>
            <w:r w:rsidRPr="00803A29">
              <w:rPr>
                <w:i/>
                <w:sz w:val="16"/>
                <w:szCs w:val="16"/>
                <w:lang w:val="en-US"/>
              </w:rPr>
              <w:t>unable to identify</w:t>
            </w:r>
            <w:r>
              <w:rPr>
                <w:i/>
                <w:sz w:val="16"/>
                <w:szCs w:val="16"/>
                <w:lang w:val="en-US"/>
              </w:rPr>
              <w:t xml:space="preserve"> an</w:t>
            </w:r>
            <w:r w:rsidRPr="00803A29">
              <w:rPr>
                <w:i/>
                <w:sz w:val="16"/>
                <w:szCs w:val="16"/>
                <w:lang w:val="en-US"/>
              </w:rPr>
              <w:t xml:space="preserve"> individual's information for deletion.</w:t>
            </w:r>
          </w:p>
        </w:tc>
      </w:tr>
      <w:tr w:rsidR="0018762F" w:rsidRPr="006C096F" w:rsidTr="00882921">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lastRenderedPageBreak/>
              <w:t>17(3)</w:t>
            </w:r>
          </w:p>
        </w:tc>
        <w:tc>
          <w:tcPr>
            <w:tcW w:w="3952" w:type="dxa"/>
          </w:tcPr>
          <w:p w:rsidR="0018762F" w:rsidRPr="003C0411" w:rsidRDefault="0018762F" w:rsidP="00882921">
            <w:pPr>
              <w:autoSpaceDE w:val="0"/>
              <w:autoSpaceDN w:val="0"/>
              <w:adjustRightInd w:val="0"/>
              <w:jc w:val="left"/>
              <w:cnfStyle w:val="000000000000"/>
              <w:rPr>
                <w:rFonts w:cs="Times New Roman"/>
                <w:sz w:val="16"/>
                <w:szCs w:val="16"/>
                <w:lang w:val="en-US"/>
              </w:rPr>
            </w:pPr>
            <w:r w:rsidRPr="003C0411">
              <w:rPr>
                <w:rFonts w:cs="Times New Roman"/>
                <w:sz w:val="16"/>
                <w:szCs w:val="16"/>
                <w:lang w:val="en-US"/>
              </w:rPr>
              <w:t>(d) for compliance with a legal obligation to retain the personal data by Union or Member State law to which the controller is subject; Member State laws shall meet an objective of public interest, respect the essence of the right to the protection of personal data and be proportionate to the legitimate aim pursued;</w:t>
            </w:r>
          </w:p>
          <w:p w:rsidR="0018762F" w:rsidRPr="003C0411" w:rsidRDefault="0018762F" w:rsidP="00882921">
            <w:pPr>
              <w:autoSpaceDE w:val="0"/>
              <w:autoSpaceDN w:val="0"/>
              <w:adjustRightInd w:val="0"/>
              <w:jc w:val="left"/>
              <w:cnfStyle w:val="000000000000"/>
              <w:rPr>
                <w:sz w:val="16"/>
                <w:szCs w:val="16"/>
                <w:lang w:val="en-US"/>
              </w:rPr>
            </w:pPr>
          </w:p>
        </w:tc>
        <w:tc>
          <w:tcPr>
            <w:tcW w:w="4394" w:type="dxa"/>
          </w:tcPr>
          <w:p w:rsidR="0018762F" w:rsidRPr="00CA38B7" w:rsidRDefault="0018762F" w:rsidP="00882921">
            <w:pPr>
              <w:autoSpaceDE w:val="0"/>
              <w:autoSpaceDN w:val="0"/>
              <w:adjustRightInd w:val="0"/>
              <w:jc w:val="left"/>
              <w:cnfStyle w:val="000000000000"/>
              <w:rPr>
                <w:rFonts w:cs="Times New Roman"/>
                <w:b/>
                <w:sz w:val="16"/>
                <w:szCs w:val="16"/>
                <w:lang w:val="en-US"/>
              </w:rPr>
            </w:pPr>
            <w:r w:rsidRPr="003C0411">
              <w:rPr>
                <w:rFonts w:cs="Times New Roman"/>
                <w:sz w:val="16"/>
                <w:szCs w:val="16"/>
                <w:lang w:val="en-US"/>
              </w:rPr>
              <w:t>(d) for compliance with a legal obligation to retain the personal data by Union or Member State law to which the controller is subject; Member State laws shall meet an objective of public interest, respect the essence of the right to the protection of personal data and be proportionate to the legitimate aim pursued;</w:t>
            </w:r>
            <w:r w:rsidRPr="003C0411">
              <w:rPr>
                <w:rFonts w:cs="Times New Roman"/>
                <w:b/>
                <w:sz w:val="16"/>
                <w:szCs w:val="16"/>
                <w:lang w:val="en-US"/>
              </w:rPr>
              <w:t xml:space="preserve"> </w:t>
            </w:r>
            <w:r w:rsidRPr="00E95519">
              <w:rPr>
                <w:rFonts w:cs="Times New Roman"/>
                <w:b/>
                <w:sz w:val="16"/>
                <w:szCs w:val="16"/>
                <w:u w:val="single"/>
                <w:lang w:val="en-US"/>
              </w:rPr>
              <w:t>or for compliance with preservation periods prescribed by statutes or contracts, provided a legitimate aim is pursued and the essence of the right to the protection of personal data is respected.</w:t>
            </w:r>
          </w:p>
          <w:p w:rsidR="0018762F" w:rsidRPr="003C0411" w:rsidRDefault="0018762F" w:rsidP="00882921">
            <w:pPr>
              <w:pStyle w:val="Corpsdetexte0"/>
              <w:jc w:val="left"/>
              <w:cnfStyle w:val="000000000000"/>
              <w:rPr>
                <w:sz w:val="16"/>
                <w:szCs w:val="16"/>
                <w:lang w:val="en-US"/>
              </w:rPr>
            </w:pPr>
          </w:p>
        </w:tc>
        <w:tc>
          <w:tcPr>
            <w:tcW w:w="4395" w:type="dxa"/>
          </w:tcPr>
          <w:p w:rsidR="0018762F" w:rsidRPr="001D4574" w:rsidRDefault="0018762F" w:rsidP="00882921">
            <w:pPr>
              <w:pStyle w:val="Corpsdetexte0"/>
              <w:jc w:val="left"/>
              <w:cnfStyle w:val="000000000000"/>
              <w:rPr>
                <w:i/>
                <w:sz w:val="16"/>
                <w:szCs w:val="16"/>
                <w:lang w:val="en-US"/>
              </w:rPr>
            </w:pPr>
            <w:r>
              <w:rPr>
                <w:i/>
                <w:sz w:val="16"/>
                <w:szCs w:val="16"/>
                <w:lang w:val="en-US"/>
              </w:rPr>
              <w:t xml:space="preserve">Retention periods are not only provided for in Union or Member state laws but sometimes as well. </w:t>
            </w:r>
            <w:proofErr w:type="gramStart"/>
            <w:r>
              <w:rPr>
                <w:i/>
                <w:sz w:val="16"/>
                <w:szCs w:val="16"/>
                <w:lang w:val="en-US"/>
              </w:rPr>
              <w:t>in</w:t>
            </w:r>
            <w:proofErr w:type="gramEnd"/>
            <w:r>
              <w:rPr>
                <w:i/>
                <w:sz w:val="16"/>
                <w:szCs w:val="16"/>
                <w:lang w:val="en-US"/>
              </w:rPr>
              <w:t xml:space="preserve"> statutes or contracts. For example, a controller may have to comply with specific organizations’ rules (e.g. German Banking Industry’s) providing for specific storage periods and may thus have to ensure that not only the controller itself but also the sub-contractor it uses comply with these requirements. </w:t>
            </w:r>
          </w:p>
        </w:tc>
      </w:tr>
      <w:tr w:rsidR="0018762F" w:rsidRPr="006C096F" w:rsidTr="00882921">
        <w:trPr>
          <w:cnfStyle w:val="000000100000"/>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17(4)</w:t>
            </w:r>
          </w:p>
        </w:tc>
        <w:tc>
          <w:tcPr>
            <w:tcW w:w="3952" w:type="dxa"/>
          </w:tcPr>
          <w:p w:rsidR="0018762F" w:rsidRPr="00787833" w:rsidRDefault="0018762F" w:rsidP="00882921">
            <w:pPr>
              <w:autoSpaceDE w:val="0"/>
              <w:autoSpaceDN w:val="0"/>
              <w:adjustRightInd w:val="0"/>
              <w:jc w:val="left"/>
              <w:cnfStyle w:val="000000100000"/>
              <w:rPr>
                <w:sz w:val="16"/>
                <w:szCs w:val="16"/>
                <w:lang w:val="en-US"/>
              </w:rPr>
            </w:pPr>
            <w:r w:rsidRPr="00787833">
              <w:rPr>
                <w:rFonts w:cs="Times New Roman"/>
                <w:sz w:val="16"/>
                <w:szCs w:val="16"/>
                <w:lang w:val="en-US"/>
              </w:rPr>
              <w:t>(b) the controller no longer needs the personal data for the accomplishment of its task but they have to be maintained for purposes of proof;</w:t>
            </w:r>
          </w:p>
        </w:tc>
        <w:tc>
          <w:tcPr>
            <w:tcW w:w="4394" w:type="dxa"/>
          </w:tcPr>
          <w:p w:rsidR="0018762F" w:rsidRDefault="0018762F" w:rsidP="00882921">
            <w:pPr>
              <w:pStyle w:val="Corpsdetexte0"/>
              <w:jc w:val="left"/>
              <w:cnfStyle w:val="000000100000"/>
              <w:rPr>
                <w:sz w:val="16"/>
                <w:szCs w:val="16"/>
                <w:lang w:val="en-US"/>
              </w:rPr>
            </w:pPr>
            <w:r w:rsidRPr="00787833">
              <w:rPr>
                <w:rFonts w:cs="Times New Roman"/>
                <w:sz w:val="16"/>
                <w:szCs w:val="16"/>
                <w:lang w:val="en-US"/>
              </w:rPr>
              <w:t xml:space="preserve">(b) the controller no longer needs the personal data for the accomplishment of its task but they have to be maintained </w:t>
            </w:r>
            <w:r>
              <w:rPr>
                <w:rFonts w:cs="Times New Roman"/>
                <w:b/>
                <w:sz w:val="16"/>
                <w:szCs w:val="16"/>
                <w:lang w:val="en-US"/>
              </w:rPr>
              <w:t xml:space="preserve"> </w:t>
            </w:r>
            <w:r w:rsidRPr="00E95519">
              <w:rPr>
                <w:rFonts w:cs="Times New Roman"/>
                <w:b/>
                <w:sz w:val="16"/>
                <w:szCs w:val="16"/>
                <w:u w:val="single"/>
                <w:lang w:val="en-US"/>
              </w:rPr>
              <w:t>or there is a legitimate interest to maintain them</w:t>
            </w:r>
            <w:r>
              <w:rPr>
                <w:rFonts w:cs="Times New Roman"/>
                <w:b/>
                <w:sz w:val="16"/>
                <w:szCs w:val="16"/>
                <w:lang w:val="en-US"/>
              </w:rPr>
              <w:t xml:space="preserve"> </w:t>
            </w:r>
            <w:r w:rsidRPr="00787833">
              <w:rPr>
                <w:rFonts w:cs="Times New Roman"/>
                <w:sz w:val="16"/>
                <w:szCs w:val="16"/>
                <w:lang w:val="en-US"/>
              </w:rPr>
              <w:t>for purposes of proof;</w:t>
            </w:r>
          </w:p>
        </w:tc>
        <w:tc>
          <w:tcPr>
            <w:tcW w:w="4395" w:type="dxa"/>
          </w:tcPr>
          <w:p w:rsidR="0018762F" w:rsidRPr="005333FD" w:rsidRDefault="0018762F" w:rsidP="00882921">
            <w:pPr>
              <w:autoSpaceDE w:val="0"/>
              <w:autoSpaceDN w:val="0"/>
              <w:jc w:val="left"/>
              <w:cnfStyle w:val="000000100000"/>
              <w:rPr>
                <w:i/>
                <w:color w:val="000000"/>
                <w:sz w:val="16"/>
                <w:szCs w:val="16"/>
                <w:lang w:val="en-US"/>
              </w:rPr>
            </w:pPr>
            <w:r w:rsidRPr="005333FD">
              <w:rPr>
                <w:i/>
                <w:color w:val="000000"/>
                <w:sz w:val="16"/>
                <w:szCs w:val="16"/>
                <w:lang w:val="en-US"/>
              </w:rPr>
              <w:t>In order to avoid an understanding that it requires an objective need, e.g. a lawsuit, to maintain data for purposes of proof, we recommend a legitimate</w:t>
            </w:r>
            <w:r>
              <w:rPr>
                <w:i/>
                <w:color w:val="000000"/>
                <w:sz w:val="16"/>
                <w:szCs w:val="16"/>
                <w:lang w:val="en-US"/>
              </w:rPr>
              <w:t xml:space="preserve"> interest</w:t>
            </w:r>
            <w:r w:rsidRPr="005333FD">
              <w:rPr>
                <w:i/>
                <w:color w:val="000000"/>
                <w:sz w:val="16"/>
                <w:szCs w:val="16"/>
                <w:lang w:val="en-US"/>
              </w:rPr>
              <w:t xml:space="preserve"> to be sufficient.</w:t>
            </w:r>
          </w:p>
          <w:p w:rsidR="0018762F" w:rsidRPr="00803A29" w:rsidRDefault="0018762F" w:rsidP="00882921">
            <w:pPr>
              <w:pStyle w:val="Corpsdetexte0"/>
              <w:jc w:val="left"/>
              <w:cnfStyle w:val="000000100000"/>
              <w:rPr>
                <w:i/>
                <w:sz w:val="16"/>
                <w:szCs w:val="16"/>
                <w:lang w:val="en-US"/>
              </w:rPr>
            </w:pPr>
          </w:p>
        </w:tc>
      </w:tr>
      <w:tr w:rsidR="0018762F" w:rsidRPr="006C096F" w:rsidTr="00882921">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17(6)</w:t>
            </w:r>
          </w:p>
        </w:tc>
        <w:tc>
          <w:tcPr>
            <w:tcW w:w="3952" w:type="dxa"/>
          </w:tcPr>
          <w:p w:rsidR="0018762F" w:rsidRPr="00787833" w:rsidRDefault="0018762F" w:rsidP="00882921">
            <w:pPr>
              <w:autoSpaceDE w:val="0"/>
              <w:autoSpaceDN w:val="0"/>
              <w:adjustRightInd w:val="0"/>
              <w:jc w:val="left"/>
              <w:cnfStyle w:val="000000000000"/>
              <w:rPr>
                <w:rFonts w:cs="Times New Roman"/>
                <w:sz w:val="16"/>
                <w:szCs w:val="16"/>
                <w:lang w:val="en-US"/>
              </w:rPr>
            </w:pPr>
            <w:r w:rsidRPr="00787833">
              <w:rPr>
                <w:rFonts w:cs="Times New Roman"/>
                <w:sz w:val="16"/>
                <w:szCs w:val="16"/>
                <w:lang w:val="en-US"/>
              </w:rPr>
              <w:t>Where processing of personal data is restricted pursuant to paragraph 4, the controller shall inform the data subject before lifting the restriction on processing.</w:t>
            </w:r>
          </w:p>
        </w:tc>
        <w:tc>
          <w:tcPr>
            <w:tcW w:w="4394" w:type="dxa"/>
          </w:tcPr>
          <w:p w:rsidR="0018762F" w:rsidRDefault="0018762F" w:rsidP="0018762F">
            <w:pPr>
              <w:pStyle w:val="Corpsdetexte0"/>
              <w:jc w:val="left"/>
              <w:cnfStyle w:val="000000000000"/>
              <w:rPr>
                <w:sz w:val="16"/>
                <w:szCs w:val="16"/>
                <w:lang w:val="en-US"/>
              </w:rPr>
            </w:pPr>
            <w:r w:rsidRPr="00787833">
              <w:rPr>
                <w:rFonts w:cs="Times New Roman"/>
                <w:sz w:val="16"/>
                <w:szCs w:val="16"/>
                <w:lang w:val="en-US"/>
              </w:rPr>
              <w:t>Where processing of personal data is restricted pursuant to paragraph 4, the controller shall inform the data subject before lifting the restriction on processing</w:t>
            </w:r>
            <w:r>
              <w:rPr>
                <w:rFonts w:cs="Times New Roman"/>
                <w:sz w:val="16"/>
                <w:szCs w:val="16"/>
                <w:lang w:val="en-US"/>
              </w:rPr>
              <w:t xml:space="preserve">, </w:t>
            </w:r>
            <w:r w:rsidRPr="00E95519">
              <w:rPr>
                <w:rFonts w:cs="Times New Roman"/>
                <w:b/>
                <w:sz w:val="16"/>
                <w:szCs w:val="16"/>
                <w:u w:val="single"/>
                <w:lang w:val="en-US"/>
              </w:rPr>
              <w:t xml:space="preserve">provided the controller has the data necessary to inform the data subject </w:t>
            </w:r>
            <w:proofErr w:type="gramStart"/>
            <w:r>
              <w:rPr>
                <w:rFonts w:cs="Times New Roman"/>
                <w:b/>
                <w:sz w:val="16"/>
                <w:szCs w:val="16"/>
                <w:u w:val="single"/>
                <w:lang w:val="en-US"/>
              </w:rPr>
              <w:t xml:space="preserve">without </w:t>
            </w:r>
            <w:r w:rsidRPr="00E95519">
              <w:rPr>
                <w:rFonts w:cs="Times New Roman"/>
                <w:b/>
                <w:sz w:val="16"/>
                <w:szCs w:val="16"/>
                <w:u w:val="single"/>
                <w:lang w:val="en-US"/>
              </w:rPr>
              <w:t xml:space="preserve"> unreasonable</w:t>
            </w:r>
            <w:proofErr w:type="gramEnd"/>
            <w:r w:rsidRPr="00E95519">
              <w:rPr>
                <w:rFonts w:cs="Times New Roman"/>
                <w:b/>
                <w:sz w:val="16"/>
                <w:szCs w:val="16"/>
                <w:u w:val="single"/>
                <w:lang w:val="en-US"/>
              </w:rPr>
              <w:t xml:space="preserve"> effort</w:t>
            </w:r>
            <w:r w:rsidRPr="00787833">
              <w:rPr>
                <w:rFonts w:cs="Times New Roman"/>
                <w:sz w:val="16"/>
                <w:szCs w:val="16"/>
                <w:lang w:val="en-US"/>
              </w:rPr>
              <w:t>.</w:t>
            </w:r>
          </w:p>
        </w:tc>
        <w:tc>
          <w:tcPr>
            <w:tcW w:w="4395" w:type="dxa"/>
          </w:tcPr>
          <w:p w:rsidR="0018762F" w:rsidRPr="00803A29" w:rsidRDefault="0018762F" w:rsidP="00882921">
            <w:pPr>
              <w:autoSpaceDE w:val="0"/>
              <w:autoSpaceDN w:val="0"/>
              <w:jc w:val="left"/>
              <w:cnfStyle w:val="000000000000"/>
              <w:rPr>
                <w:i/>
                <w:sz w:val="16"/>
                <w:szCs w:val="16"/>
                <w:lang w:val="en-US"/>
              </w:rPr>
            </w:pPr>
            <w:r>
              <w:rPr>
                <w:i/>
                <w:color w:val="000000"/>
                <w:sz w:val="16"/>
                <w:szCs w:val="16"/>
                <w:lang w:val="en-US"/>
              </w:rPr>
              <w:t>Credit / debit card processors often are not able to inform cardholders as they only process card numbers, but no names and addresses and further contact details. In addition, to inform data subjects</w:t>
            </w:r>
            <w:r w:rsidRPr="00787833">
              <w:rPr>
                <w:i/>
                <w:color w:val="000000"/>
                <w:sz w:val="16"/>
                <w:szCs w:val="16"/>
                <w:lang w:val="en-US"/>
              </w:rPr>
              <w:t xml:space="preserve"> would mean that up to millions of cardholders would have to be informed. </w:t>
            </w:r>
          </w:p>
        </w:tc>
      </w:tr>
    </w:tbl>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ind w:left="1080"/>
        <w:jc w:val="left"/>
        <w:rPr>
          <w:b/>
          <w:u w:val="single"/>
          <w:lang w:val="en-US"/>
        </w:rPr>
      </w:pPr>
    </w:p>
    <w:p w:rsidR="0018762F" w:rsidRPr="006D28F1" w:rsidRDefault="0018762F" w:rsidP="0018762F">
      <w:pPr>
        <w:pStyle w:val="Corpsdetexte0"/>
        <w:numPr>
          <w:ilvl w:val="0"/>
          <w:numId w:val="1"/>
        </w:numPr>
        <w:jc w:val="left"/>
        <w:rPr>
          <w:b/>
          <w:u w:val="single"/>
          <w:lang w:val="en-US"/>
        </w:rPr>
      </w:pPr>
      <w:r>
        <w:rPr>
          <w:b/>
          <w:u w:val="single"/>
          <w:lang w:val="en-US"/>
        </w:rPr>
        <w:lastRenderedPageBreak/>
        <w:t>Article 18: Right to data portability</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868"/>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18(2)</w:t>
            </w:r>
          </w:p>
        </w:tc>
        <w:tc>
          <w:tcPr>
            <w:tcW w:w="3952" w:type="dxa"/>
          </w:tcPr>
          <w:p w:rsidR="0018762F" w:rsidRPr="00245832" w:rsidRDefault="0018762F" w:rsidP="00882921">
            <w:pPr>
              <w:pStyle w:val="Corpsdetexte0"/>
              <w:cnfStyle w:val="000000100000"/>
              <w:rPr>
                <w:sz w:val="16"/>
                <w:szCs w:val="16"/>
                <w:lang w:val="en-US"/>
              </w:rPr>
            </w:pPr>
            <w:r>
              <w:rPr>
                <w:sz w:val="16"/>
                <w:szCs w:val="16"/>
                <w:lang w:val="en-US"/>
              </w:rPr>
              <w:t xml:space="preserve">(2) </w:t>
            </w:r>
            <w:r w:rsidRPr="00245832">
              <w:rPr>
                <w:sz w:val="16"/>
                <w:szCs w:val="16"/>
                <w:lang w:val="en-US"/>
              </w:rPr>
              <w:t>Where the data subject has provided the personal data</w:t>
            </w:r>
            <w:r>
              <w:rPr>
                <w:sz w:val="16"/>
                <w:szCs w:val="16"/>
                <w:lang w:val="en-US"/>
              </w:rPr>
              <w:t xml:space="preserve"> and the processing is based on </w:t>
            </w:r>
            <w:r w:rsidRPr="00245832">
              <w:rPr>
                <w:sz w:val="16"/>
                <w:szCs w:val="16"/>
                <w:lang w:val="en-US"/>
              </w:rPr>
              <w:t>consent or on a contract, the data subject shall h</w:t>
            </w:r>
            <w:r>
              <w:rPr>
                <w:sz w:val="16"/>
                <w:szCs w:val="16"/>
                <w:lang w:val="en-US"/>
              </w:rPr>
              <w:t xml:space="preserve">ave the right to transmit those </w:t>
            </w:r>
            <w:r w:rsidRPr="00245832">
              <w:rPr>
                <w:sz w:val="16"/>
                <w:szCs w:val="16"/>
                <w:lang w:val="en-US"/>
              </w:rPr>
              <w:t>personal data and any other information provided by t</w:t>
            </w:r>
            <w:r>
              <w:rPr>
                <w:sz w:val="16"/>
                <w:szCs w:val="16"/>
                <w:lang w:val="en-US"/>
              </w:rPr>
              <w:t xml:space="preserve">he data subject and retained by </w:t>
            </w:r>
            <w:r w:rsidRPr="00245832">
              <w:rPr>
                <w:sz w:val="16"/>
                <w:szCs w:val="16"/>
                <w:lang w:val="en-US"/>
              </w:rPr>
              <w:t>an automated processing system, into another one, i</w:t>
            </w:r>
            <w:r>
              <w:rPr>
                <w:sz w:val="16"/>
                <w:szCs w:val="16"/>
                <w:lang w:val="en-US"/>
              </w:rPr>
              <w:t xml:space="preserve">n an electronic format which is </w:t>
            </w:r>
            <w:r w:rsidRPr="00245832">
              <w:rPr>
                <w:sz w:val="16"/>
                <w:szCs w:val="16"/>
                <w:lang w:val="en-US"/>
              </w:rPr>
              <w:t>commonly used, without hindrance from the control</w:t>
            </w:r>
            <w:r>
              <w:rPr>
                <w:sz w:val="16"/>
                <w:szCs w:val="16"/>
                <w:lang w:val="en-US"/>
              </w:rPr>
              <w:t xml:space="preserve">ler from whom the personal data </w:t>
            </w:r>
            <w:r w:rsidRPr="00245832">
              <w:rPr>
                <w:sz w:val="16"/>
                <w:szCs w:val="16"/>
                <w:lang w:val="en-US"/>
              </w:rPr>
              <w:t>are withdrawn.</w:t>
            </w:r>
          </w:p>
          <w:p w:rsidR="0018762F" w:rsidRPr="00E244EE" w:rsidRDefault="0018762F" w:rsidP="00882921">
            <w:pPr>
              <w:pStyle w:val="Corpsdetexte0"/>
              <w:jc w:val="left"/>
              <w:cnfStyle w:val="000000100000"/>
              <w:rPr>
                <w:sz w:val="16"/>
                <w:szCs w:val="16"/>
                <w:lang w:val="en-US"/>
              </w:rPr>
            </w:pPr>
          </w:p>
        </w:tc>
        <w:tc>
          <w:tcPr>
            <w:tcW w:w="4394" w:type="dxa"/>
          </w:tcPr>
          <w:p w:rsidR="0018762F" w:rsidRPr="00245832" w:rsidRDefault="0018762F" w:rsidP="00882921">
            <w:pPr>
              <w:pStyle w:val="Corpsdetexte0"/>
              <w:cnfStyle w:val="000000100000"/>
              <w:rPr>
                <w:sz w:val="16"/>
                <w:szCs w:val="16"/>
                <w:lang w:val="en-US"/>
              </w:rPr>
            </w:pPr>
            <w:r>
              <w:rPr>
                <w:sz w:val="16"/>
                <w:szCs w:val="16"/>
                <w:lang w:val="en-US"/>
              </w:rPr>
              <w:t xml:space="preserve">(2) </w:t>
            </w:r>
            <w:r w:rsidRPr="00245832">
              <w:rPr>
                <w:sz w:val="16"/>
                <w:szCs w:val="16"/>
                <w:lang w:val="en-US"/>
              </w:rPr>
              <w:t>Where the data subject has provided the personal data</w:t>
            </w:r>
            <w:r>
              <w:rPr>
                <w:sz w:val="16"/>
                <w:szCs w:val="16"/>
                <w:lang w:val="en-US"/>
              </w:rPr>
              <w:t xml:space="preserve"> and the processing is based on </w:t>
            </w:r>
            <w:r w:rsidRPr="00245832">
              <w:rPr>
                <w:sz w:val="16"/>
                <w:szCs w:val="16"/>
                <w:lang w:val="en-US"/>
              </w:rPr>
              <w:t>consent or on a contract, the data subject shall h</w:t>
            </w:r>
            <w:r>
              <w:rPr>
                <w:sz w:val="16"/>
                <w:szCs w:val="16"/>
                <w:lang w:val="en-US"/>
              </w:rPr>
              <w:t xml:space="preserve">ave the right to transmit those </w:t>
            </w:r>
            <w:r w:rsidRPr="00245832">
              <w:rPr>
                <w:sz w:val="16"/>
                <w:szCs w:val="16"/>
                <w:lang w:val="en-US"/>
              </w:rPr>
              <w:t>personal data and any other information provided by t</w:t>
            </w:r>
            <w:r>
              <w:rPr>
                <w:sz w:val="16"/>
                <w:szCs w:val="16"/>
                <w:lang w:val="en-US"/>
              </w:rPr>
              <w:t xml:space="preserve">he data subject and retained by </w:t>
            </w:r>
            <w:r w:rsidRPr="00245832">
              <w:rPr>
                <w:sz w:val="16"/>
                <w:szCs w:val="16"/>
                <w:lang w:val="en-US"/>
              </w:rPr>
              <w:t>an automated processing system, into another one, i</w:t>
            </w:r>
            <w:r>
              <w:rPr>
                <w:sz w:val="16"/>
                <w:szCs w:val="16"/>
                <w:lang w:val="en-US"/>
              </w:rPr>
              <w:t xml:space="preserve">n an electronic format which is </w:t>
            </w:r>
            <w:r w:rsidRPr="00245832">
              <w:rPr>
                <w:sz w:val="16"/>
                <w:szCs w:val="16"/>
                <w:lang w:val="en-US"/>
              </w:rPr>
              <w:t xml:space="preserve">commonly used, </w:t>
            </w:r>
            <w:r w:rsidRPr="004B2C1C">
              <w:rPr>
                <w:sz w:val="16"/>
                <w:szCs w:val="16"/>
                <w:lang w:val="en-US"/>
              </w:rPr>
              <w:t>without hindrance from the controller from whom the personal data are withdrawn</w:t>
            </w:r>
            <w:r>
              <w:rPr>
                <w:sz w:val="16"/>
                <w:szCs w:val="16"/>
                <w:lang w:val="en-US"/>
              </w:rPr>
              <w:t xml:space="preserve"> </w:t>
            </w:r>
            <w:r w:rsidRPr="00245832">
              <w:rPr>
                <w:b/>
                <w:sz w:val="16"/>
                <w:szCs w:val="16"/>
                <w:u w:val="single"/>
                <w:lang w:val="en-US"/>
              </w:rPr>
              <w:t>except in instances where data security could be compromised</w:t>
            </w:r>
            <w:r>
              <w:rPr>
                <w:b/>
                <w:sz w:val="16"/>
                <w:szCs w:val="16"/>
                <w:u w:val="single"/>
                <w:lang w:val="en-US"/>
              </w:rPr>
              <w:t xml:space="preserve"> or such transmission would cause unreasonable effort for the controller without providing evident benefits for the data subject</w:t>
            </w:r>
            <w:r w:rsidRPr="00245832">
              <w:rPr>
                <w:b/>
                <w:sz w:val="16"/>
                <w:szCs w:val="16"/>
                <w:u w:val="single"/>
                <w:lang w:val="en-US"/>
              </w:rPr>
              <w:t>.</w:t>
            </w:r>
          </w:p>
          <w:p w:rsidR="0018762F" w:rsidRPr="001D1128" w:rsidRDefault="0018762F" w:rsidP="00882921">
            <w:pPr>
              <w:pStyle w:val="Corpsdetexte0"/>
              <w:jc w:val="left"/>
              <w:cnfStyle w:val="000000100000"/>
              <w:rPr>
                <w:b/>
                <w:sz w:val="16"/>
                <w:szCs w:val="16"/>
                <w:lang w:val="en-US"/>
              </w:rPr>
            </w:pPr>
          </w:p>
        </w:tc>
        <w:tc>
          <w:tcPr>
            <w:tcW w:w="4395" w:type="dxa"/>
          </w:tcPr>
          <w:p w:rsidR="0018762F" w:rsidRDefault="0018762F" w:rsidP="00882921">
            <w:pPr>
              <w:pStyle w:val="Corpsdetexte0"/>
              <w:cnfStyle w:val="000000100000"/>
              <w:rPr>
                <w:i/>
                <w:sz w:val="16"/>
                <w:szCs w:val="16"/>
                <w:lang w:val="en-US"/>
              </w:rPr>
            </w:pPr>
            <w:r w:rsidRPr="002F6AF4">
              <w:rPr>
                <w:i/>
                <w:sz w:val="16"/>
                <w:szCs w:val="16"/>
                <w:lang w:val="en-US"/>
              </w:rPr>
              <w:t xml:space="preserve">Although the “data portability” right may have been targeted at select Internet services, broadly subjecting all data to portability requirements could create unintended consequences that may harm consumers. </w:t>
            </w:r>
          </w:p>
          <w:p w:rsidR="0018762F" w:rsidRDefault="0018762F" w:rsidP="00882921">
            <w:pPr>
              <w:pStyle w:val="Corpsdetexte0"/>
              <w:cnfStyle w:val="000000100000"/>
              <w:rPr>
                <w:i/>
                <w:sz w:val="16"/>
                <w:szCs w:val="16"/>
                <w:lang w:val="en-US"/>
              </w:rPr>
            </w:pPr>
            <w:r w:rsidRPr="002F6AF4">
              <w:rPr>
                <w:i/>
                <w:sz w:val="16"/>
                <w:szCs w:val="16"/>
                <w:lang w:val="en-US"/>
              </w:rPr>
              <w:t>For example, requiring data portability for consumer credit information could expose consumers to a higher risk of fraud and identity theft especially w</w:t>
            </w:r>
            <w:r>
              <w:rPr>
                <w:i/>
                <w:sz w:val="16"/>
                <w:szCs w:val="16"/>
                <w:lang w:val="en-US"/>
              </w:rPr>
              <w:t>h</w:t>
            </w:r>
            <w:r w:rsidRPr="002F6AF4">
              <w:rPr>
                <w:i/>
                <w:sz w:val="16"/>
                <w:szCs w:val="16"/>
                <w:lang w:val="en-US"/>
              </w:rPr>
              <w:t xml:space="preserve">ere data is transmitted to an unsecure third party. Equally or even more so, merchant and cardholder data controlled and processed by banks and payment systems that </w:t>
            </w:r>
            <w:proofErr w:type="gramStart"/>
            <w:r w:rsidRPr="002F6AF4">
              <w:rPr>
                <w:i/>
                <w:sz w:val="16"/>
                <w:szCs w:val="16"/>
                <w:lang w:val="en-US"/>
              </w:rPr>
              <w:t>is</w:t>
            </w:r>
            <w:proofErr w:type="gramEnd"/>
            <w:r w:rsidRPr="002F6AF4">
              <w:rPr>
                <w:i/>
                <w:sz w:val="16"/>
                <w:szCs w:val="16"/>
                <w:lang w:val="en-US"/>
              </w:rPr>
              <w:t xml:space="preserve"> stored on various systems and data carriers would be exposed to the above mentioned risks</w:t>
            </w:r>
            <w:r>
              <w:rPr>
                <w:i/>
                <w:sz w:val="16"/>
                <w:szCs w:val="16"/>
                <w:lang w:val="en-US"/>
              </w:rPr>
              <w:t xml:space="preserve">. </w:t>
            </w:r>
          </w:p>
          <w:p w:rsidR="0018762F" w:rsidRDefault="0018762F" w:rsidP="00882921">
            <w:pPr>
              <w:pStyle w:val="Corpsdetexte0"/>
              <w:cnfStyle w:val="000000100000"/>
              <w:rPr>
                <w:i/>
                <w:sz w:val="16"/>
                <w:szCs w:val="16"/>
                <w:lang w:val="en-US"/>
              </w:rPr>
            </w:pPr>
            <w:r>
              <w:rPr>
                <w:i/>
                <w:sz w:val="16"/>
                <w:szCs w:val="16"/>
                <w:lang w:val="en-US"/>
              </w:rPr>
              <w:t>Furthermore, the right to data portability could cause unreasonable effort for the controller. Credit/debit card processors often have data of several hundred thousands of (small) merchants and/or cardholders the portability of which implies little, if any, value to the data subjects involved (i.e. records of past transactions for which statements were regularly sent to the data subject)</w:t>
            </w:r>
            <w:r w:rsidRPr="002F6AF4">
              <w:rPr>
                <w:i/>
                <w:sz w:val="16"/>
                <w:szCs w:val="16"/>
                <w:lang w:val="en-US"/>
              </w:rPr>
              <w:t>.</w:t>
            </w:r>
          </w:p>
          <w:p w:rsidR="0018762F" w:rsidRPr="002F6AF4" w:rsidRDefault="0018762F" w:rsidP="00882921">
            <w:pPr>
              <w:pStyle w:val="Corpsdetexte0"/>
              <w:cnfStyle w:val="000000100000"/>
              <w:rPr>
                <w:i/>
                <w:sz w:val="16"/>
                <w:szCs w:val="16"/>
                <w:lang w:val="en-US"/>
              </w:rPr>
            </w:pPr>
            <w:r>
              <w:rPr>
                <w:i/>
                <w:sz w:val="16"/>
                <w:szCs w:val="16"/>
                <w:lang w:val="en-US"/>
              </w:rPr>
              <w:t>Therefore, we believe that the proposed carve out is necessary in order to protect the security of data subjects.</w:t>
            </w:r>
          </w:p>
          <w:p w:rsidR="0018762F" w:rsidRPr="00F8058F" w:rsidRDefault="0018762F" w:rsidP="00882921">
            <w:pPr>
              <w:pStyle w:val="Corpsdetexte0"/>
              <w:jc w:val="left"/>
              <w:cnfStyle w:val="000000100000"/>
              <w:rPr>
                <w:sz w:val="16"/>
                <w:szCs w:val="16"/>
                <w:lang w:val="en-US"/>
              </w:rPr>
            </w:pPr>
          </w:p>
        </w:tc>
      </w:tr>
    </w:tbl>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Default="0018762F" w:rsidP="0018762F">
      <w:pPr>
        <w:pStyle w:val="Corpsdetexte0"/>
        <w:rPr>
          <w:lang w:val="en-US"/>
        </w:rPr>
      </w:pPr>
    </w:p>
    <w:p w:rsidR="0018762F" w:rsidRPr="000C7B3A" w:rsidRDefault="0018762F" w:rsidP="0018762F">
      <w:pPr>
        <w:pStyle w:val="Corpsdetexte0"/>
        <w:numPr>
          <w:ilvl w:val="0"/>
          <w:numId w:val="1"/>
        </w:numPr>
        <w:jc w:val="left"/>
        <w:rPr>
          <w:b/>
          <w:u w:val="single"/>
          <w:lang w:val="en-US"/>
        </w:rPr>
      </w:pPr>
      <w:r>
        <w:rPr>
          <w:b/>
          <w:u w:val="single"/>
          <w:lang w:val="en-US"/>
        </w:rPr>
        <w:lastRenderedPageBreak/>
        <w:t>Article 23: Data protection by design and by default</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868"/>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23(5)</w:t>
            </w:r>
          </w:p>
        </w:tc>
        <w:tc>
          <w:tcPr>
            <w:tcW w:w="3952" w:type="dxa"/>
          </w:tcPr>
          <w:p w:rsidR="0018762F" w:rsidRDefault="0018762F" w:rsidP="00882921">
            <w:pPr>
              <w:pStyle w:val="Corpsdetexte0"/>
              <w:jc w:val="center"/>
              <w:cnfStyle w:val="000000100000"/>
              <w:rPr>
                <w:sz w:val="16"/>
                <w:szCs w:val="16"/>
                <w:lang w:val="en-US"/>
              </w:rPr>
            </w:pPr>
          </w:p>
          <w:p w:rsidR="0018762F" w:rsidRDefault="0018762F" w:rsidP="00882921">
            <w:pPr>
              <w:pStyle w:val="Corpsdetexte0"/>
              <w:jc w:val="center"/>
              <w:cnfStyle w:val="000000100000"/>
              <w:rPr>
                <w:sz w:val="16"/>
                <w:szCs w:val="16"/>
                <w:lang w:val="en-US"/>
              </w:rPr>
            </w:pPr>
          </w:p>
          <w:p w:rsidR="0018762F" w:rsidRPr="00E244EE" w:rsidRDefault="0018762F" w:rsidP="00882921">
            <w:pPr>
              <w:pStyle w:val="Corpsdetexte0"/>
              <w:jc w:val="center"/>
              <w:cnfStyle w:val="000000100000"/>
              <w:rPr>
                <w:sz w:val="16"/>
                <w:szCs w:val="16"/>
                <w:lang w:val="en-US"/>
              </w:rPr>
            </w:pPr>
            <w:r>
              <w:rPr>
                <w:sz w:val="16"/>
                <w:szCs w:val="16"/>
                <w:lang w:val="en-US"/>
              </w:rPr>
              <w:t>N/A</w:t>
            </w:r>
          </w:p>
        </w:tc>
        <w:tc>
          <w:tcPr>
            <w:tcW w:w="4394" w:type="dxa"/>
          </w:tcPr>
          <w:p w:rsidR="0018762F" w:rsidRPr="00E244EE" w:rsidRDefault="0018762F" w:rsidP="00882921">
            <w:pPr>
              <w:pStyle w:val="Corpsdetexte0"/>
              <w:cnfStyle w:val="000000100000"/>
              <w:rPr>
                <w:b/>
                <w:sz w:val="16"/>
                <w:szCs w:val="16"/>
                <w:lang w:val="en-US"/>
              </w:rPr>
            </w:pPr>
            <w:r>
              <w:rPr>
                <w:sz w:val="16"/>
                <w:szCs w:val="16"/>
                <w:lang w:val="en-US"/>
              </w:rPr>
              <w:t xml:space="preserve">(5) </w:t>
            </w:r>
            <w:r w:rsidRPr="0018762F">
              <w:rPr>
                <w:b/>
                <w:sz w:val="16"/>
                <w:szCs w:val="16"/>
                <w:u w:val="single"/>
                <w:lang w:val="en-US"/>
              </w:rPr>
              <w:t>Data controllers shall have three years following the application of the Regulation as set out in paragraph 91(2), to comply with the requirements referred to in paragraphs 1 and 2 of the present Article, and in any case no less than two years from the adoption of delegated acts or technical standards as set out in paragraphs 3 and 4 of this Article.</w:t>
            </w:r>
          </w:p>
        </w:tc>
        <w:tc>
          <w:tcPr>
            <w:tcW w:w="4395" w:type="dxa"/>
          </w:tcPr>
          <w:p w:rsidR="0018762F" w:rsidRPr="00966726" w:rsidRDefault="0018762F" w:rsidP="00882921">
            <w:pPr>
              <w:pStyle w:val="Corpsdetexte0"/>
              <w:jc w:val="left"/>
              <w:cnfStyle w:val="000000100000"/>
              <w:rPr>
                <w:i/>
                <w:sz w:val="16"/>
                <w:szCs w:val="16"/>
                <w:lang w:val="en-US"/>
              </w:rPr>
            </w:pPr>
            <w:r w:rsidRPr="00966726">
              <w:rPr>
                <w:i/>
                <w:sz w:val="16"/>
                <w:szCs w:val="16"/>
                <w:lang w:val="en-US"/>
              </w:rPr>
              <w:t>It is imperative that a suitable transition period is established for compliance with Article 23 since the scale of change necessary for some organizations with large and/or older systems</w:t>
            </w:r>
            <w:r>
              <w:rPr>
                <w:i/>
                <w:sz w:val="16"/>
                <w:szCs w:val="16"/>
                <w:lang w:val="en-US"/>
              </w:rPr>
              <w:t xml:space="preserve"> to comply</w:t>
            </w:r>
            <w:r w:rsidRPr="00966726">
              <w:rPr>
                <w:i/>
                <w:sz w:val="16"/>
                <w:szCs w:val="16"/>
                <w:lang w:val="en-US"/>
              </w:rPr>
              <w:t xml:space="preserve"> with the</w:t>
            </w:r>
            <w:r>
              <w:rPr>
                <w:i/>
                <w:sz w:val="16"/>
                <w:szCs w:val="16"/>
                <w:lang w:val="en-US"/>
              </w:rPr>
              <w:t xml:space="preserve"> requirements of the Regulation</w:t>
            </w:r>
            <w:r w:rsidRPr="00966726">
              <w:rPr>
                <w:i/>
                <w:sz w:val="16"/>
                <w:szCs w:val="16"/>
                <w:lang w:val="en-US"/>
              </w:rPr>
              <w:t xml:space="preserve"> </w:t>
            </w:r>
            <w:r>
              <w:rPr>
                <w:i/>
                <w:sz w:val="16"/>
                <w:szCs w:val="16"/>
                <w:lang w:val="en-US"/>
              </w:rPr>
              <w:t>will</w:t>
            </w:r>
            <w:r w:rsidRPr="00966726">
              <w:rPr>
                <w:i/>
                <w:sz w:val="16"/>
                <w:szCs w:val="16"/>
                <w:lang w:val="en-US"/>
              </w:rPr>
              <w:t xml:space="preserve"> require significant time to implement.</w:t>
            </w:r>
            <w:r>
              <w:rPr>
                <w:i/>
                <w:sz w:val="16"/>
                <w:szCs w:val="16"/>
                <w:lang w:val="en-US"/>
              </w:rPr>
              <w:t xml:space="preserve"> Indeed, compliance with the relevant data protection by design provisions requires integration well in advance of any project and therefore needs more time.  </w:t>
            </w:r>
            <w:r w:rsidRPr="00966726">
              <w:rPr>
                <w:i/>
                <w:sz w:val="16"/>
                <w:szCs w:val="16"/>
                <w:lang w:val="en-US"/>
              </w:rPr>
              <w:t xml:space="preserve">  </w:t>
            </w:r>
          </w:p>
        </w:tc>
      </w:tr>
    </w:tbl>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Pr="00FF53F1" w:rsidRDefault="0018762F" w:rsidP="0018762F">
      <w:pPr>
        <w:pStyle w:val="Corpsdetexte0"/>
        <w:numPr>
          <w:ilvl w:val="0"/>
          <w:numId w:val="1"/>
        </w:numPr>
        <w:ind w:left="1077"/>
        <w:jc w:val="left"/>
        <w:rPr>
          <w:b/>
          <w:u w:val="single"/>
          <w:lang w:val="en-US"/>
        </w:rPr>
      </w:pPr>
      <w:r>
        <w:rPr>
          <w:b/>
          <w:u w:val="single"/>
          <w:lang w:val="en-US"/>
        </w:rPr>
        <w:lastRenderedPageBreak/>
        <w:t>Article 26: Processor</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868"/>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26(d)</w:t>
            </w:r>
          </w:p>
        </w:tc>
        <w:tc>
          <w:tcPr>
            <w:tcW w:w="3952" w:type="dxa"/>
          </w:tcPr>
          <w:p w:rsidR="0018762F" w:rsidRPr="00D17D10" w:rsidRDefault="0018762F" w:rsidP="00882921">
            <w:pPr>
              <w:pStyle w:val="Corpsdetexte0"/>
              <w:jc w:val="left"/>
              <w:cnfStyle w:val="000000100000"/>
              <w:rPr>
                <w:sz w:val="16"/>
                <w:szCs w:val="16"/>
                <w:lang w:val="en-US"/>
              </w:rPr>
            </w:pPr>
            <w:r>
              <w:rPr>
                <w:sz w:val="16"/>
                <w:szCs w:val="16"/>
                <w:lang w:val="en-US"/>
              </w:rPr>
              <w:t xml:space="preserve">(d) </w:t>
            </w:r>
            <w:r w:rsidRPr="00D17D10">
              <w:rPr>
                <w:sz w:val="16"/>
                <w:szCs w:val="16"/>
                <w:lang w:val="en-US"/>
              </w:rPr>
              <w:t>enlist another processor only with the prior permission o</w:t>
            </w:r>
            <w:r>
              <w:rPr>
                <w:sz w:val="16"/>
                <w:szCs w:val="16"/>
                <w:lang w:val="en-US"/>
              </w:rPr>
              <w:t xml:space="preserve">f </w:t>
            </w:r>
            <w:r w:rsidRPr="00D17D10">
              <w:rPr>
                <w:sz w:val="16"/>
                <w:szCs w:val="16"/>
                <w:lang w:val="en-US"/>
              </w:rPr>
              <w:t>the controller;</w:t>
            </w:r>
          </w:p>
          <w:p w:rsidR="0018762F" w:rsidRPr="00E244EE" w:rsidRDefault="0018762F" w:rsidP="00882921">
            <w:pPr>
              <w:pStyle w:val="Corpsdetexte0"/>
              <w:jc w:val="center"/>
              <w:cnfStyle w:val="000000100000"/>
              <w:rPr>
                <w:sz w:val="16"/>
                <w:szCs w:val="16"/>
                <w:lang w:val="en-US"/>
              </w:rPr>
            </w:pPr>
          </w:p>
        </w:tc>
        <w:tc>
          <w:tcPr>
            <w:tcW w:w="4394" w:type="dxa"/>
          </w:tcPr>
          <w:p w:rsidR="0018762F" w:rsidRDefault="0018762F" w:rsidP="00882921">
            <w:pPr>
              <w:pStyle w:val="Corpsdetexte0"/>
              <w:cnfStyle w:val="000000100000"/>
              <w:rPr>
                <w:b/>
                <w:sz w:val="16"/>
                <w:szCs w:val="16"/>
                <w:u w:val="single"/>
                <w:lang w:val="en-US"/>
              </w:rPr>
            </w:pPr>
            <w:r>
              <w:rPr>
                <w:sz w:val="16"/>
                <w:szCs w:val="16"/>
                <w:lang w:val="en-US"/>
              </w:rPr>
              <w:t xml:space="preserve">(d) </w:t>
            </w:r>
            <w:proofErr w:type="gramStart"/>
            <w:r>
              <w:rPr>
                <w:sz w:val="16"/>
                <w:szCs w:val="16"/>
                <w:lang w:val="en-US"/>
              </w:rPr>
              <w:t>enlist</w:t>
            </w:r>
            <w:proofErr w:type="gramEnd"/>
            <w:r>
              <w:rPr>
                <w:sz w:val="16"/>
                <w:szCs w:val="16"/>
                <w:lang w:val="en-US"/>
              </w:rPr>
              <w:t xml:space="preserve"> another processor only with </w:t>
            </w:r>
            <w:r w:rsidRPr="00D17D10">
              <w:rPr>
                <w:strike/>
                <w:sz w:val="16"/>
                <w:szCs w:val="16"/>
                <w:lang w:val="en-US"/>
              </w:rPr>
              <w:t>the prior permission of the controller</w:t>
            </w:r>
            <w:r>
              <w:rPr>
                <w:sz w:val="16"/>
                <w:szCs w:val="16"/>
                <w:lang w:val="en-US"/>
              </w:rPr>
              <w:t xml:space="preserve"> </w:t>
            </w:r>
            <w:r w:rsidRPr="00F15ED9">
              <w:rPr>
                <w:b/>
                <w:sz w:val="16"/>
                <w:szCs w:val="16"/>
                <w:u w:val="single"/>
                <w:lang w:val="en-US"/>
              </w:rPr>
              <w:t xml:space="preserve">prior notification to the data controller. The controller should also be </w:t>
            </w:r>
            <w:r>
              <w:rPr>
                <w:b/>
                <w:sz w:val="16"/>
                <w:szCs w:val="16"/>
                <w:u w:val="single"/>
                <w:lang w:val="en-US"/>
              </w:rPr>
              <w:t xml:space="preserve">able to audit the process and </w:t>
            </w:r>
            <w:r w:rsidRPr="00BE7BE5">
              <w:rPr>
                <w:b/>
                <w:sz w:val="16"/>
                <w:szCs w:val="16"/>
                <w:u w:val="single"/>
                <w:lang w:val="en-US"/>
              </w:rPr>
              <w:t>request termination where it has been established that a specific subcontractor has not processed the data in a lawful and/or secure way</w:t>
            </w:r>
            <w:r>
              <w:rPr>
                <w:b/>
                <w:sz w:val="16"/>
                <w:szCs w:val="16"/>
                <w:u w:val="single"/>
                <w:lang w:val="en-US"/>
              </w:rPr>
              <w:t xml:space="preserve">. </w:t>
            </w:r>
          </w:p>
          <w:p w:rsidR="0018762F" w:rsidRPr="00E244EE" w:rsidRDefault="0018762F" w:rsidP="00882921">
            <w:pPr>
              <w:pStyle w:val="Corpsdetexte0"/>
              <w:cnfStyle w:val="000000100000"/>
              <w:rPr>
                <w:b/>
                <w:sz w:val="16"/>
                <w:szCs w:val="16"/>
                <w:lang w:val="en-US"/>
              </w:rPr>
            </w:pPr>
            <w:r>
              <w:rPr>
                <w:b/>
                <w:sz w:val="16"/>
                <w:szCs w:val="16"/>
                <w:u w:val="single"/>
                <w:lang w:val="en-US"/>
              </w:rPr>
              <w:t xml:space="preserve">Processors with approved BCRs can freely transmit data among their group companies </w:t>
            </w:r>
            <w:r>
              <w:rPr>
                <w:rFonts w:cs="Times New Roman"/>
                <w:b/>
                <w:sz w:val="16"/>
                <w:szCs w:val="16"/>
                <w:u w:val="single"/>
                <w:lang w:val="en-US"/>
              </w:rPr>
              <w:t>[</w:t>
            </w:r>
            <w:r>
              <w:rPr>
                <w:b/>
                <w:sz w:val="16"/>
                <w:szCs w:val="16"/>
                <w:u w:val="single"/>
                <w:lang w:val="en-US"/>
              </w:rPr>
              <w:t>and/or to third parties</w:t>
            </w:r>
            <w:r>
              <w:rPr>
                <w:rFonts w:cs="Times New Roman"/>
                <w:b/>
                <w:sz w:val="16"/>
                <w:szCs w:val="16"/>
                <w:u w:val="single"/>
                <w:lang w:val="en-US"/>
              </w:rPr>
              <w:t>]</w:t>
            </w:r>
            <w:r>
              <w:rPr>
                <w:b/>
                <w:sz w:val="16"/>
                <w:szCs w:val="16"/>
                <w:u w:val="single"/>
                <w:lang w:val="en-US"/>
              </w:rPr>
              <w:t>.</w:t>
            </w:r>
          </w:p>
        </w:tc>
        <w:tc>
          <w:tcPr>
            <w:tcW w:w="4395" w:type="dxa"/>
          </w:tcPr>
          <w:p w:rsidR="0018762F" w:rsidRDefault="0018762F" w:rsidP="00882921">
            <w:pPr>
              <w:pStyle w:val="Corpsdetexte0"/>
              <w:jc w:val="left"/>
              <w:cnfStyle w:val="000000100000"/>
              <w:rPr>
                <w:i/>
                <w:sz w:val="16"/>
                <w:szCs w:val="16"/>
                <w:lang w:val="en-US"/>
              </w:rPr>
            </w:pPr>
            <w:r w:rsidRPr="002F6AF4">
              <w:rPr>
                <w:i/>
                <w:sz w:val="16"/>
                <w:szCs w:val="16"/>
                <w:lang w:val="en-US"/>
              </w:rPr>
              <w:t>Subcontracting only with the controller’s permission can be highly problematic for large data processors with many affiliates that often have shared services functions, restructure frequently and have a huge pool of clients to seek permission from.</w:t>
            </w:r>
            <w:r>
              <w:rPr>
                <w:i/>
                <w:sz w:val="16"/>
                <w:szCs w:val="16"/>
                <w:lang w:val="en-US"/>
              </w:rPr>
              <w:t xml:space="preserve"> </w:t>
            </w:r>
            <w:r w:rsidRPr="00277559">
              <w:rPr>
                <w:i/>
                <w:sz w:val="16"/>
                <w:szCs w:val="16"/>
                <w:lang w:val="en-US"/>
              </w:rPr>
              <w:t xml:space="preserve">Such large data processors also have the need for multiple providers and suppliers. Seeking approval among a huge number of data controllers/ clients would be </w:t>
            </w:r>
            <w:r>
              <w:rPr>
                <w:i/>
                <w:sz w:val="16"/>
                <w:szCs w:val="16"/>
                <w:lang w:val="en-US"/>
              </w:rPr>
              <w:t>effectively</w:t>
            </w:r>
            <w:r w:rsidRPr="00277559">
              <w:rPr>
                <w:i/>
                <w:sz w:val="16"/>
                <w:szCs w:val="16"/>
                <w:lang w:val="en-US"/>
              </w:rPr>
              <w:t xml:space="preserve"> impossible given the administrative effort involved and the fact that a single customer could block whole projects even if they were </w:t>
            </w:r>
            <w:r>
              <w:rPr>
                <w:i/>
                <w:sz w:val="16"/>
                <w:szCs w:val="16"/>
                <w:lang w:val="en-US"/>
              </w:rPr>
              <w:t xml:space="preserve">completely </w:t>
            </w:r>
            <w:r w:rsidRPr="00277559">
              <w:rPr>
                <w:i/>
                <w:sz w:val="16"/>
                <w:szCs w:val="16"/>
                <w:lang w:val="en-US"/>
              </w:rPr>
              <w:t>reasonable and there was no specific risk for the personal data (i.e. because all necessary controls would be in place</w:t>
            </w:r>
            <w:r>
              <w:rPr>
                <w:i/>
                <w:sz w:val="16"/>
                <w:szCs w:val="16"/>
                <w:lang w:val="en-US"/>
              </w:rPr>
              <w:t xml:space="preserve"> and for reasons that may not be related to data privacy concerns (e.g. in order to negotiate better prices)</w:t>
            </w:r>
            <w:r w:rsidRPr="00277559">
              <w:rPr>
                <w:i/>
                <w:sz w:val="16"/>
                <w:szCs w:val="16"/>
                <w:lang w:val="en-US"/>
              </w:rPr>
              <w:t>.</w:t>
            </w:r>
          </w:p>
          <w:p w:rsidR="0018762F" w:rsidRDefault="0018762F" w:rsidP="00882921">
            <w:pPr>
              <w:pStyle w:val="Corpsdetexte0"/>
              <w:jc w:val="left"/>
              <w:cnfStyle w:val="000000100000"/>
              <w:rPr>
                <w:i/>
                <w:sz w:val="16"/>
                <w:szCs w:val="16"/>
                <w:lang w:val="en-US"/>
              </w:rPr>
            </w:pPr>
            <w:r>
              <w:rPr>
                <w:i/>
                <w:sz w:val="16"/>
                <w:szCs w:val="16"/>
                <w:lang w:val="en-US"/>
              </w:rPr>
              <w:t>It is more practical to award the data controller audit control rights so that i</w:t>
            </w:r>
            <w:r w:rsidRPr="00277559">
              <w:rPr>
                <w:i/>
                <w:sz w:val="16"/>
                <w:szCs w:val="16"/>
                <w:lang w:val="en-US"/>
              </w:rPr>
              <w:t xml:space="preserve">n </w:t>
            </w:r>
            <w:r>
              <w:rPr>
                <w:i/>
                <w:sz w:val="16"/>
                <w:szCs w:val="16"/>
                <w:lang w:val="en-US"/>
              </w:rPr>
              <w:t xml:space="preserve">the </w:t>
            </w:r>
            <w:r w:rsidRPr="00277559">
              <w:rPr>
                <w:i/>
                <w:sz w:val="16"/>
                <w:szCs w:val="16"/>
                <w:lang w:val="en-US"/>
              </w:rPr>
              <w:t xml:space="preserve">case </w:t>
            </w:r>
            <w:r>
              <w:rPr>
                <w:i/>
                <w:sz w:val="16"/>
                <w:szCs w:val="16"/>
                <w:lang w:val="en-US"/>
              </w:rPr>
              <w:t xml:space="preserve">where a data controller </w:t>
            </w:r>
            <w:r w:rsidRPr="00277559">
              <w:rPr>
                <w:i/>
                <w:sz w:val="16"/>
                <w:szCs w:val="16"/>
                <w:lang w:val="en-US"/>
              </w:rPr>
              <w:t>were to assume -based on objective reasons-  that a subcont</w:t>
            </w:r>
            <w:r>
              <w:rPr>
                <w:i/>
                <w:sz w:val="16"/>
                <w:szCs w:val="16"/>
                <w:lang w:val="en-US"/>
              </w:rPr>
              <w:t>ractor of the data processor was not handling</w:t>
            </w:r>
            <w:r w:rsidRPr="00277559">
              <w:rPr>
                <w:i/>
                <w:sz w:val="16"/>
                <w:szCs w:val="16"/>
                <w:lang w:val="en-US"/>
              </w:rPr>
              <w:t xml:space="preserve"> personal data lawfully</w:t>
            </w:r>
            <w:r>
              <w:rPr>
                <w:i/>
                <w:sz w:val="16"/>
                <w:szCs w:val="16"/>
                <w:lang w:val="en-US"/>
              </w:rPr>
              <w:t xml:space="preserve"> or securely, the data controller </w:t>
            </w:r>
            <w:r w:rsidRPr="00277559">
              <w:rPr>
                <w:i/>
                <w:sz w:val="16"/>
                <w:szCs w:val="16"/>
                <w:lang w:val="en-US"/>
              </w:rPr>
              <w:t>could</w:t>
            </w:r>
            <w:r>
              <w:rPr>
                <w:i/>
                <w:sz w:val="16"/>
                <w:szCs w:val="16"/>
                <w:lang w:val="en-US"/>
              </w:rPr>
              <w:t xml:space="preserve"> request termination.</w:t>
            </w:r>
          </w:p>
          <w:p w:rsidR="0018762F" w:rsidRDefault="0018762F" w:rsidP="00882921">
            <w:pPr>
              <w:pStyle w:val="Corpsdetexte0"/>
              <w:jc w:val="left"/>
              <w:cnfStyle w:val="000000100000"/>
              <w:rPr>
                <w:i/>
                <w:sz w:val="16"/>
                <w:szCs w:val="16"/>
                <w:lang w:val="en-US"/>
              </w:rPr>
            </w:pPr>
            <w:r>
              <w:rPr>
                <w:i/>
                <w:sz w:val="16"/>
                <w:szCs w:val="16"/>
                <w:lang w:val="en-US"/>
              </w:rPr>
              <w:t xml:space="preserve">We further suggest that some substance is given to the BCRs for processors. Given the high standards to be adhered to and the BCRs’ explicit upfront review and approval by the DPAs, group companies of processors with BCRs should be a safe place for the handling of data. Imposing further consent and notification obligations to processors with approved BCRs for their internal data transfers weakens the value of the BCRs mechanism and makes little sense. </w:t>
            </w:r>
          </w:p>
          <w:p w:rsidR="0018762F" w:rsidRPr="00277559" w:rsidRDefault="0018762F" w:rsidP="00882921">
            <w:pPr>
              <w:pStyle w:val="Corpsdetexte0"/>
              <w:jc w:val="left"/>
              <w:cnfStyle w:val="000000100000"/>
              <w:rPr>
                <w:i/>
                <w:sz w:val="16"/>
                <w:szCs w:val="16"/>
                <w:lang w:val="en-US"/>
              </w:rPr>
            </w:pPr>
            <w:r>
              <w:rPr>
                <w:i/>
                <w:sz w:val="16"/>
                <w:szCs w:val="16"/>
                <w:lang w:val="en-US"/>
              </w:rPr>
              <w:t xml:space="preserve">Though less obvious, even the choice of external providers should be more prudent by processors with approved BCRs. </w:t>
            </w:r>
          </w:p>
        </w:tc>
      </w:tr>
      <w:tr w:rsidR="0018762F" w:rsidRPr="006C096F" w:rsidTr="00882921">
        <w:trPr>
          <w:trHeight w:val="1868"/>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lastRenderedPageBreak/>
              <w:t>26(g)</w:t>
            </w:r>
          </w:p>
        </w:tc>
        <w:tc>
          <w:tcPr>
            <w:tcW w:w="3952" w:type="dxa"/>
          </w:tcPr>
          <w:p w:rsidR="0018762F" w:rsidRDefault="0018762F" w:rsidP="00882921">
            <w:pPr>
              <w:pStyle w:val="Corpsdetexte0"/>
              <w:jc w:val="left"/>
              <w:cnfStyle w:val="000000000000"/>
              <w:rPr>
                <w:sz w:val="16"/>
                <w:szCs w:val="16"/>
                <w:lang w:val="en-US"/>
              </w:rPr>
            </w:pPr>
            <w:r>
              <w:rPr>
                <w:sz w:val="16"/>
                <w:szCs w:val="16"/>
                <w:lang w:val="en-US"/>
              </w:rPr>
              <w:t>(g) hand over all results to the controller after the end of the processing and not process their personal data otherwise;</w:t>
            </w:r>
          </w:p>
        </w:tc>
        <w:tc>
          <w:tcPr>
            <w:tcW w:w="4394" w:type="dxa"/>
          </w:tcPr>
          <w:p w:rsidR="0018762F" w:rsidRDefault="0018762F" w:rsidP="00882921">
            <w:pPr>
              <w:pStyle w:val="Corpsdetexte0"/>
              <w:cnfStyle w:val="000000000000"/>
              <w:rPr>
                <w:sz w:val="16"/>
                <w:szCs w:val="16"/>
                <w:lang w:val="en-US"/>
              </w:rPr>
            </w:pPr>
            <w:r>
              <w:rPr>
                <w:sz w:val="16"/>
                <w:szCs w:val="16"/>
                <w:lang w:val="en-US"/>
              </w:rPr>
              <w:t xml:space="preserve">(g) </w:t>
            </w:r>
            <w:r w:rsidRPr="0018762F">
              <w:rPr>
                <w:b/>
                <w:sz w:val="16"/>
                <w:szCs w:val="16"/>
                <w:u w:val="single"/>
                <w:lang w:val="en-US"/>
              </w:rPr>
              <w:t>to the extent technologically feasible and reasonable</w:t>
            </w:r>
            <w:r>
              <w:rPr>
                <w:sz w:val="16"/>
                <w:szCs w:val="16"/>
                <w:lang w:val="en-US"/>
              </w:rPr>
              <w:t xml:space="preserve">, hand over </w:t>
            </w:r>
            <w:r>
              <w:rPr>
                <w:b/>
                <w:sz w:val="16"/>
                <w:szCs w:val="16"/>
                <w:u w:val="single"/>
                <w:lang w:val="en-US"/>
              </w:rPr>
              <w:t>or dele</w:t>
            </w:r>
            <w:r w:rsidRPr="00F15ED9">
              <w:rPr>
                <w:b/>
                <w:sz w:val="16"/>
                <w:szCs w:val="16"/>
                <w:u w:val="single"/>
                <w:lang w:val="en-US"/>
              </w:rPr>
              <w:t>te</w:t>
            </w:r>
            <w:r>
              <w:rPr>
                <w:sz w:val="16"/>
                <w:szCs w:val="16"/>
                <w:lang w:val="en-US"/>
              </w:rPr>
              <w:t xml:space="preserve"> all results to the controller after the end of the processing and not process the personal data otherwise;</w:t>
            </w:r>
          </w:p>
        </w:tc>
        <w:tc>
          <w:tcPr>
            <w:tcW w:w="4395" w:type="dxa"/>
          </w:tcPr>
          <w:p w:rsidR="0018762F" w:rsidRPr="00966726" w:rsidRDefault="0018762F" w:rsidP="00882921">
            <w:pPr>
              <w:pStyle w:val="Corpsdetexte0"/>
              <w:jc w:val="left"/>
              <w:cnfStyle w:val="000000000000"/>
              <w:rPr>
                <w:i/>
                <w:sz w:val="16"/>
                <w:szCs w:val="16"/>
                <w:lang w:val="en-US"/>
              </w:rPr>
            </w:pPr>
            <w:r>
              <w:rPr>
                <w:i/>
                <w:sz w:val="16"/>
                <w:szCs w:val="16"/>
                <w:lang w:val="en-US"/>
              </w:rPr>
              <w:t xml:space="preserve">In </w:t>
            </w:r>
            <w:r w:rsidRPr="00966726">
              <w:rPr>
                <w:i/>
                <w:sz w:val="16"/>
                <w:szCs w:val="16"/>
                <w:lang w:val="en-US"/>
              </w:rPr>
              <w:t>some instances, it can be extremely challenging to hand over the results to the data controller after the end of processing as this process involves complex de-migration projects and is even not feasible in some cases</w:t>
            </w:r>
            <w:r>
              <w:rPr>
                <w:i/>
                <w:sz w:val="16"/>
                <w:szCs w:val="16"/>
                <w:lang w:val="en-US"/>
              </w:rPr>
              <w:t>, e.g. in the credit/debit card payment industry where a huge number of payment transactions may be concerned</w:t>
            </w:r>
            <w:r w:rsidRPr="00966726">
              <w:rPr>
                <w:i/>
                <w:sz w:val="16"/>
                <w:szCs w:val="16"/>
                <w:lang w:val="en-US"/>
              </w:rPr>
              <w:t xml:space="preserve">. Therefore, it is more practical to provide for </w:t>
            </w:r>
            <w:r>
              <w:rPr>
                <w:i/>
                <w:sz w:val="16"/>
                <w:szCs w:val="16"/>
                <w:lang w:val="en-US"/>
              </w:rPr>
              <w:t xml:space="preserve">infeasibility as well as </w:t>
            </w:r>
            <w:r w:rsidRPr="00966726">
              <w:rPr>
                <w:i/>
                <w:sz w:val="16"/>
                <w:szCs w:val="16"/>
                <w:lang w:val="en-US"/>
              </w:rPr>
              <w:t>the possibility for the deletion of data as an alternative in appropriate cases.</w:t>
            </w:r>
          </w:p>
        </w:tc>
      </w:tr>
    </w:tbl>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pStyle w:val="Corpsdetexte0"/>
        <w:numPr>
          <w:ilvl w:val="0"/>
          <w:numId w:val="1"/>
        </w:numPr>
        <w:ind w:left="1077"/>
        <w:jc w:val="left"/>
        <w:rPr>
          <w:b/>
          <w:u w:val="single"/>
          <w:lang w:val="en-US"/>
        </w:rPr>
      </w:pPr>
      <w:r>
        <w:rPr>
          <w:b/>
          <w:u w:val="single"/>
          <w:lang w:val="en-US"/>
        </w:rPr>
        <w:lastRenderedPageBreak/>
        <w:t>Article 31: Notification of a personal data breach to the supervisory authority</w:t>
      </w:r>
    </w:p>
    <w:p w:rsidR="0018762F" w:rsidRDefault="0018762F" w:rsidP="0018762F">
      <w:pPr>
        <w:rPr>
          <w:lang w:val="en-US"/>
        </w:rPr>
      </w:pP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868"/>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31(1)</w:t>
            </w:r>
          </w:p>
        </w:tc>
        <w:tc>
          <w:tcPr>
            <w:tcW w:w="3952" w:type="dxa"/>
          </w:tcPr>
          <w:p w:rsidR="0018762F" w:rsidRPr="00D17D10"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In the case of a personal data breach, the controller</w:t>
            </w:r>
            <w:r>
              <w:rPr>
                <w:sz w:val="16"/>
                <w:szCs w:val="16"/>
                <w:lang w:val="en-US"/>
              </w:rPr>
              <w:t xml:space="preserve"> shall without undue delay and, </w:t>
            </w:r>
            <w:r w:rsidRPr="00331597">
              <w:rPr>
                <w:sz w:val="16"/>
                <w:szCs w:val="16"/>
                <w:lang w:val="en-US"/>
              </w:rPr>
              <w:t>where feasible, not later than 24 hours after having become aware</w:t>
            </w:r>
            <w:r>
              <w:rPr>
                <w:sz w:val="16"/>
                <w:szCs w:val="16"/>
                <w:lang w:val="en-US"/>
              </w:rPr>
              <w:t xml:space="preserve"> of it, notify the </w:t>
            </w:r>
            <w:r w:rsidRPr="00331597">
              <w:rPr>
                <w:sz w:val="16"/>
                <w:szCs w:val="16"/>
                <w:lang w:val="en-US"/>
              </w:rPr>
              <w:t xml:space="preserve">personal data breach to the supervisory authority. The </w:t>
            </w:r>
            <w:r>
              <w:rPr>
                <w:sz w:val="16"/>
                <w:szCs w:val="16"/>
                <w:lang w:val="en-US"/>
              </w:rPr>
              <w:t xml:space="preserve">notification to the supervisory </w:t>
            </w:r>
            <w:r w:rsidRPr="00331597">
              <w:rPr>
                <w:sz w:val="16"/>
                <w:szCs w:val="16"/>
                <w:lang w:val="en-US"/>
              </w:rPr>
              <w:t>authority shall be accompanied by a reasoned justifi</w:t>
            </w:r>
            <w:r>
              <w:rPr>
                <w:sz w:val="16"/>
                <w:szCs w:val="16"/>
                <w:lang w:val="en-US"/>
              </w:rPr>
              <w:t xml:space="preserve">cation in cases where it is not </w:t>
            </w:r>
            <w:r w:rsidRPr="00331597">
              <w:rPr>
                <w:sz w:val="16"/>
                <w:szCs w:val="16"/>
                <w:lang w:val="en-US"/>
              </w:rPr>
              <w:t>made within 24 hours.</w:t>
            </w:r>
          </w:p>
          <w:p w:rsidR="0018762F" w:rsidRPr="00E244EE" w:rsidRDefault="0018762F" w:rsidP="00882921">
            <w:pPr>
              <w:pStyle w:val="Corpsdetexte0"/>
              <w:jc w:val="center"/>
              <w:cnfStyle w:val="000000100000"/>
              <w:rPr>
                <w:sz w:val="16"/>
                <w:szCs w:val="16"/>
                <w:lang w:val="en-US"/>
              </w:rPr>
            </w:pPr>
          </w:p>
        </w:tc>
        <w:tc>
          <w:tcPr>
            <w:tcW w:w="4394" w:type="dxa"/>
          </w:tcPr>
          <w:p w:rsidR="0018762F" w:rsidRPr="00331597"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 xml:space="preserve">In the case of a </w:t>
            </w:r>
            <w:r w:rsidRPr="008F1B7D">
              <w:rPr>
                <w:b/>
                <w:sz w:val="16"/>
                <w:szCs w:val="16"/>
                <w:u w:val="single"/>
                <w:lang w:val="en-US"/>
              </w:rPr>
              <w:t>material</w:t>
            </w:r>
            <w:r>
              <w:rPr>
                <w:sz w:val="16"/>
                <w:szCs w:val="16"/>
                <w:lang w:val="en-US"/>
              </w:rPr>
              <w:t xml:space="preserve"> </w:t>
            </w:r>
            <w:r w:rsidRPr="00331597">
              <w:rPr>
                <w:sz w:val="16"/>
                <w:szCs w:val="16"/>
                <w:lang w:val="en-US"/>
              </w:rPr>
              <w:t>personal data breach, the controller</w:t>
            </w:r>
            <w:r>
              <w:rPr>
                <w:sz w:val="16"/>
                <w:szCs w:val="16"/>
                <w:lang w:val="en-US"/>
              </w:rPr>
              <w:t xml:space="preserve"> shall without undue delay </w:t>
            </w:r>
            <w:r w:rsidRPr="00331597">
              <w:rPr>
                <w:strike/>
                <w:sz w:val="16"/>
                <w:szCs w:val="16"/>
                <w:lang w:val="en-US"/>
              </w:rPr>
              <w:t>and, where feasible, not later than 24 hours</w:t>
            </w:r>
            <w:r w:rsidRPr="00331597">
              <w:rPr>
                <w:sz w:val="16"/>
                <w:szCs w:val="16"/>
                <w:lang w:val="en-US"/>
              </w:rPr>
              <w:t xml:space="preserve"> after having become aware</w:t>
            </w:r>
            <w:r>
              <w:rPr>
                <w:sz w:val="16"/>
                <w:szCs w:val="16"/>
                <w:lang w:val="en-US"/>
              </w:rPr>
              <w:t xml:space="preserve"> of it, notify the </w:t>
            </w:r>
            <w:r>
              <w:rPr>
                <w:b/>
                <w:sz w:val="16"/>
                <w:szCs w:val="16"/>
                <w:u w:val="single"/>
                <w:lang w:val="en-US"/>
              </w:rPr>
              <w:t>material</w:t>
            </w:r>
            <w:r w:rsidRPr="00D26275">
              <w:rPr>
                <w:b/>
                <w:sz w:val="16"/>
                <w:szCs w:val="16"/>
                <w:lang w:val="en-US"/>
              </w:rPr>
              <w:t xml:space="preserve"> </w:t>
            </w:r>
            <w:r w:rsidRPr="00331597">
              <w:rPr>
                <w:sz w:val="16"/>
                <w:szCs w:val="16"/>
                <w:lang w:val="en-US"/>
              </w:rPr>
              <w:t xml:space="preserve">personal data breach to the supervisory authority. The </w:t>
            </w:r>
            <w:r>
              <w:rPr>
                <w:sz w:val="16"/>
                <w:szCs w:val="16"/>
                <w:lang w:val="en-US"/>
              </w:rPr>
              <w:t xml:space="preserve">notification to the supervisory </w:t>
            </w:r>
            <w:r w:rsidRPr="00331597">
              <w:rPr>
                <w:sz w:val="16"/>
                <w:szCs w:val="16"/>
                <w:lang w:val="en-US"/>
              </w:rPr>
              <w:t>authority shall be accompanied by a reasoned justifi</w:t>
            </w:r>
            <w:r>
              <w:rPr>
                <w:sz w:val="16"/>
                <w:szCs w:val="16"/>
                <w:lang w:val="en-US"/>
              </w:rPr>
              <w:t xml:space="preserve">cation in cases where it is not </w:t>
            </w:r>
            <w:r w:rsidRPr="00331597">
              <w:rPr>
                <w:sz w:val="16"/>
                <w:szCs w:val="16"/>
                <w:lang w:val="en-US"/>
              </w:rPr>
              <w:t xml:space="preserve">made within </w:t>
            </w:r>
            <w:r w:rsidRPr="00331597">
              <w:rPr>
                <w:strike/>
                <w:sz w:val="16"/>
                <w:szCs w:val="16"/>
                <w:lang w:val="en-US"/>
              </w:rPr>
              <w:t>24</w:t>
            </w:r>
            <w:r w:rsidRPr="00331597">
              <w:rPr>
                <w:sz w:val="16"/>
                <w:szCs w:val="16"/>
                <w:lang w:val="en-US"/>
              </w:rPr>
              <w:t xml:space="preserve"> </w:t>
            </w:r>
            <w:r w:rsidRPr="00331597">
              <w:rPr>
                <w:b/>
                <w:sz w:val="16"/>
                <w:szCs w:val="16"/>
                <w:u w:val="single"/>
                <w:lang w:val="en-US"/>
              </w:rPr>
              <w:t>72</w:t>
            </w:r>
            <w:r w:rsidRPr="00331597">
              <w:rPr>
                <w:sz w:val="16"/>
                <w:szCs w:val="16"/>
                <w:lang w:val="en-US"/>
              </w:rPr>
              <w:t xml:space="preserve"> hours</w:t>
            </w:r>
            <w:r>
              <w:rPr>
                <w:sz w:val="16"/>
                <w:szCs w:val="16"/>
                <w:lang w:val="en-US"/>
              </w:rPr>
              <w:t>.</w:t>
            </w:r>
          </w:p>
          <w:p w:rsidR="0018762F" w:rsidRPr="00E244EE" w:rsidRDefault="0018762F" w:rsidP="00882921">
            <w:pPr>
              <w:pStyle w:val="Corpsdetexte0"/>
              <w:cnfStyle w:val="000000100000"/>
              <w:rPr>
                <w:b/>
                <w:sz w:val="16"/>
                <w:szCs w:val="16"/>
                <w:lang w:val="en-US"/>
              </w:rPr>
            </w:pPr>
          </w:p>
        </w:tc>
        <w:tc>
          <w:tcPr>
            <w:tcW w:w="4395" w:type="dxa"/>
          </w:tcPr>
          <w:p w:rsidR="0018762F" w:rsidRDefault="0018762F" w:rsidP="00882921">
            <w:pPr>
              <w:pStyle w:val="Corpsdetexte0"/>
              <w:cnfStyle w:val="000000100000"/>
              <w:rPr>
                <w:i/>
                <w:sz w:val="16"/>
                <w:szCs w:val="16"/>
                <w:lang w:val="en-US"/>
              </w:rPr>
            </w:pPr>
            <w:r w:rsidRPr="00277559">
              <w:rPr>
                <w:i/>
                <w:sz w:val="16"/>
                <w:szCs w:val="16"/>
                <w:lang w:val="en-US"/>
              </w:rPr>
              <w:t>Mandatory 24-hour breach notification to the supervisory authority would dramatically increase the number of cursory breach notifications without allowing time for sufficient assessment and understanding of the nature of the breach, its affect and the most appropriate solution. It is also an unrealistic timeframe for companies significant in size and geographical presence</w:t>
            </w:r>
            <w:r>
              <w:rPr>
                <w:i/>
                <w:sz w:val="16"/>
                <w:szCs w:val="16"/>
                <w:lang w:val="en-US"/>
              </w:rPr>
              <w:t xml:space="preserve">. </w:t>
            </w:r>
          </w:p>
          <w:p w:rsidR="0018762F" w:rsidRPr="00966726" w:rsidRDefault="0018762F" w:rsidP="00882921">
            <w:pPr>
              <w:pStyle w:val="Corpsdetexte0"/>
              <w:cnfStyle w:val="000000100000"/>
              <w:rPr>
                <w:i/>
                <w:sz w:val="16"/>
                <w:szCs w:val="16"/>
                <w:lang w:val="en-US"/>
              </w:rPr>
            </w:pPr>
            <w:r>
              <w:rPr>
                <w:i/>
                <w:sz w:val="16"/>
                <w:szCs w:val="16"/>
                <w:lang w:val="en-US"/>
              </w:rPr>
              <w:t>Moreover, w</w:t>
            </w:r>
            <w:r w:rsidRPr="00966726">
              <w:rPr>
                <w:i/>
                <w:sz w:val="16"/>
                <w:szCs w:val="16"/>
                <w:lang w:val="en-US"/>
              </w:rPr>
              <w:t>ithout a minimum breach threshold or specified types of personal data that would trigger a notification, data controllers will report every breach (even when immaterial in nature) and will lead to “notification fatigue” for DPAs and data subjects.</w:t>
            </w:r>
            <w:r>
              <w:rPr>
                <w:i/>
                <w:sz w:val="16"/>
                <w:szCs w:val="16"/>
                <w:lang w:val="en-US"/>
              </w:rPr>
              <w:t xml:space="preserve"> It is thus important to establish a reasonable risk threshold, such as a material breach, for data breach notification to which the envisaged requirements will apply.</w:t>
            </w:r>
          </w:p>
        </w:tc>
      </w:tr>
    </w:tbl>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Pr="00331597" w:rsidRDefault="0018762F" w:rsidP="0018762F">
      <w:pPr>
        <w:pStyle w:val="Corpsdetexte0"/>
        <w:numPr>
          <w:ilvl w:val="0"/>
          <w:numId w:val="1"/>
        </w:numPr>
        <w:jc w:val="left"/>
        <w:rPr>
          <w:b/>
          <w:u w:val="single"/>
          <w:lang w:val="en-US"/>
        </w:rPr>
      </w:pPr>
      <w:r>
        <w:rPr>
          <w:b/>
          <w:u w:val="single"/>
          <w:lang w:val="en-US"/>
        </w:rPr>
        <w:lastRenderedPageBreak/>
        <w:t>Article 33: Data protection impact assessment</w:t>
      </w:r>
    </w:p>
    <w:p w:rsidR="0018762F" w:rsidRDefault="0018762F" w:rsidP="0018762F">
      <w:pPr>
        <w:rPr>
          <w:lang w:val="en-US"/>
        </w:rPr>
      </w:pP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744"/>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33(1)</w:t>
            </w:r>
          </w:p>
        </w:tc>
        <w:tc>
          <w:tcPr>
            <w:tcW w:w="3952" w:type="dxa"/>
          </w:tcPr>
          <w:p w:rsidR="0018762F" w:rsidRPr="00E244EE"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 xml:space="preserve">Where processing operations present specific risks to </w:t>
            </w:r>
            <w:r>
              <w:rPr>
                <w:sz w:val="16"/>
                <w:szCs w:val="16"/>
                <w:lang w:val="en-US"/>
              </w:rPr>
              <w:t xml:space="preserve">the rights and freedoms of data </w:t>
            </w:r>
            <w:r w:rsidRPr="00331597">
              <w:rPr>
                <w:sz w:val="16"/>
                <w:szCs w:val="16"/>
                <w:lang w:val="en-US"/>
              </w:rPr>
              <w:t xml:space="preserve">subjects by virtue of their nature, their scope or their </w:t>
            </w:r>
            <w:r>
              <w:rPr>
                <w:sz w:val="16"/>
                <w:szCs w:val="16"/>
                <w:lang w:val="en-US"/>
              </w:rPr>
              <w:t xml:space="preserve">purposes, the controller or the </w:t>
            </w:r>
            <w:r w:rsidRPr="00331597">
              <w:rPr>
                <w:sz w:val="16"/>
                <w:szCs w:val="16"/>
                <w:lang w:val="en-US"/>
              </w:rPr>
              <w:t xml:space="preserve">processor acting on the controller's behalf shall carry </w:t>
            </w:r>
            <w:r>
              <w:rPr>
                <w:sz w:val="16"/>
                <w:szCs w:val="16"/>
                <w:lang w:val="en-US"/>
              </w:rPr>
              <w:t xml:space="preserve">out an assessment of the impact </w:t>
            </w:r>
            <w:r w:rsidRPr="00331597">
              <w:rPr>
                <w:sz w:val="16"/>
                <w:szCs w:val="16"/>
                <w:lang w:val="en-US"/>
              </w:rPr>
              <w:t>of the envisaged processing operations on the protection of personal data.</w:t>
            </w:r>
          </w:p>
        </w:tc>
        <w:tc>
          <w:tcPr>
            <w:tcW w:w="4394" w:type="dxa"/>
          </w:tcPr>
          <w:p w:rsidR="0018762F" w:rsidRPr="0000534A"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 xml:space="preserve">Where processing operations present specific risks to </w:t>
            </w:r>
            <w:r>
              <w:rPr>
                <w:sz w:val="16"/>
                <w:szCs w:val="16"/>
                <w:lang w:val="en-US"/>
              </w:rPr>
              <w:t xml:space="preserve">the rights and freedoms of data </w:t>
            </w:r>
            <w:r w:rsidRPr="00331597">
              <w:rPr>
                <w:sz w:val="16"/>
                <w:szCs w:val="16"/>
                <w:lang w:val="en-US"/>
              </w:rPr>
              <w:t xml:space="preserve">subjects by virtue of their nature, their scope or their </w:t>
            </w:r>
            <w:r>
              <w:rPr>
                <w:sz w:val="16"/>
                <w:szCs w:val="16"/>
                <w:lang w:val="en-US"/>
              </w:rPr>
              <w:t xml:space="preserve">purposes, the controller </w:t>
            </w:r>
            <w:r w:rsidRPr="00331597">
              <w:rPr>
                <w:strike/>
                <w:sz w:val="16"/>
                <w:szCs w:val="16"/>
                <w:lang w:val="en-US"/>
              </w:rPr>
              <w:t>or the processor acting on the controller's behalf</w:t>
            </w:r>
            <w:r w:rsidRPr="00331597">
              <w:rPr>
                <w:sz w:val="16"/>
                <w:szCs w:val="16"/>
                <w:lang w:val="en-US"/>
              </w:rPr>
              <w:t xml:space="preserve"> shall carry </w:t>
            </w:r>
            <w:r>
              <w:rPr>
                <w:sz w:val="16"/>
                <w:szCs w:val="16"/>
                <w:lang w:val="en-US"/>
              </w:rPr>
              <w:t xml:space="preserve">out an assessment of the impact </w:t>
            </w:r>
            <w:r w:rsidRPr="00331597">
              <w:rPr>
                <w:sz w:val="16"/>
                <w:szCs w:val="16"/>
                <w:lang w:val="en-US"/>
              </w:rPr>
              <w:t>of the envisaged processing operations on t</w:t>
            </w:r>
            <w:r>
              <w:rPr>
                <w:sz w:val="16"/>
                <w:szCs w:val="16"/>
                <w:lang w:val="en-US"/>
              </w:rPr>
              <w:t>he protection of personal data.</w:t>
            </w:r>
          </w:p>
        </w:tc>
        <w:tc>
          <w:tcPr>
            <w:tcW w:w="4395" w:type="dxa"/>
          </w:tcPr>
          <w:p w:rsidR="0018762F" w:rsidRPr="00F8058F" w:rsidRDefault="0018762F" w:rsidP="00882921">
            <w:pPr>
              <w:pStyle w:val="Corpsdetexte0"/>
              <w:jc w:val="left"/>
              <w:cnfStyle w:val="000000100000"/>
              <w:rPr>
                <w:sz w:val="16"/>
                <w:szCs w:val="16"/>
                <w:lang w:val="en-US"/>
              </w:rPr>
            </w:pPr>
            <w:r>
              <w:rPr>
                <w:i/>
                <w:sz w:val="16"/>
                <w:szCs w:val="16"/>
                <w:lang w:val="en-US"/>
              </w:rPr>
              <w:t>I</w:t>
            </w:r>
            <w:r w:rsidRPr="00803A29">
              <w:rPr>
                <w:i/>
                <w:sz w:val="16"/>
                <w:szCs w:val="16"/>
                <w:lang w:val="en-US"/>
              </w:rPr>
              <w:t>n</w:t>
            </w:r>
            <w:r>
              <w:rPr>
                <w:i/>
                <w:sz w:val="16"/>
                <w:szCs w:val="16"/>
                <w:lang w:val="en-US"/>
              </w:rPr>
              <w:t xml:space="preserve"> the payment processing industry, the processor does not always have a global overview of the complete processing of personal data and, in particular, if the data controller uses multiple processors for parts of the processing. This makes it impossible for the processor to assess the risks involved correctly.</w:t>
            </w:r>
          </w:p>
        </w:tc>
      </w:tr>
      <w:tr w:rsidR="0018762F" w:rsidRPr="006C096F" w:rsidTr="00882921">
        <w:trPr>
          <w:trHeight w:val="1868"/>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33(4)</w:t>
            </w:r>
          </w:p>
        </w:tc>
        <w:tc>
          <w:tcPr>
            <w:tcW w:w="3952" w:type="dxa"/>
          </w:tcPr>
          <w:p w:rsidR="0018762F" w:rsidRPr="00331597" w:rsidRDefault="0018762F" w:rsidP="00882921">
            <w:pPr>
              <w:pStyle w:val="Corpsdetexte0"/>
              <w:cnfStyle w:val="000000000000"/>
              <w:rPr>
                <w:sz w:val="16"/>
                <w:szCs w:val="16"/>
                <w:lang w:val="en-US"/>
              </w:rPr>
            </w:pPr>
            <w:r>
              <w:rPr>
                <w:sz w:val="16"/>
                <w:szCs w:val="16"/>
                <w:lang w:val="en-US"/>
              </w:rPr>
              <w:t xml:space="preserve">(4) </w:t>
            </w:r>
            <w:r w:rsidRPr="00331597">
              <w:rPr>
                <w:sz w:val="16"/>
                <w:szCs w:val="16"/>
                <w:lang w:val="en-US"/>
              </w:rPr>
              <w:t xml:space="preserve">The controller shall seek the views of data subjects </w:t>
            </w:r>
            <w:r>
              <w:rPr>
                <w:sz w:val="16"/>
                <w:szCs w:val="16"/>
                <w:lang w:val="en-US"/>
              </w:rPr>
              <w:t xml:space="preserve">or their representatives on the </w:t>
            </w:r>
            <w:r w:rsidRPr="00331597">
              <w:rPr>
                <w:sz w:val="16"/>
                <w:szCs w:val="16"/>
                <w:lang w:val="en-US"/>
              </w:rPr>
              <w:t>intended processing, without prejudice to the pro</w:t>
            </w:r>
            <w:r>
              <w:rPr>
                <w:sz w:val="16"/>
                <w:szCs w:val="16"/>
                <w:lang w:val="en-US"/>
              </w:rPr>
              <w:t xml:space="preserve">tection of commercial or public </w:t>
            </w:r>
            <w:r w:rsidRPr="00331597">
              <w:rPr>
                <w:sz w:val="16"/>
                <w:szCs w:val="16"/>
                <w:lang w:val="en-US"/>
              </w:rPr>
              <w:t>interests or the security of the processing operations.</w:t>
            </w:r>
          </w:p>
          <w:p w:rsidR="0018762F" w:rsidRDefault="0018762F" w:rsidP="00882921">
            <w:pPr>
              <w:pStyle w:val="Corpsdetexte0"/>
              <w:jc w:val="left"/>
              <w:cnfStyle w:val="000000000000"/>
              <w:rPr>
                <w:sz w:val="16"/>
                <w:szCs w:val="16"/>
                <w:lang w:val="en-US"/>
              </w:rPr>
            </w:pPr>
          </w:p>
        </w:tc>
        <w:tc>
          <w:tcPr>
            <w:tcW w:w="4394" w:type="dxa"/>
          </w:tcPr>
          <w:p w:rsidR="0018762F" w:rsidRPr="00331597" w:rsidRDefault="0018762F" w:rsidP="00882921">
            <w:pPr>
              <w:pStyle w:val="Corpsdetexte0"/>
              <w:cnfStyle w:val="000000000000"/>
              <w:rPr>
                <w:strike/>
                <w:sz w:val="16"/>
                <w:szCs w:val="16"/>
                <w:lang w:val="en-US"/>
              </w:rPr>
            </w:pPr>
            <w:r w:rsidRPr="00331597">
              <w:rPr>
                <w:strike/>
                <w:sz w:val="16"/>
                <w:szCs w:val="16"/>
                <w:lang w:val="en-US"/>
              </w:rPr>
              <w:t>The controller shall seek the views of data subjects or their representatives on the intended processing, without prejudice to the protection of commercial or public interests or the security of the processing operations.</w:t>
            </w:r>
          </w:p>
          <w:p w:rsidR="0018762F" w:rsidRDefault="0018762F" w:rsidP="00882921">
            <w:pPr>
              <w:pStyle w:val="Corpsdetexte0"/>
              <w:cnfStyle w:val="000000000000"/>
              <w:rPr>
                <w:sz w:val="16"/>
                <w:szCs w:val="16"/>
                <w:lang w:val="en-US"/>
              </w:rPr>
            </w:pPr>
          </w:p>
        </w:tc>
        <w:tc>
          <w:tcPr>
            <w:tcW w:w="4395" w:type="dxa"/>
          </w:tcPr>
          <w:p w:rsidR="0018762F" w:rsidRPr="00966726" w:rsidRDefault="0018762F" w:rsidP="00882921">
            <w:pPr>
              <w:pStyle w:val="Corpsdetexte0"/>
              <w:jc w:val="left"/>
              <w:cnfStyle w:val="000000000000"/>
              <w:rPr>
                <w:i/>
                <w:sz w:val="16"/>
                <w:szCs w:val="16"/>
                <w:lang w:val="en-US"/>
              </w:rPr>
            </w:pPr>
            <w:r>
              <w:rPr>
                <w:i/>
                <w:sz w:val="16"/>
                <w:szCs w:val="16"/>
                <w:lang w:val="en-US"/>
              </w:rPr>
              <w:t xml:space="preserve">In addition to the potential delay that this Article would cause to the provision of new products to the market, in the payment processing industry in any case, it is often unfeasible to consult with data subjects since payment processors often only </w:t>
            </w:r>
            <w:r w:rsidRPr="00803A29">
              <w:rPr>
                <w:i/>
                <w:sz w:val="16"/>
                <w:szCs w:val="16"/>
                <w:lang w:val="en-US"/>
              </w:rPr>
              <w:t xml:space="preserve">have merchant details and the credit card numbers </w:t>
            </w:r>
            <w:r>
              <w:rPr>
                <w:i/>
                <w:sz w:val="16"/>
                <w:szCs w:val="16"/>
                <w:lang w:val="en-US"/>
              </w:rPr>
              <w:t xml:space="preserve">of cardholders </w:t>
            </w:r>
            <w:r w:rsidRPr="00803A29">
              <w:rPr>
                <w:i/>
                <w:sz w:val="16"/>
                <w:szCs w:val="16"/>
                <w:lang w:val="en-US"/>
              </w:rPr>
              <w:t xml:space="preserve">but do not have names, addresses or any contact details of the </w:t>
            </w:r>
            <w:r>
              <w:rPr>
                <w:i/>
                <w:sz w:val="16"/>
                <w:szCs w:val="16"/>
                <w:lang w:val="en-US"/>
              </w:rPr>
              <w:t xml:space="preserve">data subjects/cardholders and </w:t>
            </w:r>
            <w:r w:rsidRPr="00803A29">
              <w:rPr>
                <w:i/>
                <w:sz w:val="16"/>
                <w:szCs w:val="16"/>
                <w:lang w:val="en-US"/>
              </w:rPr>
              <w:t>so are unable to identify indivi</w:t>
            </w:r>
            <w:r>
              <w:rPr>
                <w:i/>
                <w:sz w:val="16"/>
                <w:szCs w:val="16"/>
                <w:lang w:val="en-US"/>
              </w:rPr>
              <w:t>dual data subjects.</w:t>
            </w:r>
          </w:p>
        </w:tc>
      </w:tr>
    </w:tbl>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Pr="000C7B3A" w:rsidRDefault="0018762F" w:rsidP="0018762F">
      <w:pPr>
        <w:pStyle w:val="Corpsdetexte0"/>
        <w:numPr>
          <w:ilvl w:val="0"/>
          <w:numId w:val="1"/>
        </w:numPr>
        <w:jc w:val="left"/>
        <w:rPr>
          <w:b/>
          <w:u w:val="single"/>
          <w:lang w:val="en-US"/>
        </w:rPr>
      </w:pPr>
      <w:r>
        <w:rPr>
          <w:b/>
          <w:u w:val="single"/>
          <w:lang w:val="en-US"/>
        </w:rPr>
        <w:lastRenderedPageBreak/>
        <w:t>Article 43: Transfers by the way of binding corporate rules</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456"/>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43(1)</w:t>
            </w:r>
          </w:p>
        </w:tc>
        <w:tc>
          <w:tcPr>
            <w:tcW w:w="3952" w:type="dxa"/>
          </w:tcPr>
          <w:p w:rsidR="0018762F" w:rsidRPr="00E244EE"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A supervisory authority shall in accordance with th</w:t>
            </w:r>
            <w:r>
              <w:rPr>
                <w:sz w:val="16"/>
                <w:szCs w:val="16"/>
                <w:lang w:val="en-US"/>
              </w:rPr>
              <w:t xml:space="preserve">e consistency mechanism set out </w:t>
            </w:r>
            <w:r w:rsidRPr="00331597">
              <w:rPr>
                <w:sz w:val="16"/>
                <w:szCs w:val="16"/>
                <w:lang w:val="en-US"/>
              </w:rPr>
              <w:t>in Article 58 approve binding corporate rules, provided that they:</w:t>
            </w:r>
          </w:p>
        </w:tc>
        <w:tc>
          <w:tcPr>
            <w:tcW w:w="4394" w:type="dxa"/>
          </w:tcPr>
          <w:p w:rsidR="0018762F" w:rsidRPr="007C4659" w:rsidRDefault="0018762F" w:rsidP="00882921">
            <w:pPr>
              <w:pStyle w:val="Corpsdetexte0"/>
              <w:cnfStyle w:val="000000100000"/>
              <w:rPr>
                <w:sz w:val="16"/>
                <w:szCs w:val="16"/>
                <w:lang w:val="en-US"/>
              </w:rPr>
            </w:pPr>
            <w:r>
              <w:rPr>
                <w:sz w:val="16"/>
                <w:szCs w:val="16"/>
                <w:lang w:val="en-US"/>
              </w:rPr>
              <w:t xml:space="preserve">(1) </w:t>
            </w:r>
            <w:r w:rsidRPr="00331597">
              <w:rPr>
                <w:sz w:val="16"/>
                <w:szCs w:val="16"/>
                <w:lang w:val="en-US"/>
              </w:rPr>
              <w:t>A supervisory authority shall in accordance with th</w:t>
            </w:r>
            <w:r>
              <w:rPr>
                <w:sz w:val="16"/>
                <w:szCs w:val="16"/>
                <w:lang w:val="en-US"/>
              </w:rPr>
              <w:t xml:space="preserve">e consistency mechanism set out </w:t>
            </w:r>
            <w:r w:rsidRPr="00331597">
              <w:rPr>
                <w:sz w:val="16"/>
                <w:szCs w:val="16"/>
                <w:lang w:val="en-US"/>
              </w:rPr>
              <w:t>in Article 58</w:t>
            </w:r>
            <w:r>
              <w:rPr>
                <w:sz w:val="16"/>
                <w:szCs w:val="16"/>
                <w:lang w:val="en-US"/>
              </w:rPr>
              <w:t xml:space="preserve"> approve binding corporate rules </w:t>
            </w:r>
            <w:r w:rsidRPr="00015948">
              <w:rPr>
                <w:b/>
                <w:sz w:val="16"/>
                <w:szCs w:val="16"/>
                <w:u w:val="single"/>
                <w:lang w:val="en-US"/>
              </w:rPr>
              <w:t xml:space="preserve"> adopted by </w:t>
            </w:r>
            <w:r>
              <w:rPr>
                <w:b/>
                <w:sz w:val="16"/>
                <w:szCs w:val="16"/>
                <w:u w:val="single"/>
                <w:lang w:val="en-US"/>
              </w:rPr>
              <w:t>a controller or processor</w:t>
            </w:r>
            <w:r w:rsidRPr="00331597">
              <w:rPr>
                <w:sz w:val="16"/>
                <w:szCs w:val="16"/>
                <w:lang w:val="en-US"/>
              </w:rPr>
              <w:t>, provided that they:</w:t>
            </w:r>
          </w:p>
        </w:tc>
        <w:tc>
          <w:tcPr>
            <w:tcW w:w="4395" w:type="dxa"/>
          </w:tcPr>
          <w:p w:rsidR="0018762F" w:rsidRPr="0000534A" w:rsidRDefault="0018762F" w:rsidP="00882921">
            <w:pPr>
              <w:pStyle w:val="Corpsdetexte0"/>
              <w:jc w:val="left"/>
              <w:cnfStyle w:val="000000100000"/>
              <w:rPr>
                <w:i/>
                <w:sz w:val="16"/>
                <w:szCs w:val="16"/>
                <w:lang w:val="en-US"/>
              </w:rPr>
            </w:pPr>
            <w:r w:rsidRPr="0000534A">
              <w:rPr>
                <w:i/>
                <w:sz w:val="16"/>
                <w:szCs w:val="16"/>
                <w:lang w:val="en-US"/>
              </w:rPr>
              <w:t>It is important to clarify</w:t>
            </w:r>
            <w:r>
              <w:rPr>
                <w:i/>
                <w:sz w:val="16"/>
                <w:szCs w:val="16"/>
                <w:lang w:val="en-US"/>
              </w:rPr>
              <w:t xml:space="preserve"> </w:t>
            </w:r>
            <w:r w:rsidRPr="0000534A">
              <w:rPr>
                <w:i/>
                <w:sz w:val="16"/>
                <w:szCs w:val="16"/>
                <w:lang w:val="en-US"/>
              </w:rPr>
              <w:t xml:space="preserve">the application of BCRs to data processors, especially since such an extension under the Regulation is </w:t>
            </w:r>
            <w:r>
              <w:rPr>
                <w:i/>
                <w:sz w:val="16"/>
                <w:szCs w:val="16"/>
                <w:lang w:val="en-US"/>
              </w:rPr>
              <w:t>the intention of the Commission (see notably Article 43(1</w:t>
            </w:r>
            <w:proofErr w:type="gramStart"/>
            <w:r>
              <w:rPr>
                <w:i/>
                <w:sz w:val="16"/>
                <w:szCs w:val="16"/>
                <w:lang w:val="en-US"/>
              </w:rPr>
              <w:t>)(</w:t>
            </w:r>
            <w:proofErr w:type="gramEnd"/>
            <w:r>
              <w:rPr>
                <w:i/>
                <w:sz w:val="16"/>
                <w:szCs w:val="16"/>
                <w:lang w:val="en-US"/>
              </w:rPr>
              <w:t>a) 43(2)(f) as well as 43(3)) although it is not explicitly covered in all cases.</w:t>
            </w:r>
          </w:p>
        </w:tc>
      </w:tr>
      <w:tr w:rsidR="0018762F" w:rsidRPr="006C096F" w:rsidTr="00882921">
        <w:trPr>
          <w:trHeight w:val="1868"/>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43(3)</w:t>
            </w:r>
          </w:p>
        </w:tc>
        <w:tc>
          <w:tcPr>
            <w:tcW w:w="3952" w:type="dxa"/>
          </w:tcPr>
          <w:p w:rsidR="0018762F" w:rsidRPr="00015948" w:rsidRDefault="0018762F" w:rsidP="00882921">
            <w:pPr>
              <w:pStyle w:val="Corpsdetexte0"/>
              <w:cnfStyle w:val="000000000000"/>
              <w:rPr>
                <w:sz w:val="16"/>
                <w:szCs w:val="16"/>
                <w:lang w:val="en-US"/>
              </w:rPr>
            </w:pPr>
            <w:r>
              <w:rPr>
                <w:sz w:val="16"/>
                <w:szCs w:val="16"/>
                <w:lang w:val="en-US"/>
              </w:rPr>
              <w:t xml:space="preserve">(3) </w:t>
            </w:r>
            <w:r w:rsidRPr="00015948">
              <w:rPr>
                <w:sz w:val="16"/>
                <w:szCs w:val="16"/>
                <w:lang w:val="en-US"/>
              </w:rPr>
              <w:t>The Commission shall be empowered to adopt de</w:t>
            </w:r>
            <w:r>
              <w:rPr>
                <w:sz w:val="16"/>
                <w:szCs w:val="16"/>
                <w:lang w:val="en-US"/>
              </w:rPr>
              <w:t xml:space="preserve">legated acts in accordance with </w:t>
            </w:r>
            <w:r w:rsidRPr="00015948">
              <w:rPr>
                <w:sz w:val="16"/>
                <w:szCs w:val="16"/>
                <w:lang w:val="en-US"/>
              </w:rPr>
              <w:t>Article 86 for the purpose of further specifying th</w:t>
            </w:r>
            <w:r>
              <w:rPr>
                <w:sz w:val="16"/>
                <w:szCs w:val="16"/>
                <w:lang w:val="en-US"/>
              </w:rPr>
              <w:t xml:space="preserve">e criteria and requirements for </w:t>
            </w:r>
            <w:r w:rsidRPr="00015948">
              <w:rPr>
                <w:sz w:val="16"/>
                <w:szCs w:val="16"/>
                <w:lang w:val="en-US"/>
              </w:rPr>
              <w:t>binding corporate rules within the meaning of this Articl</w:t>
            </w:r>
            <w:r>
              <w:rPr>
                <w:sz w:val="16"/>
                <w:szCs w:val="16"/>
                <w:lang w:val="en-US"/>
              </w:rPr>
              <w:t xml:space="preserve">e, in particular as regards the </w:t>
            </w:r>
            <w:r w:rsidRPr="00015948">
              <w:rPr>
                <w:sz w:val="16"/>
                <w:szCs w:val="16"/>
                <w:lang w:val="en-US"/>
              </w:rPr>
              <w:t xml:space="preserve">criteria for their approval, the application of points (b), </w:t>
            </w:r>
            <w:r>
              <w:rPr>
                <w:sz w:val="16"/>
                <w:szCs w:val="16"/>
                <w:lang w:val="en-US"/>
              </w:rPr>
              <w:t xml:space="preserve">(d), (e) and (f) of paragraph 2 </w:t>
            </w:r>
            <w:r w:rsidRPr="00015948">
              <w:rPr>
                <w:sz w:val="16"/>
                <w:szCs w:val="16"/>
                <w:lang w:val="en-US"/>
              </w:rPr>
              <w:t>to binding corporate rules adhered to by proc</w:t>
            </w:r>
            <w:r>
              <w:rPr>
                <w:sz w:val="16"/>
                <w:szCs w:val="16"/>
                <w:lang w:val="en-US"/>
              </w:rPr>
              <w:t xml:space="preserve">essors and on further necessary </w:t>
            </w:r>
            <w:r w:rsidRPr="00015948">
              <w:rPr>
                <w:sz w:val="16"/>
                <w:szCs w:val="16"/>
                <w:lang w:val="en-US"/>
              </w:rPr>
              <w:t>requirements to ensure the protection of personal data of the data subjects concerned.</w:t>
            </w:r>
          </w:p>
          <w:p w:rsidR="0018762F" w:rsidRDefault="0018762F" w:rsidP="00882921">
            <w:pPr>
              <w:pStyle w:val="Corpsdetexte0"/>
              <w:jc w:val="left"/>
              <w:cnfStyle w:val="000000000000"/>
              <w:rPr>
                <w:sz w:val="16"/>
                <w:szCs w:val="16"/>
                <w:lang w:val="en-US"/>
              </w:rPr>
            </w:pPr>
            <w:r w:rsidRPr="00015948">
              <w:rPr>
                <w:sz w:val="16"/>
                <w:szCs w:val="16"/>
                <w:lang w:val="en-US"/>
              </w:rPr>
              <w:t xml:space="preserve"> </w:t>
            </w:r>
          </w:p>
        </w:tc>
        <w:tc>
          <w:tcPr>
            <w:tcW w:w="4394" w:type="dxa"/>
          </w:tcPr>
          <w:p w:rsidR="0018762F" w:rsidRDefault="0018762F" w:rsidP="00882921">
            <w:pPr>
              <w:pStyle w:val="Corpsdetexte0"/>
              <w:cnfStyle w:val="000000000000"/>
              <w:rPr>
                <w:sz w:val="16"/>
                <w:szCs w:val="16"/>
                <w:lang w:val="en-US"/>
              </w:rPr>
            </w:pPr>
            <w:r>
              <w:rPr>
                <w:sz w:val="16"/>
                <w:szCs w:val="16"/>
                <w:lang w:val="en-US"/>
              </w:rPr>
              <w:t xml:space="preserve">(3) </w:t>
            </w:r>
            <w:r w:rsidRPr="00015948">
              <w:rPr>
                <w:sz w:val="16"/>
                <w:szCs w:val="16"/>
                <w:lang w:val="en-US"/>
              </w:rPr>
              <w:t>The Commission shall be empowered to adopt de</w:t>
            </w:r>
            <w:r>
              <w:rPr>
                <w:sz w:val="16"/>
                <w:szCs w:val="16"/>
                <w:lang w:val="en-US"/>
              </w:rPr>
              <w:t xml:space="preserve">legated acts in accordance with </w:t>
            </w:r>
            <w:r w:rsidRPr="00015948">
              <w:rPr>
                <w:sz w:val="16"/>
                <w:szCs w:val="16"/>
                <w:lang w:val="en-US"/>
              </w:rPr>
              <w:t>Article 86 for the purpose of further specifying th</w:t>
            </w:r>
            <w:r>
              <w:rPr>
                <w:sz w:val="16"/>
                <w:szCs w:val="16"/>
                <w:lang w:val="en-US"/>
              </w:rPr>
              <w:t xml:space="preserve">e criteria and requirements for </w:t>
            </w:r>
            <w:r w:rsidRPr="00015948">
              <w:rPr>
                <w:sz w:val="16"/>
                <w:szCs w:val="16"/>
                <w:lang w:val="en-US"/>
              </w:rPr>
              <w:t>binding corporate rules</w:t>
            </w:r>
            <w:r>
              <w:rPr>
                <w:sz w:val="16"/>
                <w:szCs w:val="16"/>
                <w:lang w:val="en-US"/>
              </w:rPr>
              <w:t xml:space="preserve"> </w:t>
            </w:r>
            <w:r w:rsidRPr="00015948">
              <w:rPr>
                <w:b/>
                <w:sz w:val="16"/>
                <w:szCs w:val="16"/>
                <w:u w:val="single"/>
                <w:lang w:val="en-US"/>
              </w:rPr>
              <w:t xml:space="preserve">adopted by </w:t>
            </w:r>
            <w:r>
              <w:rPr>
                <w:b/>
                <w:sz w:val="16"/>
                <w:szCs w:val="16"/>
                <w:u w:val="single"/>
                <w:lang w:val="en-US"/>
              </w:rPr>
              <w:t>a controller or processor</w:t>
            </w:r>
            <w:r w:rsidRPr="00015948">
              <w:rPr>
                <w:sz w:val="16"/>
                <w:szCs w:val="16"/>
                <w:lang w:val="en-US"/>
              </w:rPr>
              <w:t xml:space="preserve"> within the meaning of this Articl</w:t>
            </w:r>
            <w:r>
              <w:rPr>
                <w:sz w:val="16"/>
                <w:szCs w:val="16"/>
                <w:lang w:val="en-US"/>
              </w:rPr>
              <w:t xml:space="preserve">e, in particular as regards the </w:t>
            </w:r>
            <w:r w:rsidRPr="00015948">
              <w:rPr>
                <w:sz w:val="16"/>
                <w:szCs w:val="16"/>
                <w:lang w:val="en-US"/>
              </w:rPr>
              <w:t xml:space="preserve">criteria for their approval, the application of points (b), </w:t>
            </w:r>
            <w:r>
              <w:rPr>
                <w:sz w:val="16"/>
                <w:szCs w:val="16"/>
                <w:lang w:val="en-US"/>
              </w:rPr>
              <w:t xml:space="preserve">(d), (e) and (f) of paragraph 2 </w:t>
            </w:r>
            <w:r w:rsidRPr="00015948">
              <w:rPr>
                <w:sz w:val="16"/>
                <w:szCs w:val="16"/>
                <w:lang w:val="en-US"/>
              </w:rPr>
              <w:t>to binding corporate rules adhered to by proc</w:t>
            </w:r>
            <w:r>
              <w:rPr>
                <w:sz w:val="16"/>
                <w:szCs w:val="16"/>
                <w:lang w:val="en-US"/>
              </w:rPr>
              <w:t xml:space="preserve">essors and on further necessary </w:t>
            </w:r>
            <w:r w:rsidRPr="00015948">
              <w:rPr>
                <w:sz w:val="16"/>
                <w:szCs w:val="16"/>
                <w:lang w:val="en-US"/>
              </w:rPr>
              <w:t>requirements to ensure the protection of personal data of the data subjects concerned</w:t>
            </w:r>
          </w:p>
        </w:tc>
        <w:tc>
          <w:tcPr>
            <w:tcW w:w="4395" w:type="dxa"/>
          </w:tcPr>
          <w:p w:rsidR="0018762F" w:rsidRPr="0000534A" w:rsidRDefault="0018762F" w:rsidP="00882921">
            <w:pPr>
              <w:pStyle w:val="Corpsdetexte0"/>
              <w:jc w:val="left"/>
              <w:cnfStyle w:val="000000000000"/>
              <w:rPr>
                <w:b/>
                <w:sz w:val="16"/>
                <w:szCs w:val="16"/>
                <w:lang w:val="en-US"/>
              </w:rPr>
            </w:pPr>
            <w:r w:rsidRPr="0000534A">
              <w:rPr>
                <w:i/>
                <w:sz w:val="16"/>
                <w:szCs w:val="16"/>
                <w:lang w:val="en-US"/>
              </w:rPr>
              <w:t>It is important to clarify</w:t>
            </w:r>
            <w:r>
              <w:rPr>
                <w:i/>
                <w:sz w:val="16"/>
                <w:szCs w:val="16"/>
                <w:lang w:val="en-US"/>
              </w:rPr>
              <w:t xml:space="preserve"> </w:t>
            </w:r>
            <w:r w:rsidRPr="0000534A">
              <w:rPr>
                <w:i/>
                <w:sz w:val="16"/>
                <w:szCs w:val="16"/>
                <w:lang w:val="en-US"/>
              </w:rPr>
              <w:t xml:space="preserve">the application of BCRs to data processors, especially since such an extension under the Regulation is </w:t>
            </w:r>
            <w:r>
              <w:rPr>
                <w:i/>
                <w:sz w:val="16"/>
                <w:szCs w:val="16"/>
                <w:lang w:val="en-US"/>
              </w:rPr>
              <w:t>the intention of the Commission (see notably Article 43(1</w:t>
            </w:r>
            <w:proofErr w:type="gramStart"/>
            <w:r>
              <w:rPr>
                <w:i/>
                <w:sz w:val="16"/>
                <w:szCs w:val="16"/>
                <w:lang w:val="en-US"/>
              </w:rPr>
              <w:t>)(</w:t>
            </w:r>
            <w:proofErr w:type="gramEnd"/>
            <w:r>
              <w:rPr>
                <w:i/>
                <w:sz w:val="16"/>
                <w:szCs w:val="16"/>
                <w:lang w:val="en-US"/>
              </w:rPr>
              <w:t>a) 43(2)(f) as well as 43(3)) although it is not explicitly covered in all cases.</w:t>
            </w:r>
          </w:p>
        </w:tc>
      </w:tr>
    </w:tbl>
    <w:p w:rsidR="0018762F" w:rsidRDefault="0018762F" w:rsidP="0018762F">
      <w:pPr>
        <w:pStyle w:val="Corpsdetexte0"/>
        <w:jc w:val="left"/>
        <w:rPr>
          <w:b/>
          <w:u w:val="single"/>
          <w:lang w:val="en-US"/>
        </w:rPr>
      </w:pPr>
    </w:p>
    <w:p w:rsidR="0018762F" w:rsidRDefault="0018762F" w:rsidP="0018762F">
      <w:pPr>
        <w:pStyle w:val="Corpsdetexte0"/>
        <w:jc w:val="left"/>
        <w:rPr>
          <w:b/>
          <w:u w:val="single"/>
          <w:lang w:val="en-US"/>
        </w:rPr>
      </w:pPr>
    </w:p>
    <w:p w:rsidR="0018762F" w:rsidRDefault="0018762F" w:rsidP="0018762F">
      <w:pPr>
        <w:pStyle w:val="Corpsdetexte0"/>
        <w:jc w:val="left"/>
        <w:rPr>
          <w:b/>
          <w:u w:val="single"/>
          <w:lang w:val="en-US"/>
        </w:rPr>
      </w:pPr>
    </w:p>
    <w:p w:rsidR="0018762F" w:rsidRDefault="0018762F" w:rsidP="0018762F">
      <w:pPr>
        <w:pStyle w:val="Corpsdetexte0"/>
        <w:jc w:val="left"/>
        <w:rPr>
          <w:b/>
          <w:u w:val="single"/>
          <w:lang w:val="en-US"/>
        </w:rPr>
      </w:pPr>
    </w:p>
    <w:p w:rsidR="0018762F" w:rsidRDefault="0018762F" w:rsidP="0018762F">
      <w:pPr>
        <w:pStyle w:val="Corpsdetexte0"/>
        <w:jc w:val="left"/>
        <w:rPr>
          <w:b/>
          <w:u w:val="single"/>
          <w:lang w:val="en-US"/>
        </w:rPr>
      </w:pPr>
    </w:p>
    <w:p w:rsidR="0018762F" w:rsidRDefault="0018762F" w:rsidP="0018762F">
      <w:pPr>
        <w:pStyle w:val="Corpsdetexte0"/>
        <w:jc w:val="left"/>
        <w:rPr>
          <w:b/>
          <w:u w:val="single"/>
          <w:lang w:val="en-US"/>
        </w:rPr>
      </w:pPr>
    </w:p>
    <w:p w:rsidR="0018762F" w:rsidRDefault="0018762F" w:rsidP="0018762F">
      <w:pPr>
        <w:rPr>
          <w:b/>
          <w:u w:val="single"/>
          <w:lang w:val="en-US"/>
        </w:rPr>
      </w:pPr>
    </w:p>
    <w:p w:rsidR="0018762F" w:rsidRDefault="0018762F" w:rsidP="0018762F">
      <w:pPr>
        <w:rPr>
          <w:lang w:val="en-US"/>
        </w:rPr>
      </w:pPr>
    </w:p>
    <w:p w:rsidR="0018762F" w:rsidRDefault="0018762F" w:rsidP="0018762F">
      <w:pPr>
        <w:pStyle w:val="Corpsdetexte0"/>
        <w:numPr>
          <w:ilvl w:val="0"/>
          <w:numId w:val="1"/>
        </w:numPr>
        <w:jc w:val="left"/>
        <w:rPr>
          <w:b/>
          <w:u w:val="single"/>
          <w:lang w:val="en-US"/>
        </w:rPr>
      </w:pPr>
      <w:r>
        <w:rPr>
          <w:b/>
          <w:u w:val="single"/>
          <w:lang w:val="en-US"/>
        </w:rPr>
        <w:lastRenderedPageBreak/>
        <w:t>Article 77: Right to compensation and liability</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3952"/>
        <w:gridCol w:w="4394"/>
        <w:gridCol w:w="4395"/>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3952"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394"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395"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1048"/>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77(1)</w:t>
            </w:r>
          </w:p>
        </w:tc>
        <w:tc>
          <w:tcPr>
            <w:tcW w:w="3952" w:type="dxa"/>
          </w:tcPr>
          <w:p w:rsidR="0018762F" w:rsidRDefault="0018762F" w:rsidP="00882921">
            <w:pPr>
              <w:pStyle w:val="Corpsdetexte0"/>
              <w:cnfStyle w:val="000000100000"/>
              <w:rPr>
                <w:sz w:val="16"/>
                <w:szCs w:val="16"/>
                <w:lang w:val="en-US"/>
              </w:rPr>
            </w:pPr>
            <w:r>
              <w:rPr>
                <w:sz w:val="16"/>
                <w:szCs w:val="16"/>
                <w:lang w:val="en-US"/>
              </w:rPr>
              <w:t xml:space="preserve">(1) </w:t>
            </w:r>
            <w:r w:rsidRPr="00FF4A2D">
              <w:rPr>
                <w:sz w:val="16"/>
                <w:szCs w:val="16"/>
                <w:lang w:val="en-US"/>
              </w:rPr>
              <w:t>Any person who has suffered damage as a result of a</w:t>
            </w:r>
            <w:r>
              <w:rPr>
                <w:sz w:val="16"/>
                <w:szCs w:val="16"/>
                <w:lang w:val="en-US"/>
              </w:rPr>
              <w:t xml:space="preserve">n unlawful processing operation </w:t>
            </w:r>
            <w:r w:rsidRPr="00FF4A2D">
              <w:rPr>
                <w:sz w:val="16"/>
                <w:szCs w:val="16"/>
                <w:lang w:val="en-US"/>
              </w:rPr>
              <w:t>or of an action incompatible with this Regulation shall have the</w:t>
            </w:r>
            <w:r>
              <w:rPr>
                <w:sz w:val="16"/>
                <w:szCs w:val="16"/>
                <w:lang w:val="en-US"/>
              </w:rPr>
              <w:t xml:space="preserve"> right to receive </w:t>
            </w:r>
            <w:r w:rsidRPr="00FF4A2D">
              <w:rPr>
                <w:sz w:val="16"/>
                <w:szCs w:val="16"/>
                <w:lang w:val="en-US"/>
              </w:rPr>
              <w:t>compensation from the controller or the processo</w:t>
            </w:r>
            <w:r>
              <w:rPr>
                <w:sz w:val="16"/>
                <w:szCs w:val="16"/>
                <w:lang w:val="en-US"/>
              </w:rPr>
              <w:t>r for the damage suffered.</w:t>
            </w:r>
          </w:p>
        </w:tc>
        <w:tc>
          <w:tcPr>
            <w:tcW w:w="4394" w:type="dxa"/>
          </w:tcPr>
          <w:p w:rsidR="0018762F" w:rsidRDefault="0018762F" w:rsidP="00882921">
            <w:pPr>
              <w:pStyle w:val="Corpsdetexte0"/>
              <w:cnfStyle w:val="000000100000"/>
              <w:rPr>
                <w:sz w:val="16"/>
                <w:szCs w:val="16"/>
                <w:lang w:val="en-US"/>
              </w:rPr>
            </w:pPr>
            <w:r>
              <w:rPr>
                <w:sz w:val="16"/>
                <w:szCs w:val="16"/>
                <w:lang w:val="en-US"/>
              </w:rPr>
              <w:t xml:space="preserve">(1) </w:t>
            </w:r>
            <w:r w:rsidRPr="00FF4A2D">
              <w:rPr>
                <w:sz w:val="16"/>
                <w:szCs w:val="16"/>
                <w:lang w:val="en-US"/>
              </w:rPr>
              <w:t>Any person who has suffered damage as a result of a</w:t>
            </w:r>
            <w:r>
              <w:rPr>
                <w:sz w:val="16"/>
                <w:szCs w:val="16"/>
                <w:lang w:val="en-US"/>
              </w:rPr>
              <w:t xml:space="preserve">n unlawful processing operation </w:t>
            </w:r>
            <w:r w:rsidRPr="00FF4A2D">
              <w:rPr>
                <w:sz w:val="16"/>
                <w:szCs w:val="16"/>
                <w:lang w:val="en-US"/>
              </w:rPr>
              <w:t>or of an action incompatible with this Regulation shall have the</w:t>
            </w:r>
            <w:r>
              <w:rPr>
                <w:sz w:val="16"/>
                <w:szCs w:val="16"/>
                <w:lang w:val="en-US"/>
              </w:rPr>
              <w:t xml:space="preserve"> right to receive </w:t>
            </w:r>
            <w:r w:rsidRPr="00FF4A2D">
              <w:rPr>
                <w:sz w:val="16"/>
                <w:szCs w:val="16"/>
                <w:lang w:val="en-US"/>
              </w:rPr>
              <w:t xml:space="preserve">compensation from </w:t>
            </w:r>
            <w:r>
              <w:rPr>
                <w:sz w:val="16"/>
                <w:szCs w:val="16"/>
                <w:lang w:val="en-US"/>
              </w:rPr>
              <w:t xml:space="preserve">the controller or the processor, </w:t>
            </w:r>
            <w:r w:rsidRPr="0018762F">
              <w:rPr>
                <w:b/>
                <w:sz w:val="16"/>
                <w:szCs w:val="16"/>
                <w:u w:val="single"/>
                <w:lang w:val="en-US"/>
              </w:rPr>
              <w:t>as appropriate in relation</w:t>
            </w:r>
            <w:r>
              <w:rPr>
                <w:sz w:val="16"/>
                <w:szCs w:val="16"/>
                <w:lang w:val="en-US"/>
              </w:rPr>
              <w:t xml:space="preserve"> </w:t>
            </w:r>
            <w:r w:rsidRPr="00FF4A2D">
              <w:rPr>
                <w:b/>
                <w:sz w:val="16"/>
                <w:szCs w:val="16"/>
                <w:u w:val="single"/>
                <w:lang w:val="en-US"/>
              </w:rPr>
              <w:t>to each one's liability</w:t>
            </w:r>
            <w:r>
              <w:rPr>
                <w:b/>
                <w:sz w:val="16"/>
                <w:szCs w:val="16"/>
                <w:u w:val="single"/>
                <w:lang w:val="en-US"/>
              </w:rPr>
              <w:t>,</w:t>
            </w:r>
            <w:r>
              <w:rPr>
                <w:sz w:val="16"/>
                <w:szCs w:val="16"/>
                <w:lang w:val="en-US"/>
              </w:rPr>
              <w:t xml:space="preserve"> </w:t>
            </w:r>
            <w:r w:rsidRPr="00FF4A2D">
              <w:rPr>
                <w:sz w:val="16"/>
                <w:szCs w:val="16"/>
                <w:lang w:val="en-US"/>
              </w:rPr>
              <w:t>for the damage suffered.</w:t>
            </w:r>
          </w:p>
        </w:tc>
        <w:tc>
          <w:tcPr>
            <w:tcW w:w="4395" w:type="dxa"/>
          </w:tcPr>
          <w:p w:rsidR="0018762F" w:rsidRDefault="0018762F" w:rsidP="00882921">
            <w:pPr>
              <w:pStyle w:val="Corpsdetexte0"/>
              <w:jc w:val="left"/>
              <w:cnfStyle w:val="000000100000"/>
              <w:rPr>
                <w:i/>
                <w:sz w:val="16"/>
                <w:szCs w:val="16"/>
                <w:lang w:val="en-US"/>
              </w:rPr>
            </w:pPr>
            <w:r w:rsidRPr="00B53CF1">
              <w:rPr>
                <w:i/>
                <w:sz w:val="16"/>
                <w:szCs w:val="16"/>
                <w:lang w:val="en-US"/>
              </w:rPr>
              <w:t>It is important to ensure that in practice both the data processor and data controller are not h</w:t>
            </w:r>
            <w:r>
              <w:rPr>
                <w:i/>
                <w:sz w:val="16"/>
                <w:szCs w:val="16"/>
                <w:lang w:val="en-US"/>
              </w:rPr>
              <w:t xml:space="preserve">eld liable for the same offence. It may not even be in the interests of the data subject to believe, as suggested by the initial proposal that they can pursue without distinction or any basis as to the real liability of each one. </w:t>
            </w:r>
          </w:p>
          <w:p w:rsidR="0018762F" w:rsidRPr="00B53CF1" w:rsidRDefault="0018762F" w:rsidP="00882921">
            <w:pPr>
              <w:pStyle w:val="Corpsdetexte0"/>
              <w:jc w:val="left"/>
              <w:cnfStyle w:val="000000100000"/>
              <w:rPr>
                <w:i/>
                <w:sz w:val="16"/>
                <w:szCs w:val="16"/>
                <w:lang w:val="en-US"/>
              </w:rPr>
            </w:pPr>
            <w:r w:rsidRPr="00B53CF1">
              <w:rPr>
                <w:i/>
                <w:sz w:val="16"/>
                <w:szCs w:val="16"/>
                <w:lang w:val="en-US"/>
              </w:rPr>
              <w:t xml:space="preserve"> </w:t>
            </w:r>
          </w:p>
        </w:tc>
      </w:tr>
      <w:tr w:rsidR="0018762F" w:rsidRPr="006C096F" w:rsidTr="00882921">
        <w:trPr>
          <w:trHeight w:val="1407"/>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77(2)</w:t>
            </w:r>
          </w:p>
        </w:tc>
        <w:tc>
          <w:tcPr>
            <w:tcW w:w="3952" w:type="dxa"/>
          </w:tcPr>
          <w:p w:rsidR="0018762F" w:rsidRPr="00F15ED9" w:rsidRDefault="0018762F" w:rsidP="00882921">
            <w:pPr>
              <w:pStyle w:val="Corpsdetexte0"/>
              <w:cnfStyle w:val="000000000000"/>
              <w:rPr>
                <w:sz w:val="16"/>
                <w:szCs w:val="16"/>
                <w:lang w:val="en-US"/>
              </w:rPr>
            </w:pPr>
            <w:r>
              <w:rPr>
                <w:sz w:val="16"/>
                <w:szCs w:val="16"/>
                <w:lang w:val="en-US"/>
              </w:rPr>
              <w:t xml:space="preserve">(2) </w:t>
            </w:r>
            <w:r w:rsidRPr="00F15ED9">
              <w:rPr>
                <w:sz w:val="16"/>
                <w:szCs w:val="16"/>
                <w:lang w:val="en-US"/>
              </w:rPr>
              <w:t xml:space="preserve">Where more than one controller or processor is involved in </w:t>
            </w:r>
            <w:r>
              <w:rPr>
                <w:sz w:val="16"/>
                <w:szCs w:val="16"/>
                <w:lang w:val="en-US"/>
              </w:rPr>
              <w:t xml:space="preserve">the processing, each </w:t>
            </w:r>
            <w:r w:rsidRPr="00F15ED9">
              <w:rPr>
                <w:sz w:val="16"/>
                <w:szCs w:val="16"/>
                <w:lang w:val="en-US"/>
              </w:rPr>
              <w:t xml:space="preserve">controller or processor shall be jointly and severally </w:t>
            </w:r>
            <w:r>
              <w:rPr>
                <w:sz w:val="16"/>
                <w:szCs w:val="16"/>
                <w:lang w:val="en-US"/>
              </w:rPr>
              <w:t xml:space="preserve">liable for the entire amount of </w:t>
            </w:r>
            <w:r w:rsidRPr="00F15ED9">
              <w:rPr>
                <w:sz w:val="16"/>
                <w:szCs w:val="16"/>
                <w:lang w:val="en-US"/>
              </w:rPr>
              <w:t>the damage.</w:t>
            </w:r>
          </w:p>
          <w:p w:rsidR="0018762F" w:rsidRPr="00E244EE" w:rsidRDefault="0018762F" w:rsidP="00882921">
            <w:pPr>
              <w:pStyle w:val="Corpsdetexte0"/>
              <w:jc w:val="center"/>
              <w:cnfStyle w:val="000000000000"/>
              <w:rPr>
                <w:sz w:val="16"/>
                <w:szCs w:val="16"/>
                <w:lang w:val="en-US"/>
              </w:rPr>
            </w:pPr>
          </w:p>
        </w:tc>
        <w:tc>
          <w:tcPr>
            <w:tcW w:w="4394" w:type="dxa"/>
          </w:tcPr>
          <w:p w:rsidR="0018762F" w:rsidRPr="00B775C8" w:rsidRDefault="0018762F" w:rsidP="00882921">
            <w:pPr>
              <w:pStyle w:val="Corpsdetexte0"/>
              <w:cnfStyle w:val="000000000000"/>
              <w:rPr>
                <w:b/>
                <w:strike/>
                <w:sz w:val="16"/>
                <w:szCs w:val="16"/>
                <w:lang w:val="en-US"/>
              </w:rPr>
            </w:pPr>
            <w:r w:rsidRPr="00FF4A2D">
              <w:rPr>
                <w:strike/>
                <w:sz w:val="16"/>
                <w:szCs w:val="16"/>
                <w:lang w:val="en-US"/>
              </w:rPr>
              <w:t>(2) Where more than one controller or processor is involved in the processing, each controller or processor shall be jointly and severally liable for the entire amount of the damage.</w:t>
            </w:r>
          </w:p>
        </w:tc>
        <w:tc>
          <w:tcPr>
            <w:tcW w:w="4395" w:type="dxa"/>
          </w:tcPr>
          <w:p w:rsidR="0018762F" w:rsidRPr="00B53CF1" w:rsidRDefault="0018762F" w:rsidP="00882921">
            <w:pPr>
              <w:pStyle w:val="Corpsdetexte0"/>
              <w:jc w:val="left"/>
              <w:cnfStyle w:val="000000000000"/>
              <w:rPr>
                <w:i/>
                <w:sz w:val="16"/>
                <w:szCs w:val="16"/>
                <w:lang w:val="en-US"/>
              </w:rPr>
            </w:pPr>
            <w:r w:rsidRPr="00B53CF1">
              <w:rPr>
                <w:i/>
                <w:sz w:val="16"/>
                <w:szCs w:val="16"/>
                <w:lang w:val="en-US"/>
              </w:rPr>
              <w:t xml:space="preserve">It is important that data processors are not held liable in circumstances where they were simply acting on the instructions of the data controller. Indeed, joint and several </w:t>
            </w:r>
            <w:proofErr w:type="gramStart"/>
            <w:r w:rsidRPr="00B53CF1">
              <w:rPr>
                <w:i/>
                <w:sz w:val="16"/>
                <w:szCs w:val="16"/>
                <w:lang w:val="en-US"/>
              </w:rPr>
              <w:t>liability</w:t>
            </w:r>
            <w:proofErr w:type="gramEnd"/>
            <w:r w:rsidRPr="00B53CF1">
              <w:rPr>
                <w:i/>
                <w:sz w:val="16"/>
                <w:szCs w:val="16"/>
                <w:lang w:val="en-US"/>
              </w:rPr>
              <w:t xml:space="preserve"> is wholly disproportionate and in fact weakens collective liability. There is also the question as to whether this provision violates any of the individual</w:t>
            </w:r>
            <w:r>
              <w:rPr>
                <w:i/>
                <w:sz w:val="16"/>
                <w:szCs w:val="16"/>
                <w:lang w:val="en-US"/>
              </w:rPr>
              <w:t xml:space="preserve"> Member State's civil liability </w:t>
            </w:r>
            <w:r w:rsidRPr="00B53CF1">
              <w:rPr>
                <w:i/>
                <w:sz w:val="16"/>
                <w:szCs w:val="16"/>
                <w:lang w:val="en-US"/>
              </w:rPr>
              <w:t xml:space="preserve">regimes which cannot be harmonized by an internal market measure.  </w:t>
            </w:r>
          </w:p>
        </w:tc>
      </w:tr>
      <w:tr w:rsidR="0018762F" w:rsidRPr="006C096F" w:rsidTr="00882921">
        <w:trPr>
          <w:cnfStyle w:val="000000100000"/>
          <w:trHeight w:val="1307"/>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77(3)</w:t>
            </w:r>
          </w:p>
        </w:tc>
        <w:tc>
          <w:tcPr>
            <w:tcW w:w="3952" w:type="dxa"/>
          </w:tcPr>
          <w:p w:rsidR="0018762F" w:rsidRPr="00F369D4" w:rsidRDefault="0018762F" w:rsidP="00882921">
            <w:pPr>
              <w:pStyle w:val="Corpsdetexte0"/>
              <w:cnfStyle w:val="000000100000"/>
              <w:rPr>
                <w:sz w:val="16"/>
                <w:szCs w:val="16"/>
                <w:lang w:val="en-US"/>
              </w:rPr>
            </w:pPr>
            <w:r>
              <w:rPr>
                <w:sz w:val="16"/>
                <w:szCs w:val="16"/>
                <w:lang w:val="en-US"/>
              </w:rPr>
              <w:t xml:space="preserve">(3) </w:t>
            </w:r>
            <w:r w:rsidRPr="00F369D4">
              <w:rPr>
                <w:sz w:val="16"/>
                <w:szCs w:val="16"/>
                <w:lang w:val="en-US"/>
              </w:rPr>
              <w:t>The controller or the processor may be exempted from</w:t>
            </w:r>
            <w:r>
              <w:rPr>
                <w:sz w:val="16"/>
                <w:szCs w:val="16"/>
                <w:lang w:val="en-US"/>
              </w:rPr>
              <w:t xml:space="preserve"> this liability, in whole or in </w:t>
            </w:r>
            <w:r w:rsidRPr="00F369D4">
              <w:rPr>
                <w:sz w:val="16"/>
                <w:szCs w:val="16"/>
                <w:lang w:val="en-US"/>
              </w:rPr>
              <w:t>part, if the controller or the processor proves that t</w:t>
            </w:r>
            <w:r>
              <w:rPr>
                <w:sz w:val="16"/>
                <w:szCs w:val="16"/>
                <w:lang w:val="en-US"/>
              </w:rPr>
              <w:t xml:space="preserve">hey are not responsible for the </w:t>
            </w:r>
            <w:r w:rsidRPr="00F369D4">
              <w:rPr>
                <w:sz w:val="16"/>
                <w:szCs w:val="16"/>
                <w:lang w:val="en-US"/>
              </w:rPr>
              <w:t>event giving rise to the damage.</w:t>
            </w:r>
          </w:p>
          <w:p w:rsidR="0018762F" w:rsidRDefault="0018762F" w:rsidP="00882921">
            <w:pPr>
              <w:pStyle w:val="Corpsdetexte0"/>
              <w:jc w:val="left"/>
              <w:cnfStyle w:val="000000100000"/>
              <w:rPr>
                <w:sz w:val="16"/>
                <w:szCs w:val="16"/>
                <w:lang w:val="en-US"/>
              </w:rPr>
            </w:pPr>
          </w:p>
        </w:tc>
        <w:tc>
          <w:tcPr>
            <w:tcW w:w="4394" w:type="dxa"/>
          </w:tcPr>
          <w:p w:rsidR="0018762F" w:rsidRDefault="0018762F" w:rsidP="00882921">
            <w:pPr>
              <w:pStyle w:val="Corpsdetexte0"/>
              <w:cnfStyle w:val="000000100000"/>
              <w:rPr>
                <w:sz w:val="16"/>
                <w:szCs w:val="16"/>
                <w:lang w:val="en-US"/>
              </w:rPr>
            </w:pPr>
            <w:r>
              <w:rPr>
                <w:sz w:val="16"/>
                <w:szCs w:val="16"/>
                <w:lang w:val="en-US"/>
              </w:rPr>
              <w:t xml:space="preserve">(3) </w:t>
            </w:r>
            <w:r w:rsidRPr="00F369D4">
              <w:rPr>
                <w:sz w:val="16"/>
                <w:szCs w:val="16"/>
                <w:lang w:val="en-US"/>
              </w:rPr>
              <w:t>The controller or the processor may be exempted from</w:t>
            </w:r>
            <w:r>
              <w:rPr>
                <w:sz w:val="16"/>
                <w:szCs w:val="16"/>
                <w:lang w:val="en-US"/>
              </w:rPr>
              <w:t xml:space="preserve"> this liability, in whole or in </w:t>
            </w:r>
            <w:r w:rsidRPr="00F369D4">
              <w:rPr>
                <w:sz w:val="16"/>
                <w:szCs w:val="16"/>
                <w:lang w:val="en-US"/>
              </w:rPr>
              <w:t>part, if the controller or the processor proves that t</w:t>
            </w:r>
            <w:r>
              <w:rPr>
                <w:sz w:val="16"/>
                <w:szCs w:val="16"/>
                <w:lang w:val="en-US"/>
              </w:rPr>
              <w:t>hey are not responsible for the event giving rise to the damage</w:t>
            </w:r>
            <w:r w:rsidRPr="00FF53F1">
              <w:rPr>
                <w:b/>
                <w:sz w:val="16"/>
                <w:szCs w:val="16"/>
                <w:u w:val="single"/>
                <w:lang w:val="en-US"/>
              </w:rPr>
              <w:t xml:space="preserve">, notably in cases of fault of the data subject or </w:t>
            </w:r>
            <w:r w:rsidRPr="00FF53F1">
              <w:rPr>
                <w:b/>
                <w:i/>
                <w:sz w:val="16"/>
                <w:szCs w:val="16"/>
                <w:u w:val="single"/>
                <w:lang w:val="en-US"/>
              </w:rPr>
              <w:t>force majeure</w:t>
            </w:r>
            <w:r w:rsidRPr="00FF53F1">
              <w:rPr>
                <w:b/>
                <w:sz w:val="16"/>
                <w:szCs w:val="16"/>
                <w:u w:val="single"/>
                <w:lang w:val="en-US"/>
              </w:rPr>
              <w:t>.</w:t>
            </w:r>
            <w:r w:rsidRPr="00FF53F1">
              <w:rPr>
                <w:b/>
                <w:sz w:val="16"/>
                <w:szCs w:val="16"/>
                <w:lang w:val="en-US"/>
              </w:rPr>
              <w:t xml:space="preserve"> </w:t>
            </w:r>
          </w:p>
        </w:tc>
        <w:tc>
          <w:tcPr>
            <w:tcW w:w="4395" w:type="dxa"/>
          </w:tcPr>
          <w:p w:rsidR="0018762F" w:rsidRPr="00B53CF1" w:rsidRDefault="0018762F" w:rsidP="00882921">
            <w:pPr>
              <w:pStyle w:val="Corpsdetexte0"/>
              <w:jc w:val="left"/>
              <w:cnfStyle w:val="000000100000"/>
              <w:rPr>
                <w:i/>
                <w:sz w:val="16"/>
                <w:szCs w:val="16"/>
                <w:lang w:val="en-US"/>
              </w:rPr>
            </w:pPr>
            <w:r w:rsidRPr="00B53CF1">
              <w:rPr>
                <w:i/>
                <w:sz w:val="16"/>
                <w:szCs w:val="16"/>
                <w:lang w:val="en-US"/>
              </w:rPr>
              <w:t xml:space="preserve">We </w:t>
            </w:r>
            <w:r>
              <w:rPr>
                <w:i/>
                <w:sz w:val="16"/>
                <w:szCs w:val="16"/>
                <w:lang w:val="en-US"/>
              </w:rPr>
              <w:t xml:space="preserve">believe that the text </w:t>
            </w:r>
            <w:r w:rsidRPr="00B53CF1">
              <w:rPr>
                <w:i/>
                <w:sz w:val="16"/>
                <w:szCs w:val="16"/>
                <w:lang w:val="en-US"/>
              </w:rPr>
              <w:t>in Article 55 of Directive 95/46/EC is more precise and suitable in this context.</w:t>
            </w:r>
          </w:p>
        </w:tc>
      </w:tr>
    </w:tbl>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rPr>
          <w:lang w:val="en-US"/>
        </w:rPr>
      </w:pPr>
    </w:p>
    <w:p w:rsidR="0018762F" w:rsidRDefault="0018762F" w:rsidP="0018762F">
      <w:pPr>
        <w:pStyle w:val="Corpsdetexte0"/>
        <w:numPr>
          <w:ilvl w:val="0"/>
          <w:numId w:val="1"/>
        </w:numPr>
        <w:jc w:val="left"/>
        <w:rPr>
          <w:b/>
          <w:u w:val="single"/>
          <w:lang w:val="en-US"/>
        </w:rPr>
      </w:pPr>
      <w:r>
        <w:rPr>
          <w:b/>
          <w:u w:val="single"/>
          <w:lang w:val="en-US"/>
        </w:rPr>
        <w:t>Article 79: Administrative sanctions</w:t>
      </w:r>
    </w:p>
    <w:tbl>
      <w:tblPr>
        <w:tblStyle w:val="Listeclai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4377"/>
        <w:gridCol w:w="4253"/>
        <w:gridCol w:w="4111"/>
      </w:tblGrid>
      <w:tr w:rsidR="0018762F" w:rsidTr="00882921">
        <w:trPr>
          <w:cnfStyle w:val="100000000000"/>
          <w:trHeight w:val="354"/>
        </w:trPr>
        <w:tc>
          <w:tcPr>
            <w:cnfStyle w:val="001000000000"/>
            <w:tcW w:w="1401" w:type="dxa"/>
            <w:shd w:val="clear" w:color="auto" w:fill="D9D9D9" w:themeFill="background1" w:themeFillShade="D9"/>
            <w:vAlign w:val="center"/>
          </w:tcPr>
          <w:p w:rsidR="0018762F" w:rsidRPr="006D28F1" w:rsidRDefault="0018762F" w:rsidP="00882921">
            <w:pPr>
              <w:pStyle w:val="Corpsdetexte0"/>
              <w:jc w:val="center"/>
              <w:rPr>
                <w:color w:val="auto"/>
                <w:sz w:val="18"/>
                <w:szCs w:val="18"/>
                <w:lang w:val="en-US"/>
              </w:rPr>
            </w:pPr>
            <w:r>
              <w:rPr>
                <w:color w:val="auto"/>
                <w:sz w:val="18"/>
                <w:szCs w:val="18"/>
                <w:lang w:val="en-US"/>
              </w:rPr>
              <w:t>Article number</w:t>
            </w:r>
          </w:p>
        </w:tc>
        <w:tc>
          <w:tcPr>
            <w:tcW w:w="4377"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Pr>
                <w:color w:val="auto"/>
                <w:sz w:val="18"/>
                <w:szCs w:val="18"/>
                <w:lang w:val="en-US"/>
              </w:rPr>
              <w:t>Commission proposed text</w:t>
            </w:r>
          </w:p>
        </w:tc>
        <w:tc>
          <w:tcPr>
            <w:tcW w:w="4253" w:type="dxa"/>
            <w:shd w:val="clear" w:color="auto" w:fill="D9D9D9" w:themeFill="background1" w:themeFillShade="D9"/>
            <w:vAlign w:val="center"/>
          </w:tcPr>
          <w:p w:rsidR="0018762F" w:rsidRPr="006D28F1" w:rsidRDefault="0018762F" w:rsidP="00882921">
            <w:pPr>
              <w:pStyle w:val="Corpsdetexte0"/>
              <w:jc w:val="center"/>
              <w:cnfStyle w:val="100000000000"/>
              <w:rPr>
                <w:color w:val="auto"/>
                <w:sz w:val="18"/>
                <w:szCs w:val="18"/>
                <w:lang w:val="en-US"/>
              </w:rPr>
            </w:pPr>
            <w:r w:rsidRPr="006D28F1">
              <w:rPr>
                <w:color w:val="auto"/>
                <w:sz w:val="18"/>
                <w:szCs w:val="18"/>
                <w:lang w:val="en-US"/>
              </w:rPr>
              <w:t>Proposed text</w:t>
            </w:r>
          </w:p>
        </w:tc>
        <w:tc>
          <w:tcPr>
            <w:tcW w:w="4111" w:type="dxa"/>
            <w:shd w:val="clear" w:color="auto" w:fill="D9D9D9" w:themeFill="background1" w:themeFillShade="D9"/>
            <w:vAlign w:val="center"/>
          </w:tcPr>
          <w:p w:rsidR="0018762F" w:rsidRPr="006D28F1" w:rsidRDefault="0018762F" w:rsidP="00882921">
            <w:pPr>
              <w:pStyle w:val="Corpsdetexte0"/>
              <w:jc w:val="center"/>
              <w:cnfStyle w:val="100000000000"/>
              <w:rPr>
                <w:sz w:val="18"/>
                <w:szCs w:val="18"/>
                <w:lang w:val="en-US"/>
              </w:rPr>
            </w:pPr>
            <w:r>
              <w:rPr>
                <w:color w:val="auto"/>
                <w:sz w:val="18"/>
                <w:szCs w:val="18"/>
                <w:lang w:val="en-US"/>
              </w:rPr>
              <w:t>Justification</w:t>
            </w:r>
          </w:p>
        </w:tc>
      </w:tr>
      <w:tr w:rsidR="0018762F" w:rsidRPr="006C096F" w:rsidTr="00882921">
        <w:trPr>
          <w:cnfStyle w:val="000000100000"/>
          <w:trHeight w:val="2165"/>
        </w:trPr>
        <w:tc>
          <w:tcPr>
            <w:cnfStyle w:val="001000000000"/>
            <w:tcW w:w="1401" w:type="dxa"/>
            <w:vAlign w:val="center"/>
          </w:tcPr>
          <w:p w:rsidR="0018762F" w:rsidRPr="00E244EE" w:rsidRDefault="0018762F" w:rsidP="00882921">
            <w:pPr>
              <w:pStyle w:val="Corpsdetexte0"/>
              <w:jc w:val="center"/>
              <w:rPr>
                <w:sz w:val="16"/>
                <w:szCs w:val="16"/>
                <w:lang w:val="en-US"/>
              </w:rPr>
            </w:pPr>
            <w:r>
              <w:rPr>
                <w:sz w:val="16"/>
                <w:szCs w:val="16"/>
                <w:lang w:val="en-US"/>
              </w:rPr>
              <w:t>79(2)</w:t>
            </w:r>
          </w:p>
        </w:tc>
        <w:tc>
          <w:tcPr>
            <w:tcW w:w="4377" w:type="dxa"/>
          </w:tcPr>
          <w:p w:rsidR="0018762F" w:rsidRPr="00E244EE" w:rsidRDefault="0018762F" w:rsidP="00882921">
            <w:pPr>
              <w:pStyle w:val="Corpsdetexte0"/>
              <w:cnfStyle w:val="000000100000"/>
              <w:rPr>
                <w:sz w:val="16"/>
                <w:szCs w:val="16"/>
                <w:lang w:val="en-US"/>
              </w:rPr>
            </w:pPr>
            <w:r>
              <w:rPr>
                <w:sz w:val="16"/>
                <w:szCs w:val="16"/>
                <w:lang w:val="en-US"/>
              </w:rPr>
              <w:t xml:space="preserve">(2) </w:t>
            </w:r>
            <w:r w:rsidRPr="00015948">
              <w:rPr>
                <w:sz w:val="16"/>
                <w:szCs w:val="16"/>
                <w:lang w:val="en-US"/>
              </w:rPr>
              <w:t>The administrative sanction shall be in each individua</w:t>
            </w:r>
            <w:r>
              <w:rPr>
                <w:sz w:val="16"/>
                <w:szCs w:val="16"/>
                <w:lang w:val="en-US"/>
              </w:rPr>
              <w:t xml:space="preserve">l case effective, proportionate </w:t>
            </w:r>
            <w:r w:rsidRPr="00015948">
              <w:rPr>
                <w:sz w:val="16"/>
                <w:szCs w:val="16"/>
                <w:lang w:val="en-US"/>
              </w:rPr>
              <w:t>and dissuasive. The amount of the administrative fine</w:t>
            </w:r>
            <w:r>
              <w:rPr>
                <w:sz w:val="16"/>
                <w:szCs w:val="16"/>
                <w:lang w:val="en-US"/>
              </w:rPr>
              <w:t xml:space="preserve"> shall be fixed with due regard </w:t>
            </w:r>
            <w:r w:rsidRPr="00015948">
              <w:rPr>
                <w:sz w:val="16"/>
                <w:szCs w:val="16"/>
                <w:lang w:val="en-US"/>
              </w:rPr>
              <w:t>to the nature, gravity and duration of the breac</w:t>
            </w:r>
            <w:r>
              <w:rPr>
                <w:sz w:val="16"/>
                <w:szCs w:val="16"/>
                <w:lang w:val="en-US"/>
              </w:rPr>
              <w:t xml:space="preserve">h, the intentional or negligent </w:t>
            </w:r>
            <w:r w:rsidRPr="00015948">
              <w:rPr>
                <w:sz w:val="16"/>
                <w:szCs w:val="16"/>
                <w:lang w:val="en-US"/>
              </w:rPr>
              <w:t>character of the infringement, the degree of respons</w:t>
            </w:r>
            <w:r>
              <w:rPr>
                <w:sz w:val="16"/>
                <w:szCs w:val="16"/>
                <w:lang w:val="en-US"/>
              </w:rPr>
              <w:t xml:space="preserve">ibility of the natural or legal </w:t>
            </w:r>
            <w:r w:rsidRPr="00015948">
              <w:rPr>
                <w:sz w:val="16"/>
                <w:szCs w:val="16"/>
                <w:lang w:val="en-US"/>
              </w:rPr>
              <w:t>person and of previous breaches by this person, t</w:t>
            </w:r>
            <w:r>
              <w:rPr>
                <w:sz w:val="16"/>
                <w:szCs w:val="16"/>
                <w:lang w:val="en-US"/>
              </w:rPr>
              <w:t xml:space="preserve">he technical and organisational </w:t>
            </w:r>
            <w:r w:rsidRPr="00015948">
              <w:rPr>
                <w:sz w:val="16"/>
                <w:szCs w:val="16"/>
                <w:lang w:val="en-US"/>
              </w:rPr>
              <w:t>measures and procedures implemented pursuant to Article 2</w:t>
            </w:r>
            <w:r>
              <w:rPr>
                <w:sz w:val="16"/>
                <w:szCs w:val="16"/>
                <w:lang w:val="en-US"/>
              </w:rPr>
              <w:t xml:space="preserve">3 and the degree of cooperation </w:t>
            </w:r>
            <w:r w:rsidRPr="00015948">
              <w:rPr>
                <w:sz w:val="16"/>
                <w:szCs w:val="16"/>
                <w:lang w:val="en-US"/>
              </w:rPr>
              <w:t>with the supervisory authority in order to remedy the breach.</w:t>
            </w:r>
          </w:p>
        </w:tc>
        <w:tc>
          <w:tcPr>
            <w:tcW w:w="4253" w:type="dxa"/>
          </w:tcPr>
          <w:p w:rsidR="0018762F" w:rsidRPr="003433C1" w:rsidRDefault="0018762F" w:rsidP="00882921">
            <w:pPr>
              <w:pStyle w:val="Corpsdetexte0"/>
              <w:cnfStyle w:val="000000100000"/>
              <w:rPr>
                <w:sz w:val="16"/>
                <w:szCs w:val="16"/>
                <w:lang w:val="en-US"/>
              </w:rPr>
            </w:pPr>
            <w:r>
              <w:rPr>
                <w:sz w:val="16"/>
                <w:szCs w:val="16"/>
                <w:lang w:val="en-US"/>
              </w:rPr>
              <w:t xml:space="preserve">(2) </w:t>
            </w:r>
            <w:r w:rsidRPr="00015948">
              <w:rPr>
                <w:sz w:val="16"/>
                <w:szCs w:val="16"/>
                <w:lang w:val="en-US"/>
              </w:rPr>
              <w:t>The administrative sanction shall be in each individua</w:t>
            </w:r>
            <w:r>
              <w:rPr>
                <w:sz w:val="16"/>
                <w:szCs w:val="16"/>
                <w:lang w:val="en-US"/>
              </w:rPr>
              <w:t xml:space="preserve">l case effective, proportionate </w:t>
            </w:r>
            <w:r w:rsidRPr="00015948">
              <w:rPr>
                <w:sz w:val="16"/>
                <w:szCs w:val="16"/>
                <w:lang w:val="en-US"/>
              </w:rPr>
              <w:t>and dissuasive. The amount of the administrative fine</w:t>
            </w:r>
            <w:r>
              <w:rPr>
                <w:sz w:val="16"/>
                <w:szCs w:val="16"/>
                <w:lang w:val="en-US"/>
              </w:rPr>
              <w:t xml:space="preserve"> shall be fixed with due regard </w:t>
            </w:r>
            <w:r w:rsidRPr="00015948">
              <w:rPr>
                <w:sz w:val="16"/>
                <w:szCs w:val="16"/>
                <w:lang w:val="en-US"/>
              </w:rPr>
              <w:t>to the nature, gravity and duration of the breac</w:t>
            </w:r>
            <w:r>
              <w:rPr>
                <w:sz w:val="16"/>
                <w:szCs w:val="16"/>
                <w:lang w:val="en-US"/>
              </w:rPr>
              <w:t xml:space="preserve">h, the intentional </w:t>
            </w:r>
            <w:r w:rsidRPr="00015948">
              <w:rPr>
                <w:strike/>
                <w:sz w:val="16"/>
                <w:szCs w:val="16"/>
                <w:lang w:val="en-US"/>
              </w:rPr>
              <w:t>or negligent</w:t>
            </w:r>
            <w:r>
              <w:rPr>
                <w:sz w:val="16"/>
                <w:szCs w:val="16"/>
                <w:lang w:val="en-US"/>
              </w:rPr>
              <w:t xml:space="preserve"> </w:t>
            </w:r>
            <w:r w:rsidRPr="00015948">
              <w:rPr>
                <w:sz w:val="16"/>
                <w:szCs w:val="16"/>
                <w:lang w:val="en-US"/>
              </w:rPr>
              <w:t>character of the infringement, the degree of respons</w:t>
            </w:r>
            <w:r>
              <w:rPr>
                <w:sz w:val="16"/>
                <w:szCs w:val="16"/>
                <w:lang w:val="en-US"/>
              </w:rPr>
              <w:t xml:space="preserve">ibility of the natural or legal </w:t>
            </w:r>
            <w:r w:rsidRPr="00015948">
              <w:rPr>
                <w:sz w:val="16"/>
                <w:szCs w:val="16"/>
                <w:lang w:val="en-US"/>
              </w:rPr>
              <w:t>person and of previous breaches by this person, t</w:t>
            </w:r>
            <w:r>
              <w:rPr>
                <w:sz w:val="16"/>
                <w:szCs w:val="16"/>
                <w:lang w:val="en-US"/>
              </w:rPr>
              <w:t xml:space="preserve">he technical and organisational </w:t>
            </w:r>
            <w:r w:rsidRPr="00015948">
              <w:rPr>
                <w:sz w:val="16"/>
                <w:szCs w:val="16"/>
                <w:lang w:val="en-US"/>
              </w:rPr>
              <w:t>measures and procedures implemented pursuant to Article 2</w:t>
            </w:r>
            <w:r>
              <w:rPr>
                <w:sz w:val="16"/>
                <w:szCs w:val="16"/>
                <w:lang w:val="en-US"/>
              </w:rPr>
              <w:t xml:space="preserve">3 and the degree of cooperation </w:t>
            </w:r>
            <w:r w:rsidRPr="00015948">
              <w:rPr>
                <w:sz w:val="16"/>
                <w:szCs w:val="16"/>
                <w:lang w:val="en-US"/>
              </w:rPr>
              <w:t>with the supervisory authority in order to remedy the breach.</w:t>
            </w:r>
            <w:r>
              <w:rPr>
                <w:sz w:val="16"/>
                <w:szCs w:val="16"/>
                <w:lang w:val="en-US"/>
              </w:rPr>
              <w:t xml:space="preserve"> In addition, data controllers or processors who have established a BCR regime shall have this attribute taken into account </w:t>
            </w:r>
            <w:r w:rsidRPr="003433C1">
              <w:rPr>
                <w:sz w:val="16"/>
                <w:szCs w:val="16"/>
                <w:lang w:val="en-US"/>
              </w:rPr>
              <w:t>as a mitigating factor in the calculation of any fine imposed.</w:t>
            </w:r>
          </w:p>
          <w:p w:rsidR="0018762F" w:rsidRPr="000C7B3A" w:rsidRDefault="0018762F" w:rsidP="00882921">
            <w:pPr>
              <w:pStyle w:val="Corpsdetexte0"/>
              <w:cnfStyle w:val="000000100000"/>
              <w:rPr>
                <w:sz w:val="16"/>
                <w:szCs w:val="16"/>
                <w:lang w:val="en-US"/>
              </w:rPr>
            </w:pPr>
          </w:p>
        </w:tc>
        <w:tc>
          <w:tcPr>
            <w:tcW w:w="4111" w:type="dxa"/>
          </w:tcPr>
          <w:p w:rsidR="0018762F" w:rsidRDefault="0018762F" w:rsidP="00882921">
            <w:pPr>
              <w:pStyle w:val="Corpsdetexte0"/>
              <w:jc w:val="left"/>
              <w:cnfStyle w:val="000000100000"/>
              <w:rPr>
                <w:i/>
                <w:sz w:val="16"/>
                <w:szCs w:val="16"/>
                <w:lang w:val="en-US"/>
              </w:rPr>
            </w:pPr>
            <w:r>
              <w:rPr>
                <w:i/>
                <w:sz w:val="16"/>
                <w:szCs w:val="16"/>
                <w:lang w:val="en-US"/>
              </w:rPr>
              <w:t>F</w:t>
            </w:r>
            <w:r w:rsidRPr="00BF6452">
              <w:rPr>
                <w:i/>
                <w:sz w:val="16"/>
                <w:szCs w:val="16"/>
                <w:lang w:val="en-US"/>
              </w:rPr>
              <w:t>irms having implemented an effective compliance program such as a BCR regime should have this attribute taken into account as a mitigating factor in the calculation of any fine imposed.</w:t>
            </w:r>
          </w:p>
          <w:p w:rsidR="0018762F" w:rsidRPr="00BF6452" w:rsidRDefault="0018762F" w:rsidP="00882921">
            <w:pPr>
              <w:pStyle w:val="Corpsdetexte0"/>
              <w:jc w:val="left"/>
              <w:cnfStyle w:val="000000100000"/>
              <w:rPr>
                <w:i/>
                <w:sz w:val="16"/>
                <w:szCs w:val="16"/>
                <w:lang w:val="en-US"/>
              </w:rPr>
            </w:pPr>
            <w:r>
              <w:rPr>
                <w:i/>
                <w:sz w:val="16"/>
                <w:szCs w:val="16"/>
                <w:lang w:val="en-US"/>
              </w:rPr>
              <w:t xml:space="preserve">This will also provide incentives for firms to implement BCRs throughout their business thereby further promoting a high level of data protection at EU level. </w:t>
            </w:r>
          </w:p>
        </w:tc>
      </w:tr>
      <w:tr w:rsidR="0018762F" w:rsidRPr="006C096F" w:rsidTr="00882921">
        <w:trPr>
          <w:trHeight w:val="1255"/>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79(4)</w:t>
            </w:r>
          </w:p>
        </w:tc>
        <w:tc>
          <w:tcPr>
            <w:tcW w:w="4377" w:type="dxa"/>
          </w:tcPr>
          <w:p w:rsidR="0018762F" w:rsidRPr="00015948" w:rsidRDefault="0018762F" w:rsidP="00882921">
            <w:pPr>
              <w:pStyle w:val="Corpsdetexte0"/>
              <w:cnfStyle w:val="000000000000"/>
              <w:rPr>
                <w:sz w:val="16"/>
                <w:szCs w:val="16"/>
                <w:lang w:val="en-US"/>
              </w:rPr>
            </w:pPr>
            <w:r>
              <w:rPr>
                <w:sz w:val="16"/>
                <w:szCs w:val="16"/>
                <w:lang w:val="en-US"/>
              </w:rPr>
              <w:t xml:space="preserve">(4) </w:t>
            </w:r>
            <w:r w:rsidRPr="00015948">
              <w:rPr>
                <w:sz w:val="16"/>
                <w:szCs w:val="16"/>
                <w:lang w:val="en-US"/>
              </w:rPr>
              <w:t>The supervisory authority shall impose a fine up t</w:t>
            </w:r>
            <w:r>
              <w:rPr>
                <w:sz w:val="16"/>
                <w:szCs w:val="16"/>
                <w:lang w:val="en-US"/>
              </w:rPr>
              <w:t xml:space="preserve">o 250 000 EUR, or in case of an </w:t>
            </w:r>
            <w:r w:rsidRPr="00015948">
              <w:rPr>
                <w:sz w:val="16"/>
                <w:szCs w:val="16"/>
                <w:lang w:val="en-US"/>
              </w:rPr>
              <w:t>enterprise up to 0,5 % of its annual worldwide turnove</w:t>
            </w:r>
            <w:r>
              <w:rPr>
                <w:sz w:val="16"/>
                <w:szCs w:val="16"/>
                <w:lang w:val="en-US"/>
              </w:rPr>
              <w:t xml:space="preserve">r, to anyone who, intentionally </w:t>
            </w:r>
            <w:r w:rsidRPr="00015948">
              <w:rPr>
                <w:sz w:val="16"/>
                <w:szCs w:val="16"/>
                <w:lang w:val="en-US"/>
              </w:rPr>
              <w:t>or negligently:</w:t>
            </w:r>
          </w:p>
          <w:p w:rsidR="0018762F" w:rsidRDefault="0018762F" w:rsidP="00882921">
            <w:pPr>
              <w:pStyle w:val="Corpsdetexte0"/>
              <w:jc w:val="left"/>
              <w:cnfStyle w:val="000000000000"/>
              <w:rPr>
                <w:sz w:val="16"/>
                <w:szCs w:val="16"/>
                <w:lang w:val="en-US"/>
              </w:rPr>
            </w:pPr>
            <w:r w:rsidRPr="00015948">
              <w:rPr>
                <w:sz w:val="16"/>
                <w:szCs w:val="16"/>
                <w:lang w:val="en-US"/>
              </w:rPr>
              <w:t xml:space="preserve"> </w:t>
            </w:r>
          </w:p>
        </w:tc>
        <w:tc>
          <w:tcPr>
            <w:tcW w:w="4253" w:type="dxa"/>
          </w:tcPr>
          <w:p w:rsidR="0018762F" w:rsidRDefault="0018762F" w:rsidP="00882921">
            <w:pPr>
              <w:pStyle w:val="Corpsdetexte0"/>
              <w:cnfStyle w:val="000000000000"/>
              <w:rPr>
                <w:sz w:val="16"/>
                <w:szCs w:val="16"/>
                <w:lang w:val="en-US"/>
              </w:rPr>
            </w:pPr>
            <w:r>
              <w:rPr>
                <w:sz w:val="16"/>
                <w:szCs w:val="16"/>
                <w:lang w:val="en-US"/>
              </w:rPr>
              <w:t xml:space="preserve">(4) </w:t>
            </w:r>
            <w:r w:rsidRPr="00015948">
              <w:rPr>
                <w:sz w:val="16"/>
                <w:szCs w:val="16"/>
                <w:lang w:val="en-US"/>
              </w:rPr>
              <w:t>The supervisory authority shall impose a fine up t</w:t>
            </w:r>
            <w:r>
              <w:rPr>
                <w:sz w:val="16"/>
                <w:szCs w:val="16"/>
                <w:lang w:val="en-US"/>
              </w:rPr>
              <w:t xml:space="preserve">o 250 000 EUR, or in case of an </w:t>
            </w:r>
            <w:r w:rsidRPr="00015948">
              <w:rPr>
                <w:sz w:val="16"/>
                <w:szCs w:val="16"/>
                <w:lang w:val="en-US"/>
              </w:rPr>
              <w:t xml:space="preserve">enterprise up to 0,5 % of its annual </w:t>
            </w:r>
            <w:r w:rsidRPr="005D7AFA">
              <w:rPr>
                <w:strike/>
                <w:sz w:val="16"/>
                <w:szCs w:val="16"/>
                <w:lang w:val="en-US"/>
              </w:rPr>
              <w:t>worldwide</w:t>
            </w:r>
            <w:r w:rsidRPr="00015948">
              <w:rPr>
                <w:sz w:val="16"/>
                <w:szCs w:val="16"/>
                <w:lang w:val="en-US"/>
              </w:rPr>
              <w:t xml:space="preserve"> turnove</w:t>
            </w:r>
            <w:r>
              <w:rPr>
                <w:sz w:val="16"/>
                <w:szCs w:val="16"/>
                <w:lang w:val="en-US"/>
              </w:rPr>
              <w:t xml:space="preserve">r </w:t>
            </w:r>
            <w:r w:rsidRPr="005D7AFA">
              <w:rPr>
                <w:b/>
                <w:sz w:val="16"/>
                <w:szCs w:val="16"/>
                <w:u w:val="single"/>
                <w:lang w:val="en-US"/>
              </w:rPr>
              <w:t>in the relevant geographic area to which the infring</w:t>
            </w:r>
            <w:r>
              <w:rPr>
                <w:b/>
                <w:sz w:val="16"/>
                <w:szCs w:val="16"/>
                <w:u w:val="single"/>
                <w:lang w:val="en-US"/>
              </w:rPr>
              <w:t>e</w:t>
            </w:r>
            <w:r w:rsidRPr="005D7AFA">
              <w:rPr>
                <w:b/>
                <w:sz w:val="16"/>
                <w:szCs w:val="16"/>
                <w:u w:val="single"/>
                <w:lang w:val="en-US"/>
              </w:rPr>
              <w:t>ment directly or indirectly relates</w:t>
            </w:r>
            <w:r>
              <w:rPr>
                <w:sz w:val="16"/>
                <w:szCs w:val="16"/>
                <w:lang w:val="en-US"/>
              </w:rPr>
              <w:t xml:space="preserve"> to anyone who, intentionally </w:t>
            </w:r>
            <w:r w:rsidRPr="00015948">
              <w:rPr>
                <w:strike/>
                <w:sz w:val="16"/>
                <w:szCs w:val="16"/>
                <w:lang w:val="en-US"/>
              </w:rPr>
              <w:t>or negligently</w:t>
            </w:r>
            <w:r w:rsidRPr="00015948">
              <w:rPr>
                <w:sz w:val="16"/>
                <w:szCs w:val="16"/>
                <w:lang w:val="en-US"/>
              </w:rPr>
              <w:t>:</w:t>
            </w:r>
          </w:p>
        </w:tc>
        <w:tc>
          <w:tcPr>
            <w:tcW w:w="4111" w:type="dxa"/>
          </w:tcPr>
          <w:p w:rsidR="0018762F" w:rsidRDefault="0018762F" w:rsidP="00882921">
            <w:pPr>
              <w:pStyle w:val="Corpsdetexte0"/>
              <w:jc w:val="left"/>
              <w:cnfStyle w:val="000000000000"/>
              <w:rPr>
                <w:i/>
                <w:sz w:val="16"/>
                <w:szCs w:val="16"/>
                <w:lang w:val="en-US"/>
              </w:rPr>
            </w:pPr>
            <w:r>
              <w:rPr>
                <w:i/>
                <w:sz w:val="16"/>
                <w:szCs w:val="16"/>
                <w:lang w:val="en-US"/>
              </w:rPr>
              <w:t>Given that the Commission has decided to draw its inspiration from the current EU cartel regime it should, at the very least, exercise consistency in the application of the various elements found under that regime. Indeed, the Commission cannot simply "cherry pick" the provisions it desires and apply them</w:t>
            </w:r>
            <w:r w:rsidRPr="00C827B3">
              <w:rPr>
                <w:i/>
                <w:sz w:val="16"/>
                <w:szCs w:val="16"/>
                <w:lang w:val="en-US"/>
              </w:rPr>
              <w:t xml:space="preserve"> </w:t>
            </w:r>
            <w:r>
              <w:rPr>
                <w:i/>
                <w:sz w:val="16"/>
                <w:szCs w:val="16"/>
                <w:lang w:val="en-US"/>
              </w:rPr>
              <w:t>to a very specific sector such as data protection without also providing for the appropriate checks a</w:t>
            </w:r>
            <w:bookmarkStart w:id="0" w:name="_GoBack"/>
            <w:bookmarkEnd w:id="0"/>
            <w:r>
              <w:rPr>
                <w:i/>
                <w:sz w:val="16"/>
                <w:szCs w:val="16"/>
                <w:lang w:val="en-US"/>
              </w:rPr>
              <w:t xml:space="preserve">nd balances set out in EU cartel legislation. </w:t>
            </w:r>
          </w:p>
          <w:p w:rsidR="0018762F" w:rsidRDefault="0018762F" w:rsidP="00882921">
            <w:pPr>
              <w:pStyle w:val="Corpsdetexte0"/>
              <w:jc w:val="left"/>
              <w:cnfStyle w:val="000000000000"/>
              <w:rPr>
                <w:i/>
                <w:sz w:val="16"/>
                <w:szCs w:val="16"/>
                <w:lang w:val="en-US"/>
              </w:rPr>
            </w:pPr>
            <w:r>
              <w:rPr>
                <w:i/>
                <w:sz w:val="16"/>
                <w:szCs w:val="16"/>
                <w:lang w:val="en-US"/>
              </w:rPr>
              <w:t xml:space="preserve">Indeed, under current EU cartel law, the application of worldwide turnover is balanced by the leniency program. Thus, with no leniency regime currently envisaged under this draft Regulation, the application of worldwide turnover would result in a completely disproportionate penalty </w:t>
            </w:r>
          </w:p>
          <w:p w:rsidR="0018762F" w:rsidRDefault="0018762F" w:rsidP="00882921">
            <w:pPr>
              <w:pStyle w:val="Corpsdetexte0"/>
              <w:jc w:val="left"/>
              <w:cnfStyle w:val="000000000000"/>
              <w:rPr>
                <w:i/>
                <w:sz w:val="16"/>
                <w:szCs w:val="16"/>
                <w:lang w:val="en-US"/>
              </w:rPr>
            </w:pPr>
            <w:r>
              <w:rPr>
                <w:i/>
                <w:sz w:val="16"/>
                <w:szCs w:val="16"/>
                <w:lang w:val="en-US"/>
              </w:rPr>
              <w:t xml:space="preserve">A more appropriate method for calculating the relevant fines is to be found in the Commission's </w:t>
            </w:r>
            <w:r w:rsidR="008639D8">
              <w:fldChar w:fldCharType="begin"/>
            </w:r>
            <w:r w:rsidR="008639D8" w:rsidRPr="006C096F">
              <w:rPr>
                <w:lang w:val="en-US"/>
                <w:rPrChange w:id="1" w:author="LM" w:date="2012-12-11T17:23:00Z">
                  <w:rPr/>
                </w:rPrChange>
              </w:rPr>
              <w:instrText>HYPERLINK "http://eur-lex.europa.eu/LexUriServ/LexUriServ.do?uri=CELEX:52006XC0901(01):EN:NOT"</w:instrText>
            </w:r>
            <w:r w:rsidR="008639D8">
              <w:fldChar w:fldCharType="separate"/>
            </w:r>
            <w:r w:rsidRPr="0026232E">
              <w:rPr>
                <w:rStyle w:val="Lienhypertexte"/>
                <w:i/>
                <w:sz w:val="16"/>
                <w:szCs w:val="16"/>
                <w:lang w:val="en-US"/>
              </w:rPr>
              <w:t>Guidelines on the method of setting fines</w:t>
            </w:r>
            <w:r w:rsidR="008639D8">
              <w:fldChar w:fldCharType="end"/>
            </w:r>
            <w:r w:rsidRPr="0026232E">
              <w:rPr>
                <w:i/>
                <w:sz w:val="16"/>
                <w:szCs w:val="16"/>
                <w:lang w:val="en-US"/>
              </w:rPr>
              <w:t xml:space="preserve"> imposed pursuant to Article 23(2)(a) of Regulation No 1/2003.</w:t>
            </w:r>
            <w:r>
              <w:rPr>
                <w:sz w:val="16"/>
                <w:szCs w:val="16"/>
                <w:lang w:val="en-US"/>
              </w:rPr>
              <w:t xml:space="preserve"> </w:t>
            </w:r>
            <w:r w:rsidRPr="0026232E">
              <w:rPr>
                <w:i/>
                <w:sz w:val="16"/>
                <w:szCs w:val="16"/>
                <w:lang w:val="en-US"/>
              </w:rPr>
              <w:t>Here, the Commission generally starts its calculation by taking the value of the concerned undertaking</w:t>
            </w:r>
            <w:r>
              <w:rPr>
                <w:i/>
                <w:sz w:val="16"/>
                <w:szCs w:val="16"/>
                <w:lang w:val="en-US"/>
              </w:rPr>
              <w:t>'s "</w:t>
            </w:r>
            <w:r w:rsidRPr="0026232E">
              <w:rPr>
                <w:i/>
                <w:sz w:val="16"/>
                <w:szCs w:val="16"/>
                <w:lang w:val="en-US"/>
              </w:rPr>
              <w:t xml:space="preserve">sales of goods or services to which the infringement directly or indirectly relates </w:t>
            </w:r>
            <w:r>
              <w:rPr>
                <w:i/>
                <w:sz w:val="16"/>
                <w:szCs w:val="16"/>
                <w:lang w:val="en-US"/>
              </w:rPr>
              <w:t xml:space="preserve">in the relevant </w:t>
            </w:r>
            <w:r>
              <w:rPr>
                <w:i/>
                <w:sz w:val="16"/>
                <w:szCs w:val="16"/>
                <w:lang w:val="en-US"/>
              </w:rPr>
              <w:lastRenderedPageBreak/>
              <w:t>geographic area". This ensures that the final penalty imposed is proportionate and appropriate for the violation. In this way, a 'blanket' penalty, lacking in any sort of gradation, is avoided.</w:t>
            </w:r>
          </w:p>
          <w:p w:rsidR="0018762F" w:rsidRDefault="0018762F" w:rsidP="00882921">
            <w:pPr>
              <w:pStyle w:val="Corpsdetexte0"/>
              <w:jc w:val="left"/>
              <w:cnfStyle w:val="000000000000"/>
              <w:rPr>
                <w:i/>
                <w:sz w:val="16"/>
                <w:szCs w:val="16"/>
                <w:lang w:val="en-US"/>
              </w:rPr>
            </w:pPr>
            <w:r>
              <w:rPr>
                <w:i/>
                <w:sz w:val="16"/>
                <w:szCs w:val="16"/>
                <w:lang w:val="en-US"/>
              </w:rPr>
              <w:t>Moreover, t</w:t>
            </w:r>
            <w:r w:rsidRPr="00B53CF1">
              <w:rPr>
                <w:i/>
                <w:sz w:val="16"/>
                <w:szCs w:val="16"/>
                <w:lang w:val="en-US"/>
              </w:rPr>
              <w:t xml:space="preserve">he very sweeping criteria of worldwide turnover that the Commission has chosen to use to calculate the fine amount could result in unintentionally onerous consequences for businesses with global operations and may very well discourage new </w:t>
            </w:r>
            <w:r>
              <w:rPr>
                <w:i/>
                <w:sz w:val="16"/>
                <w:szCs w:val="16"/>
                <w:lang w:val="en-US"/>
              </w:rPr>
              <w:t>players</w:t>
            </w:r>
            <w:r w:rsidRPr="00B53CF1">
              <w:rPr>
                <w:i/>
                <w:sz w:val="16"/>
                <w:szCs w:val="16"/>
                <w:lang w:val="en-US"/>
              </w:rPr>
              <w:t xml:space="preserve"> to enter the EU market.</w:t>
            </w:r>
          </w:p>
          <w:p w:rsidR="0018762F" w:rsidRPr="003433C1" w:rsidRDefault="0018762F" w:rsidP="00882921">
            <w:pPr>
              <w:pStyle w:val="Corpsdetexte0"/>
              <w:jc w:val="left"/>
              <w:cnfStyle w:val="000000000000"/>
              <w:rPr>
                <w:i/>
                <w:sz w:val="16"/>
                <w:szCs w:val="16"/>
                <w:lang w:val="en-US"/>
              </w:rPr>
            </w:pPr>
          </w:p>
        </w:tc>
      </w:tr>
      <w:tr w:rsidR="0018762F" w:rsidRPr="006C096F" w:rsidTr="00882921">
        <w:trPr>
          <w:cnfStyle w:val="000000100000"/>
          <w:trHeight w:val="1211"/>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lastRenderedPageBreak/>
              <w:t>79(5)</w:t>
            </w:r>
          </w:p>
        </w:tc>
        <w:tc>
          <w:tcPr>
            <w:tcW w:w="4377" w:type="dxa"/>
          </w:tcPr>
          <w:p w:rsidR="0018762F" w:rsidRPr="00015948" w:rsidRDefault="0018762F" w:rsidP="00882921">
            <w:pPr>
              <w:pStyle w:val="Corpsdetexte0"/>
              <w:cnfStyle w:val="000000100000"/>
              <w:rPr>
                <w:sz w:val="16"/>
                <w:szCs w:val="16"/>
                <w:lang w:val="en-US"/>
              </w:rPr>
            </w:pPr>
            <w:r>
              <w:rPr>
                <w:sz w:val="16"/>
                <w:szCs w:val="16"/>
                <w:lang w:val="en-US"/>
              </w:rPr>
              <w:t xml:space="preserve">(5) </w:t>
            </w:r>
            <w:r w:rsidRPr="00AD4C6E">
              <w:rPr>
                <w:sz w:val="16"/>
                <w:szCs w:val="16"/>
                <w:lang w:val="en-US"/>
              </w:rPr>
              <w:t>The supervisory authority shall impose a fine up t</w:t>
            </w:r>
            <w:r>
              <w:rPr>
                <w:sz w:val="16"/>
                <w:szCs w:val="16"/>
                <w:lang w:val="en-US"/>
              </w:rPr>
              <w:t xml:space="preserve">o 500 000 EUR, or in case of an </w:t>
            </w:r>
            <w:r w:rsidRPr="00AD4C6E">
              <w:rPr>
                <w:sz w:val="16"/>
                <w:szCs w:val="16"/>
                <w:lang w:val="en-US"/>
              </w:rPr>
              <w:t>enterprise up to 1 % of its annual worldwide turnover, to anyone who, intentional</w:t>
            </w:r>
            <w:r>
              <w:rPr>
                <w:sz w:val="16"/>
                <w:szCs w:val="16"/>
                <w:lang w:val="en-US"/>
              </w:rPr>
              <w:t xml:space="preserve">ly </w:t>
            </w:r>
            <w:r w:rsidRPr="00AD4C6E">
              <w:rPr>
                <w:sz w:val="16"/>
                <w:szCs w:val="16"/>
                <w:lang w:val="en-US"/>
              </w:rPr>
              <w:t>or negligently:</w:t>
            </w:r>
          </w:p>
        </w:tc>
        <w:tc>
          <w:tcPr>
            <w:tcW w:w="4253" w:type="dxa"/>
          </w:tcPr>
          <w:p w:rsidR="0018762F" w:rsidRPr="00015948" w:rsidRDefault="0018762F" w:rsidP="00882921">
            <w:pPr>
              <w:pStyle w:val="Corpsdetexte0"/>
              <w:cnfStyle w:val="000000100000"/>
              <w:rPr>
                <w:sz w:val="16"/>
                <w:szCs w:val="16"/>
                <w:lang w:val="en-US"/>
              </w:rPr>
            </w:pPr>
            <w:r>
              <w:rPr>
                <w:sz w:val="16"/>
                <w:szCs w:val="16"/>
                <w:lang w:val="en-US"/>
              </w:rPr>
              <w:t xml:space="preserve">(5) </w:t>
            </w:r>
            <w:r w:rsidRPr="00AD4C6E">
              <w:rPr>
                <w:sz w:val="16"/>
                <w:szCs w:val="16"/>
                <w:lang w:val="en-US"/>
              </w:rPr>
              <w:t>The supervisory authority shall impose a fine up t</w:t>
            </w:r>
            <w:r>
              <w:rPr>
                <w:sz w:val="16"/>
                <w:szCs w:val="16"/>
                <w:lang w:val="en-US"/>
              </w:rPr>
              <w:t xml:space="preserve">o 500 000 EUR, or in case of an </w:t>
            </w:r>
            <w:r w:rsidRPr="00AD4C6E">
              <w:rPr>
                <w:sz w:val="16"/>
                <w:szCs w:val="16"/>
                <w:lang w:val="en-US"/>
              </w:rPr>
              <w:t xml:space="preserve">enterprise up to 1 % of its annual </w:t>
            </w:r>
            <w:r w:rsidRPr="005D7AFA">
              <w:rPr>
                <w:strike/>
                <w:sz w:val="16"/>
                <w:szCs w:val="16"/>
                <w:lang w:val="en-US"/>
              </w:rPr>
              <w:t>worldwide</w:t>
            </w:r>
            <w:r w:rsidRPr="00AD4C6E">
              <w:rPr>
                <w:sz w:val="16"/>
                <w:szCs w:val="16"/>
                <w:lang w:val="en-US"/>
              </w:rPr>
              <w:t xml:space="preserve"> turnover</w:t>
            </w:r>
            <w:r>
              <w:rPr>
                <w:sz w:val="16"/>
                <w:szCs w:val="16"/>
                <w:lang w:val="en-US"/>
              </w:rPr>
              <w:t xml:space="preserve"> </w:t>
            </w:r>
            <w:r w:rsidRPr="005D7AFA">
              <w:rPr>
                <w:b/>
                <w:sz w:val="16"/>
                <w:szCs w:val="16"/>
                <w:u w:val="single"/>
                <w:lang w:val="en-US"/>
              </w:rPr>
              <w:t>in the relevant geographic area to which the infringement directly or indirectly relates</w:t>
            </w:r>
            <w:r w:rsidRPr="00AD4C6E">
              <w:rPr>
                <w:sz w:val="16"/>
                <w:szCs w:val="16"/>
                <w:lang w:val="en-US"/>
              </w:rPr>
              <w:t xml:space="preserve"> to anyone who, intentional</w:t>
            </w:r>
            <w:r>
              <w:rPr>
                <w:sz w:val="16"/>
                <w:szCs w:val="16"/>
                <w:lang w:val="en-US"/>
              </w:rPr>
              <w:t xml:space="preserve">ly </w:t>
            </w:r>
            <w:r w:rsidRPr="00AD4C6E">
              <w:rPr>
                <w:strike/>
                <w:sz w:val="16"/>
                <w:szCs w:val="16"/>
                <w:lang w:val="en-US"/>
              </w:rPr>
              <w:t>or negligently</w:t>
            </w:r>
            <w:r w:rsidRPr="00AD4C6E">
              <w:rPr>
                <w:sz w:val="16"/>
                <w:szCs w:val="16"/>
                <w:lang w:val="en-US"/>
              </w:rPr>
              <w:t>:</w:t>
            </w:r>
          </w:p>
        </w:tc>
        <w:tc>
          <w:tcPr>
            <w:tcW w:w="4111" w:type="dxa"/>
          </w:tcPr>
          <w:p w:rsidR="0018762F" w:rsidRDefault="0018762F" w:rsidP="00882921">
            <w:pPr>
              <w:pStyle w:val="Corpsdetexte0"/>
              <w:jc w:val="center"/>
              <w:cnfStyle w:val="000000100000"/>
              <w:rPr>
                <w:b/>
                <w:i/>
                <w:sz w:val="16"/>
                <w:szCs w:val="16"/>
                <w:lang w:val="en-US"/>
              </w:rPr>
            </w:pPr>
          </w:p>
          <w:p w:rsidR="0018762F" w:rsidRPr="0026232E" w:rsidRDefault="0018762F" w:rsidP="00882921">
            <w:pPr>
              <w:pStyle w:val="Corpsdetexte0"/>
              <w:jc w:val="center"/>
              <w:cnfStyle w:val="000000100000"/>
              <w:rPr>
                <w:b/>
                <w:i/>
                <w:sz w:val="16"/>
                <w:szCs w:val="16"/>
                <w:lang w:val="en-US"/>
              </w:rPr>
            </w:pPr>
            <w:r>
              <w:rPr>
                <w:b/>
                <w:i/>
                <w:sz w:val="16"/>
                <w:szCs w:val="16"/>
                <w:lang w:val="en-US"/>
              </w:rPr>
              <w:t>See above justification to Article 79(4)</w:t>
            </w:r>
          </w:p>
        </w:tc>
      </w:tr>
      <w:tr w:rsidR="0018762F" w:rsidRPr="006C096F" w:rsidTr="00882921">
        <w:trPr>
          <w:trHeight w:val="1022"/>
        </w:trPr>
        <w:tc>
          <w:tcPr>
            <w:cnfStyle w:val="001000000000"/>
            <w:tcW w:w="1401" w:type="dxa"/>
            <w:vAlign w:val="center"/>
          </w:tcPr>
          <w:p w:rsidR="0018762F" w:rsidRDefault="0018762F" w:rsidP="00882921">
            <w:pPr>
              <w:pStyle w:val="Corpsdetexte0"/>
              <w:jc w:val="center"/>
              <w:rPr>
                <w:sz w:val="16"/>
                <w:szCs w:val="16"/>
                <w:lang w:val="en-US"/>
              </w:rPr>
            </w:pPr>
            <w:r>
              <w:rPr>
                <w:sz w:val="16"/>
                <w:szCs w:val="16"/>
                <w:lang w:val="en-US"/>
              </w:rPr>
              <w:t>79(6)</w:t>
            </w:r>
          </w:p>
        </w:tc>
        <w:tc>
          <w:tcPr>
            <w:tcW w:w="4377" w:type="dxa"/>
          </w:tcPr>
          <w:p w:rsidR="0018762F" w:rsidRPr="00AD4C6E" w:rsidRDefault="0018762F" w:rsidP="00882921">
            <w:pPr>
              <w:pStyle w:val="Corpsdetexte0"/>
              <w:cnfStyle w:val="000000000000"/>
              <w:rPr>
                <w:sz w:val="16"/>
                <w:szCs w:val="16"/>
                <w:lang w:val="en-US"/>
              </w:rPr>
            </w:pPr>
            <w:r>
              <w:rPr>
                <w:sz w:val="16"/>
                <w:szCs w:val="16"/>
                <w:lang w:val="en-US"/>
              </w:rPr>
              <w:t xml:space="preserve">(6) </w:t>
            </w:r>
            <w:r w:rsidRPr="00AD4C6E">
              <w:rPr>
                <w:sz w:val="16"/>
                <w:szCs w:val="16"/>
                <w:lang w:val="en-US"/>
              </w:rPr>
              <w:t>The supervisory authority shall impose a fine up to 1</w:t>
            </w:r>
            <w:r>
              <w:rPr>
                <w:sz w:val="16"/>
                <w:szCs w:val="16"/>
                <w:lang w:val="en-US"/>
              </w:rPr>
              <w:t xml:space="preserve"> 000 000 EUR or, in case of an </w:t>
            </w:r>
            <w:r w:rsidRPr="00AD4C6E">
              <w:rPr>
                <w:sz w:val="16"/>
                <w:szCs w:val="16"/>
                <w:lang w:val="en-US"/>
              </w:rPr>
              <w:t>enterprise up to 2 % of its annual worldwide turnove</w:t>
            </w:r>
            <w:r>
              <w:rPr>
                <w:sz w:val="16"/>
                <w:szCs w:val="16"/>
                <w:lang w:val="en-US"/>
              </w:rPr>
              <w:t xml:space="preserve">r, to anyone who, intentionally </w:t>
            </w:r>
            <w:r w:rsidRPr="00AD4C6E">
              <w:rPr>
                <w:sz w:val="16"/>
                <w:szCs w:val="16"/>
                <w:lang w:val="en-US"/>
              </w:rPr>
              <w:t>or negligently:</w:t>
            </w:r>
          </w:p>
          <w:p w:rsidR="0018762F" w:rsidRPr="00015948" w:rsidRDefault="0018762F" w:rsidP="00882921">
            <w:pPr>
              <w:pStyle w:val="Corpsdetexte0"/>
              <w:cnfStyle w:val="000000000000"/>
              <w:rPr>
                <w:sz w:val="16"/>
                <w:szCs w:val="16"/>
                <w:lang w:val="en-US"/>
              </w:rPr>
            </w:pPr>
          </w:p>
        </w:tc>
        <w:tc>
          <w:tcPr>
            <w:tcW w:w="4253" w:type="dxa"/>
          </w:tcPr>
          <w:p w:rsidR="0018762F" w:rsidRPr="00015948" w:rsidRDefault="0018762F" w:rsidP="00882921">
            <w:pPr>
              <w:pStyle w:val="Corpsdetexte0"/>
              <w:cnfStyle w:val="000000000000"/>
              <w:rPr>
                <w:sz w:val="16"/>
                <w:szCs w:val="16"/>
                <w:lang w:val="en-US"/>
              </w:rPr>
            </w:pPr>
            <w:r>
              <w:rPr>
                <w:sz w:val="16"/>
                <w:szCs w:val="16"/>
                <w:lang w:val="en-US"/>
              </w:rPr>
              <w:t xml:space="preserve">(6) </w:t>
            </w:r>
            <w:r w:rsidRPr="00AD4C6E">
              <w:rPr>
                <w:sz w:val="16"/>
                <w:szCs w:val="16"/>
                <w:lang w:val="en-US"/>
              </w:rPr>
              <w:t>The supervisory authority shall impose a fine up to 1</w:t>
            </w:r>
            <w:r>
              <w:rPr>
                <w:sz w:val="16"/>
                <w:szCs w:val="16"/>
                <w:lang w:val="en-US"/>
              </w:rPr>
              <w:t xml:space="preserve"> 000 000 EUR or, in case of an </w:t>
            </w:r>
            <w:r w:rsidRPr="00AD4C6E">
              <w:rPr>
                <w:sz w:val="16"/>
                <w:szCs w:val="16"/>
                <w:lang w:val="en-US"/>
              </w:rPr>
              <w:t xml:space="preserve">enterprise up to 2 % of its annual </w:t>
            </w:r>
            <w:r w:rsidRPr="005D7AFA">
              <w:rPr>
                <w:strike/>
                <w:sz w:val="16"/>
                <w:szCs w:val="16"/>
                <w:lang w:val="en-US"/>
              </w:rPr>
              <w:t>worldwide</w:t>
            </w:r>
            <w:r w:rsidRPr="00AD4C6E">
              <w:rPr>
                <w:sz w:val="16"/>
                <w:szCs w:val="16"/>
                <w:lang w:val="en-US"/>
              </w:rPr>
              <w:t xml:space="preserve"> turnove</w:t>
            </w:r>
            <w:r>
              <w:rPr>
                <w:sz w:val="16"/>
                <w:szCs w:val="16"/>
                <w:lang w:val="en-US"/>
              </w:rPr>
              <w:t xml:space="preserve">r </w:t>
            </w:r>
            <w:r w:rsidRPr="005D7AFA">
              <w:rPr>
                <w:b/>
                <w:sz w:val="16"/>
                <w:szCs w:val="16"/>
                <w:u w:val="single"/>
                <w:lang w:val="en-US"/>
              </w:rPr>
              <w:t>in the relevant geographic area to which the infringement directly or indirectly relates</w:t>
            </w:r>
            <w:r>
              <w:rPr>
                <w:sz w:val="16"/>
                <w:szCs w:val="16"/>
                <w:lang w:val="en-US"/>
              </w:rPr>
              <w:t xml:space="preserve"> to anyone who, intentionally </w:t>
            </w:r>
            <w:r w:rsidRPr="00AD4C6E">
              <w:rPr>
                <w:strike/>
                <w:sz w:val="16"/>
                <w:szCs w:val="16"/>
                <w:lang w:val="en-US"/>
              </w:rPr>
              <w:t>or negligently</w:t>
            </w:r>
            <w:r w:rsidRPr="00AD4C6E">
              <w:rPr>
                <w:sz w:val="16"/>
                <w:szCs w:val="16"/>
                <w:lang w:val="en-US"/>
              </w:rPr>
              <w:t>:</w:t>
            </w:r>
          </w:p>
        </w:tc>
        <w:tc>
          <w:tcPr>
            <w:tcW w:w="4111" w:type="dxa"/>
          </w:tcPr>
          <w:p w:rsidR="0018762F" w:rsidRDefault="0018762F" w:rsidP="00882921">
            <w:pPr>
              <w:pStyle w:val="Corpsdetexte0"/>
              <w:jc w:val="left"/>
              <w:cnfStyle w:val="000000000000"/>
              <w:rPr>
                <w:b/>
                <w:i/>
                <w:sz w:val="16"/>
                <w:szCs w:val="16"/>
                <w:lang w:val="en-US"/>
              </w:rPr>
            </w:pPr>
          </w:p>
          <w:p w:rsidR="0018762F" w:rsidRPr="00F8058F" w:rsidRDefault="0018762F" w:rsidP="00882921">
            <w:pPr>
              <w:pStyle w:val="Corpsdetexte0"/>
              <w:jc w:val="center"/>
              <w:cnfStyle w:val="000000000000"/>
              <w:rPr>
                <w:sz w:val="16"/>
                <w:szCs w:val="16"/>
                <w:lang w:val="en-US"/>
              </w:rPr>
            </w:pPr>
            <w:r>
              <w:rPr>
                <w:b/>
                <w:i/>
                <w:sz w:val="16"/>
                <w:szCs w:val="16"/>
                <w:lang w:val="en-US"/>
              </w:rPr>
              <w:t>See above justification to Article 79(4)</w:t>
            </w:r>
          </w:p>
        </w:tc>
      </w:tr>
    </w:tbl>
    <w:p w:rsidR="0018762F" w:rsidRPr="002E611B" w:rsidRDefault="0018762F" w:rsidP="0018762F">
      <w:pPr>
        <w:rPr>
          <w:lang w:val="en-US"/>
        </w:rPr>
      </w:pPr>
    </w:p>
    <w:p w:rsidR="00102972" w:rsidRPr="0018762F" w:rsidRDefault="00102972">
      <w:pPr>
        <w:rPr>
          <w:lang w:val="en-US"/>
        </w:rPr>
      </w:pPr>
    </w:p>
    <w:sectPr w:rsidR="00102972" w:rsidRPr="0018762F" w:rsidSect="00703CB3">
      <w:headerReference w:type="even" r:id="rId7"/>
      <w:headerReference w:type="default" r:id="rId8"/>
      <w:footerReference w:type="even" r:id="rId9"/>
      <w:footerReference w:type="default" r:id="rId10"/>
      <w:headerReference w:type="first" r:id="rId11"/>
      <w:footerReference w:type="first" r:id="rId12"/>
      <w:pgSz w:w="16838" w:h="11906" w:orient="landscape"/>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62F" w:rsidRDefault="0018762F" w:rsidP="0018762F">
      <w:r>
        <w:separator/>
      </w:r>
    </w:p>
  </w:endnote>
  <w:endnote w:type="continuationSeparator" w:id="0">
    <w:p w:rsidR="0018762F" w:rsidRDefault="0018762F" w:rsidP="00187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F38" w:rsidRDefault="00086F3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EF6" w:rsidRPr="004E3F8C" w:rsidRDefault="006C096F">
    <w:pPr>
      <w:pStyle w:val="Pieddepage"/>
      <w:rPr>
        <w:rFonts w:cs="Times New Roman"/>
        <w:szCs w:val="12"/>
      </w:rPr>
    </w:pPr>
  </w:p>
  <w:p w:rsidR="00870EF6" w:rsidRPr="004E3F8C" w:rsidRDefault="006C096F">
    <w:pPr>
      <w:pStyle w:val="Pieddepage"/>
      <w:rPr>
        <w:rFonts w:cs="Times New Roman"/>
        <w:szCs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EF6" w:rsidRPr="004E3F8C" w:rsidRDefault="006C096F">
    <w:pPr>
      <w:pStyle w:val="Pieddepage"/>
      <w:rPr>
        <w:rFonts w:cs="Times New Roman"/>
        <w:szCs w:val="12"/>
      </w:rPr>
    </w:pPr>
  </w:p>
  <w:p w:rsidR="00870EF6" w:rsidRPr="004E3F8C" w:rsidRDefault="006C096F">
    <w:pPr>
      <w:pStyle w:val="Pieddepage"/>
      <w:rPr>
        <w:rFonts w:cs="Times New Roman"/>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62F" w:rsidRDefault="0018762F" w:rsidP="0018762F">
      <w:r>
        <w:separator/>
      </w:r>
    </w:p>
  </w:footnote>
  <w:footnote w:type="continuationSeparator" w:id="0">
    <w:p w:rsidR="0018762F" w:rsidRDefault="0018762F" w:rsidP="001876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F38" w:rsidRDefault="00086F3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870EF6" w:rsidRPr="004E3F8C" w:rsidTr="00B87133">
      <w:tc>
        <w:tcPr>
          <w:tcW w:w="8046" w:type="dxa"/>
        </w:tcPr>
        <w:p w:rsidR="00870EF6" w:rsidRPr="004E3F8C" w:rsidRDefault="006C096F" w:rsidP="00B87133">
          <w:pPr>
            <w:pStyle w:val="En-tte"/>
            <w:rPr>
              <w:rFonts w:cs="Times New Roman"/>
            </w:rPr>
          </w:pPr>
        </w:p>
      </w:tc>
      <w:tc>
        <w:tcPr>
          <w:tcW w:w="1166" w:type="dxa"/>
        </w:tcPr>
        <w:p w:rsidR="00870EF6" w:rsidRPr="004E3F8C" w:rsidRDefault="006C096F" w:rsidP="00A458B2">
          <w:pPr>
            <w:jc w:val="right"/>
            <w:rPr>
              <w:rFonts w:cs="Times New Roman"/>
            </w:rPr>
          </w:pPr>
        </w:p>
      </w:tc>
    </w:tr>
  </w:tbl>
  <w:p w:rsidR="00870EF6" w:rsidRDefault="006C096F" w:rsidP="004E3F8C">
    <w:pPr>
      <w:rPr>
        <w:rFonts w:cs="Times New Roman"/>
      </w:rPr>
    </w:pPr>
  </w:p>
  <w:p w:rsidR="00870EF6" w:rsidRPr="004E3F8C" w:rsidRDefault="006C096F" w:rsidP="004E3F8C">
    <w:pPr>
      <w:rPr>
        <w:rFonts w:cs="Times New Roman"/>
      </w:rPr>
    </w:pPr>
  </w:p>
  <w:p w:rsidR="00870EF6" w:rsidRPr="004E3F8C" w:rsidRDefault="006C096F" w:rsidP="004E3F8C">
    <w:pPr>
      <w:rPr>
        <w:rFonts w:cs="Times New Roman"/>
      </w:rPr>
    </w:pPr>
  </w:p>
  <w:p w:rsidR="00870EF6" w:rsidRPr="004E3F8C" w:rsidRDefault="006C096F" w:rsidP="004E3F8C">
    <w:pPr>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0"/>
      <w:gridCol w:w="1800"/>
    </w:tblGrid>
    <w:tr w:rsidR="00870EF6" w:rsidRPr="004E3F8C" w:rsidTr="005E63D1">
      <w:tc>
        <w:tcPr>
          <w:tcW w:w="8046" w:type="dxa"/>
        </w:tcPr>
        <w:p w:rsidR="00870EF6" w:rsidRPr="004E3F8C" w:rsidRDefault="006C096F" w:rsidP="000A6AF4">
          <w:pPr>
            <w:pStyle w:val="En-tte"/>
            <w:rPr>
              <w:rFonts w:cs="Times New Roman"/>
            </w:rPr>
          </w:pPr>
        </w:p>
      </w:tc>
      <w:tc>
        <w:tcPr>
          <w:tcW w:w="1166" w:type="dxa"/>
        </w:tcPr>
        <w:p w:rsidR="00870EF6" w:rsidRPr="004E3F8C" w:rsidRDefault="006C096F" w:rsidP="000A6AF4">
          <w:pPr>
            <w:jc w:val="right"/>
            <w:rPr>
              <w:rFonts w:cs="Times New Roman"/>
            </w:rPr>
          </w:pPr>
        </w:p>
      </w:tc>
    </w:tr>
  </w:tbl>
  <w:p w:rsidR="00870EF6" w:rsidRPr="004E3F8C" w:rsidRDefault="006C096F" w:rsidP="004E3F8C">
    <w:pPr>
      <w:rPr>
        <w:rFonts w:cs="Times New Roman"/>
      </w:rPr>
    </w:pPr>
  </w:p>
  <w:p w:rsidR="00870EF6" w:rsidRPr="004E3F8C" w:rsidRDefault="006C096F" w:rsidP="004E3F8C">
    <w:pPr>
      <w:rPr>
        <w:rFonts w:cs="Times New Roman"/>
      </w:rPr>
    </w:pPr>
  </w:p>
  <w:p w:rsidR="00870EF6" w:rsidRPr="004E3F8C" w:rsidRDefault="006C096F" w:rsidP="00013315">
    <w:pPr>
      <w:ind w:right="-30"/>
      <w:jc w:val="right"/>
      <w:rPr>
        <w:rFonts w:cs="Times New Roman"/>
      </w:rPr>
    </w:pPr>
  </w:p>
  <w:p w:rsidR="00870EF6" w:rsidRPr="004E3F8C" w:rsidRDefault="006C096F" w:rsidP="004E3F8C">
    <w:pP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21F75"/>
    <w:multiLevelType w:val="hybridMultilevel"/>
    <w:tmpl w:val="054C7A8E"/>
    <w:lvl w:ilvl="0" w:tplc="DF86D9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rsids>
    <w:rsidRoot w:val="0018762F"/>
    <w:rsid w:val="0000721D"/>
    <w:rsid w:val="00012B92"/>
    <w:rsid w:val="0001439E"/>
    <w:rsid w:val="00016AB9"/>
    <w:rsid w:val="00021A39"/>
    <w:rsid w:val="00021B18"/>
    <w:rsid w:val="00021F9F"/>
    <w:rsid w:val="000313EE"/>
    <w:rsid w:val="000317CA"/>
    <w:rsid w:val="00032DF0"/>
    <w:rsid w:val="00035327"/>
    <w:rsid w:val="00041037"/>
    <w:rsid w:val="00042AB8"/>
    <w:rsid w:val="0005037D"/>
    <w:rsid w:val="00052560"/>
    <w:rsid w:val="00053172"/>
    <w:rsid w:val="000536AB"/>
    <w:rsid w:val="00055C6B"/>
    <w:rsid w:val="00060585"/>
    <w:rsid w:val="000658A8"/>
    <w:rsid w:val="00070B01"/>
    <w:rsid w:val="00086F38"/>
    <w:rsid w:val="000911FE"/>
    <w:rsid w:val="0009289D"/>
    <w:rsid w:val="00093DBB"/>
    <w:rsid w:val="00094D58"/>
    <w:rsid w:val="00096E74"/>
    <w:rsid w:val="000978D2"/>
    <w:rsid w:val="000A2ED5"/>
    <w:rsid w:val="000A70F8"/>
    <w:rsid w:val="000B0841"/>
    <w:rsid w:val="000B0997"/>
    <w:rsid w:val="000B7573"/>
    <w:rsid w:val="000C690F"/>
    <w:rsid w:val="000C7016"/>
    <w:rsid w:val="000D6B61"/>
    <w:rsid w:val="000E7B61"/>
    <w:rsid w:val="000F25E6"/>
    <w:rsid w:val="000F4068"/>
    <w:rsid w:val="001012E2"/>
    <w:rsid w:val="00101CB7"/>
    <w:rsid w:val="00102644"/>
    <w:rsid w:val="00102972"/>
    <w:rsid w:val="0010546E"/>
    <w:rsid w:val="00107BAC"/>
    <w:rsid w:val="00111C17"/>
    <w:rsid w:val="00115883"/>
    <w:rsid w:val="0011670F"/>
    <w:rsid w:val="00120F1C"/>
    <w:rsid w:val="00121896"/>
    <w:rsid w:val="00123F8A"/>
    <w:rsid w:val="001305E3"/>
    <w:rsid w:val="001319AA"/>
    <w:rsid w:val="00135B99"/>
    <w:rsid w:val="001379CB"/>
    <w:rsid w:val="00140423"/>
    <w:rsid w:val="001533B1"/>
    <w:rsid w:val="0016266E"/>
    <w:rsid w:val="00162DA2"/>
    <w:rsid w:val="001723CF"/>
    <w:rsid w:val="00173189"/>
    <w:rsid w:val="00183757"/>
    <w:rsid w:val="00183BED"/>
    <w:rsid w:val="0018480C"/>
    <w:rsid w:val="0018762F"/>
    <w:rsid w:val="00190602"/>
    <w:rsid w:val="001945A3"/>
    <w:rsid w:val="001956E8"/>
    <w:rsid w:val="001A7B81"/>
    <w:rsid w:val="001B142B"/>
    <w:rsid w:val="001B18BF"/>
    <w:rsid w:val="001B622E"/>
    <w:rsid w:val="001B69C9"/>
    <w:rsid w:val="001C43BC"/>
    <w:rsid w:val="001D7A81"/>
    <w:rsid w:val="001E172D"/>
    <w:rsid w:val="001E65FF"/>
    <w:rsid w:val="001E6624"/>
    <w:rsid w:val="001F2648"/>
    <w:rsid w:val="0020288A"/>
    <w:rsid w:val="00203D0A"/>
    <w:rsid w:val="0021189C"/>
    <w:rsid w:val="002121AC"/>
    <w:rsid w:val="0021480C"/>
    <w:rsid w:val="002160F9"/>
    <w:rsid w:val="00216A71"/>
    <w:rsid w:val="00221A3F"/>
    <w:rsid w:val="00224E3A"/>
    <w:rsid w:val="002270B4"/>
    <w:rsid w:val="00227EAC"/>
    <w:rsid w:val="00240CC0"/>
    <w:rsid w:val="00240F9A"/>
    <w:rsid w:val="00241903"/>
    <w:rsid w:val="00243C0A"/>
    <w:rsid w:val="00247B48"/>
    <w:rsid w:val="00252A82"/>
    <w:rsid w:val="00262636"/>
    <w:rsid w:val="00273957"/>
    <w:rsid w:val="0028723C"/>
    <w:rsid w:val="00290295"/>
    <w:rsid w:val="0029045E"/>
    <w:rsid w:val="00294DE6"/>
    <w:rsid w:val="002A725D"/>
    <w:rsid w:val="002B4692"/>
    <w:rsid w:val="002B54FA"/>
    <w:rsid w:val="002C1323"/>
    <w:rsid w:val="002C4AAE"/>
    <w:rsid w:val="002C5E77"/>
    <w:rsid w:val="002E162C"/>
    <w:rsid w:val="002E59FC"/>
    <w:rsid w:val="002F31B5"/>
    <w:rsid w:val="002F76C7"/>
    <w:rsid w:val="003069EE"/>
    <w:rsid w:val="00310808"/>
    <w:rsid w:val="003132D3"/>
    <w:rsid w:val="00314943"/>
    <w:rsid w:val="0031539F"/>
    <w:rsid w:val="00321E3A"/>
    <w:rsid w:val="0033397A"/>
    <w:rsid w:val="00335B00"/>
    <w:rsid w:val="00347893"/>
    <w:rsid w:val="003514C7"/>
    <w:rsid w:val="003546ED"/>
    <w:rsid w:val="00356E05"/>
    <w:rsid w:val="003655FB"/>
    <w:rsid w:val="00366822"/>
    <w:rsid w:val="003837E8"/>
    <w:rsid w:val="00385AB8"/>
    <w:rsid w:val="00390147"/>
    <w:rsid w:val="00390B4E"/>
    <w:rsid w:val="0039261D"/>
    <w:rsid w:val="00392D82"/>
    <w:rsid w:val="00395B11"/>
    <w:rsid w:val="003A0D71"/>
    <w:rsid w:val="003A1BFC"/>
    <w:rsid w:val="003B079E"/>
    <w:rsid w:val="003B14AC"/>
    <w:rsid w:val="003C1452"/>
    <w:rsid w:val="003C2346"/>
    <w:rsid w:val="003C761A"/>
    <w:rsid w:val="003D1254"/>
    <w:rsid w:val="003E7FBB"/>
    <w:rsid w:val="003F0498"/>
    <w:rsid w:val="003F44F4"/>
    <w:rsid w:val="003F5F7A"/>
    <w:rsid w:val="003F6A18"/>
    <w:rsid w:val="004135C2"/>
    <w:rsid w:val="00413DFD"/>
    <w:rsid w:val="00414050"/>
    <w:rsid w:val="00415178"/>
    <w:rsid w:val="004225F5"/>
    <w:rsid w:val="00424030"/>
    <w:rsid w:val="004242DF"/>
    <w:rsid w:val="00425ED4"/>
    <w:rsid w:val="004318EC"/>
    <w:rsid w:val="00441F81"/>
    <w:rsid w:val="004460F5"/>
    <w:rsid w:val="00452064"/>
    <w:rsid w:val="00452C77"/>
    <w:rsid w:val="00456919"/>
    <w:rsid w:val="00456EEB"/>
    <w:rsid w:val="004640E6"/>
    <w:rsid w:val="00466CD3"/>
    <w:rsid w:val="00470A2E"/>
    <w:rsid w:val="00476BB8"/>
    <w:rsid w:val="00480D91"/>
    <w:rsid w:val="00482609"/>
    <w:rsid w:val="00483060"/>
    <w:rsid w:val="00492324"/>
    <w:rsid w:val="00497850"/>
    <w:rsid w:val="004A620E"/>
    <w:rsid w:val="004B3AB8"/>
    <w:rsid w:val="004B5089"/>
    <w:rsid w:val="004C4340"/>
    <w:rsid w:val="004C5EAF"/>
    <w:rsid w:val="004D1251"/>
    <w:rsid w:val="004D451F"/>
    <w:rsid w:val="004D4ECE"/>
    <w:rsid w:val="004D5E6B"/>
    <w:rsid w:val="004D6DEC"/>
    <w:rsid w:val="004E00D8"/>
    <w:rsid w:val="004E1550"/>
    <w:rsid w:val="00521BEA"/>
    <w:rsid w:val="00523AB7"/>
    <w:rsid w:val="00527844"/>
    <w:rsid w:val="00533DF5"/>
    <w:rsid w:val="00540274"/>
    <w:rsid w:val="00542A57"/>
    <w:rsid w:val="00547B41"/>
    <w:rsid w:val="0055306F"/>
    <w:rsid w:val="0056306E"/>
    <w:rsid w:val="00565702"/>
    <w:rsid w:val="005703F4"/>
    <w:rsid w:val="00574B6C"/>
    <w:rsid w:val="00582983"/>
    <w:rsid w:val="00583080"/>
    <w:rsid w:val="005A06FC"/>
    <w:rsid w:val="005A5E16"/>
    <w:rsid w:val="005B1E93"/>
    <w:rsid w:val="005B3C46"/>
    <w:rsid w:val="005B4143"/>
    <w:rsid w:val="005B5DB3"/>
    <w:rsid w:val="005B5E3D"/>
    <w:rsid w:val="005B7FA0"/>
    <w:rsid w:val="005C3A1A"/>
    <w:rsid w:val="005C5D63"/>
    <w:rsid w:val="005D2502"/>
    <w:rsid w:val="005D4DD6"/>
    <w:rsid w:val="005E2B6D"/>
    <w:rsid w:val="005E3FEF"/>
    <w:rsid w:val="005E4FE7"/>
    <w:rsid w:val="00603B67"/>
    <w:rsid w:val="00604D75"/>
    <w:rsid w:val="00606E33"/>
    <w:rsid w:val="00611651"/>
    <w:rsid w:val="00617DB6"/>
    <w:rsid w:val="00623973"/>
    <w:rsid w:val="00623D3A"/>
    <w:rsid w:val="006424F5"/>
    <w:rsid w:val="006473C3"/>
    <w:rsid w:val="00650614"/>
    <w:rsid w:val="00654BDE"/>
    <w:rsid w:val="0065589E"/>
    <w:rsid w:val="00657452"/>
    <w:rsid w:val="00662063"/>
    <w:rsid w:val="00663EE7"/>
    <w:rsid w:val="0067055E"/>
    <w:rsid w:val="006828C6"/>
    <w:rsid w:val="006831D2"/>
    <w:rsid w:val="006903E3"/>
    <w:rsid w:val="0069187D"/>
    <w:rsid w:val="006A171B"/>
    <w:rsid w:val="006A4B80"/>
    <w:rsid w:val="006B08A2"/>
    <w:rsid w:val="006B1F93"/>
    <w:rsid w:val="006B5506"/>
    <w:rsid w:val="006B5952"/>
    <w:rsid w:val="006C096F"/>
    <w:rsid w:val="006C1E45"/>
    <w:rsid w:val="006C5E39"/>
    <w:rsid w:val="006D40DF"/>
    <w:rsid w:val="006D7FFE"/>
    <w:rsid w:val="006E23F4"/>
    <w:rsid w:val="006F3511"/>
    <w:rsid w:val="0071335F"/>
    <w:rsid w:val="00715C98"/>
    <w:rsid w:val="0071720A"/>
    <w:rsid w:val="0072532F"/>
    <w:rsid w:val="00725C8F"/>
    <w:rsid w:val="00730C2A"/>
    <w:rsid w:val="00730EEA"/>
    <w:rsid w:val="00732E7F"/>
    <w:rsid w:val="00742671"/>
    <w:rsid w:val="00743F5C"/>
    <w:rsid w:val="00745F16"/>
    <w:rsid w:val="00750737"/>
    <w:rsid w:val="007601B6"/>
    <w:rsid w:val="007642A0"/>
    <w:rsid w:val="00764E18"/>
    <w:rsid w:val="00765283"/>
    <w:rsid w:val="00777C74"/>
    <w:rsid w:val="00783EB1"/>
    <w:rsid w:val="007A4E3E"/>
    <w:rsid w:val="007A6AB7"/>
    <w:rsid w:val="007A6B7F"/>
    <w:rsid w:val="007A706E"/>
    <w:rsid w:val="007A735B"/>
    <w:rsid w:val="007A792F"/>
    <w:rsid w:val="007B0FA5"/>
    <w:rsid w:val="007B5305"/>
    <w:rsid w:val="007C5116"/>
    <w:rsid w:val="007D04B1"/>
    <w:rsid w:val="007E0D2D"/>
    <w:rsid w:val="007F3BE5"/>
    <w:rsid w:val="007F6093"/>
    <w:rsid w:val="007F6829"/>
    <w:rsid w:val="00803CCC"/>
    <w:rsid w:val="00805E69"/>
    <w:rsid w:val="0080707C"/>
    <w:rsid w:val="0081271E"/>
    <w:rsid w:val="00821603"/>
    <w:rsid w:val="00824089"/>
    <w:rsid w:val="00825015"/>
    <w:rsid w:val="00834EDA"/>
    <w:rsid w:val="008367E6"/>
    <w:rsid w:val="00840F1D"/>
    <w:rsid w:val="008426E0"/>
    <w:rsid w:val="0084571A"/>
    <w:rsid w:val="00850411"/>
    <w:rsid w:val="008639D8"/>
    <w:rsid w:val="008644D0"/>
    <w:rsid w:val="00877F58"/>
    <w:rsid w:val="008867FC"/>
    <w:rsid w:val="0089126B"/>
    <w:rsid w:val="008A03E6"/>
    <w:rsid w:val="008C50A1"/>
    <w:rsid w:val="008D0D42"/>
    <w:rsid w:val="008D520A"/>
    <w:rsid w:val="008E104F"/>
    <w:rsid w:val="008E464C"/>
    <w:rsid w:val="008E5F1E"/>
    <w:rsid w:val="008F0A29"/>
    <w:rsid w:val="008F4316"/>
    <w:rsid w:val="008F7F39"/>
    <w:rsid w:val="009068F0"/>
    <w:rsid w:val="00917BC4"/>
    <w:rsid w:val="00921244"/>
    <w:rsid w:val="009223DF"/>
    <w:rsid w:val="00926798"/>
    <w:rsid w:val="00932A2D"/>
    <w:rsid w:val="009333A7"/>
    <w:rsid w:val="00943D0B"/>
    <w:rsid w:val="00951E1F"/>
    <w:rsid w:val="009640C1"/>
    <w:rsid w:val="0096751B"/>
    <w:rsid w:val="0097085B"/>
    <w:rsid w:val="00972DCB"/>
    <w:rsid w:val="009746A5"/>
    <w:rsid w:val="00976738"/>
    <w:rsid w:val="009827D3"/>
    <w:rsid w:val="0098595C"/>
    <w:rsid w:val="00986F0E"/>
    <w:rsid w:val="0099073D"/>
    <w:rsid w:val="00991F46"/>
    <w:rsid w:val="009A0EC6"/>
    <w:rsid w:val="009A1C69"/>
    <w:rsid w:val="009A2A99"/>
    <w:rsid w:val="009A5B33"/>
    <w:rsid w:val="009C52B1"/>
    <w:rsid w:val="009D0B56"/>
    <w:rsid w:val="009D4643"/>
    <w:rsid w:val="009E53F8"/>
    <w:rsid w:val="009E656E"/>
    <w:rsid w:val="00A1152E"/>
    <w:rsid w:val="00A154E9"/>
    <w:rsid w:val="00A260B7"/>
    <w:rsid w:val="00A31863"/>
    <w:rsid w:val="00A326F9"/>
    <w:rsid w:val="00A41664"/>
    <w:rsid w:val="00A450B0"/>
    <w:rsid w:val="00A50DAE"/>
    <w:rsid w:val="00A52EA2"/>
    <w:rsid w:val="00A552CA"/>
    <w:rsid w:val="00A56292"/>
    <w:rsid w:val="00A60286"/>
    <w:rsid w:val="00A628A3"/>
    <w:rsid w:val="00A62A17"/>
    <w:rsid w:val="00A667E9"/>
    <w:rsid w:val="00A93BC5"/>
    <w:rsid w:val="00A97D03"/>
    <w:rsid w:val="00AA4769"/>
    <w:rsid w:val="00AB038C"/>
    <w:rsid w:val="00AB04D0"/>
    <w:rsid w:val="00AC3C8A"/>
    <w:rsid w:val="00AC49CC"/>
    <w:rsid w:val="00AD191B"/>
    <w:rsid w:val="00AD7681"/>
    <w:rsid w:val="00AF73EE"/>
    <w:rsid w:val="00B10EC5"/>
    <w:rsid w:val="00B15A3A"/>
    <w:rsid w:val="00B15CD0"/>
    <w:rsid w:val="00B23AD7"/>
    <w:rsid w:val="00B244D6"/>
    <w:rsid w:val="00B24C71"/>
    <w:rsid w:val="00B26539"/>
    <w:rsid w:val="00B32020"/>
    <w:rsid w:val="00B34335"/>
    <w:rsid w:val="00B43A5F"/>
    <w:rsid w:val="00B45FE1"/>
    <w:rsid w:val="00B60E58"/>
    <w:rsid w:val="00B61E1F"/>
    <w:rsid w:val="00B63084"/>
    <w:rsid w:val="00B71F43"/>
    <w:rsid w:val="00B7534E"/>
    <w:rsid w:val="00B7681F"/>
    <w:rsid w:val="00B815C1"/>
    <w:rsid w:val="00B820D8"/>
    <w:rsid w:val="00B83E5C"/>
    <w:rsid w:val="00B86DB0"/>
    <w:rsid w:val="00B968F0"/>
    <w:rsid w:val="00BA11C6"/>
    <w:rsid w:val="00BA26DA"/>
    <w:rsid w:val="00BA312B"/>
    <w:rsid w:val="00BA696C"/>
    <w:rsid w:val="00BC0B3E"/>
    <w:rsid w:val="00BC3F5B"/>
    <w:rsid w:val="00BC4D17"/>
    <w:rsid w:val="00BD2AC5"/>
    <w:rsid w:val="00BD3EB5"/>
    <w:rsid w:val="00BD6258"/>
    <w:rsid w:val="00BD7197"/>
    <w:rsid w:val="00BE24D1"/>
    <w:rsid w:val="00BE3C60"/>
    <w:rsid w:val="00BF7FB0"/>
    <w:rsid w:val="00C00AEA"/>
    <w:rsid w:val="00C0105A"/>
    <w:rsid w:val="00C02167"/>
    <w:rsid w:val="00C03833"/>
    <w:rsid w:val="00C139D7"/>
    <w:rsid w:val="00C14DD0"/>
    <w:rsid w:val="00C21E27"/>
    <w:rsid w:val="00C261C6"/>
    <w:rsid w:val="00C329E7"/>
    <w:rsid w:val="00C51939"/>
    <w:rsid w:val="00C53580"/>
    <w:rsid w:val="00C57AA1"/>
    <w:rsid w:val="00C57F9D"/>
    <w:rsid w:val="00C63BB6"/>
    <w:rsid w:val="00C75C29"/>
    <w:rsid w:val="00C77A7F"/>
    <w:rsid w:val="00C82831"/>
    <w:rsid w:val="00C83290"/>
    <w:rsid w:val="00C91C60"/>
    <w:rsid w:val="00CA178D"/>
    <w:rsid w:val="00CA2EB4"/>
    <w:rsid w:val="00CA32C6"/>
    <w:rsid w:val="00CA4280"/>
    <w:rsid w:val="00CA6FD4"/>
    <w:rsid w:val="00CA72FD"/>
    <w:rsid w:val="00CB12F0"/>
    <w:rsid w:val="00CB42C1"/>
    <w:rsid w:val="00CB5F0D"/>
    <w:rsid w:val="00CC6FF0"/>
    <w:rsid w:val="00CE2B19"/>
    <w:rsid w:val="00CE4213"/>
    <w:rsid w:val="00CE4AA9"/>
    <w:rsid w:val="00CE7018"/>
    <w:rsid w:val="00CE7935"/>
    <w:rsid w:val="00CF2BC2"/>
    <w:rsid w:val="00CF4BC3"/>
    <w:rsid w:val="00D04592"/>
    <w:rsid w:val="00D06DE2"/>
    <w:rsid w:val="00D072FC"/>
    <w:rsid w:val="00D11816"/>
    <w:rsid w:val="00D12FAA"/>
    <w:rsid w:val="00D2128E"/>
    <w:rsid w:val="00D21EAE"/>
    <w:rsid w:val="00D3040B"/>
    <w:rsid w:val="00D310F4"/>
    <w:rsid w:val="00D40E61"/>
    <w:rsid w:val="00D431E9"/>
    <w:rsid w:val="00D47ED1"/>
    <w:rsid w:val="00D66E1B"/>
    <w:rsid w:val="00D722A4"/>
    <w:rsid w:val="00D72E22"/>
    <w:rsid w:val="00D77E17"/>
    <w:rsid w:val="00D80D09"/>
    <w:rsid w:val="00D82E36"/>
    <w:rsid w:val="00D83D03"/>
    <w:rsid w:val="00D86006"/>
    <w:rsid w:val="00D90A10"/>
    <w:rsid w:val="00D9371D"/>
    <w:rsid w:val="00DA1AA9"/>
    <w:rsid w:val="00DA25BF"/>
    <w:rsid w:val="00DA2C37"/>
    <w:rsid w:val="00DA3380"/>
    <w:rsid w:val="00DA7A0E"/>
    <w:rsid w:val="00DB0F1C"/>
    <w:rsid w:val="00DC380D"/>
    <w:rsid w:val="00DC71B8"/>
    <w:rsid w:val="00DD2BAD"/>
    <w:rsid w:val="00DE547F"/>
    <w:rsid w:val="00DF1DA7"/>
    <w:rsid w:val="00DF724C"/>
    <w:rsid w:val="00DF73F2"/>
    <w:rsid w:val="00E038AF"/>
    <w:rsid w:val="00E16BEB"/>
    <w:rsid w:val="00E21AE6"/>
    <w:rsid w:val="00E2235A"/>
    <w:rsid w:val="00E25DB4"/>
    <w:rsid w:val="00E27972"/>
    <w:rsid w:val="00E30043"/>
    <w:rsid w:val="00E30B0C"/>
    <w:rsid w:val="00E35D11"/>
    <w:rsid w:val="00E3706C"/>
    <w:rsid w:val="00E42122"/>
    <w:rsid w:val="00E4636C"/>
    <w:rsid w:val="00E54B70"/>
    <w:rsid w:val="00E54E35"/>
    <w:rsid w:val="00E5663A"/>
    <w:rsid w:val="00E57F10"/>
    <w:rsid w:val="00E62748"/>
    <w:rsid w:val="00E63F1A"/>
    <w:rsid w:val="00E6477E"/>
    <w:rsid w:val="00E64E4E"/>
    <w:rsid w:val="00E665CE"/>
    <w:rsid w:val="00E749BF"/>
    <w:rsid w:val="00E76CC5"/>
    <w:rsid w:val="00EA0F7F"/>
    <w:rsid w:val="00EA3D4C"/>
    <w:rsid w:val="00EA4130"/>
    <w:rsid w:val="00EB3C8E"/>
    <w:rsid w:val="00EC6FF5"/>
    <w:rsid w:val="00ED4907"/>
    <w:rsid w:val="00ED4B87"/>
    <w:rsid w:val="00ED5DD3"/>
    <w:rsid w:val="00ED7D05"/>
    <w:rsid w:val="00EE779F"/>
    <w:rsid w:val="00EF7899"/>
    <w:rsid w:val="00F02506"/>
    <w:rsid w:val="00F1497B"/>
    <w:rsid w:val="00F15CEE"/>
    <w:rsid w:val="00F167BD"/>
    <w:rsid w:val="00F20572"/>
    <w:rsid w:val="00F20F6C"/>
    <w:rsid w:val="00F213E3"/>
    <w:rsid w:val="00F272F4"/>
    <w:rsid w:val="00F27AFE"/>
    <w:rsid w:val="00F30F71"/>
    <w:rsid w:val="00F3397E"/>
    <w:rsid w:val="00F36537"/>
    <w:rsid w:val="00F40E79"/>
    <w:rsid w:val="00F42AA1"/>
    <w:rsid w:val="00F449C2"/>
    <w:rsid w:val="00F467EA"/>
    <w:rsid w:val="00F476B2"/>
    <w:rsid w:val="00F47DA3"/>
    <w:rsid w:val="00F519F2"/>
    <w:rsid w:val="00F55C7E"/>
    <w:rsid w:val="00F70524"/>
    <w:rsid w:val="00F713C1"/>
    <w:rsid w:val="00F80160"/>
    <w:rsid w:val="00F80EE3"/>
    <w:rsid w:val="00F82460"/>
    <w:rsid w:val="00F832CA"/>
    <w:rsid w:val="00F8520F"/>
    <w:rsid w:val="00F85826"/>
    <w:rsid w:val="00F86C07"/>
    <w:rsid w:val="00F94188"/>
    <w:rsid w:val="00F94B9B"/>
    <w:rsid w:val="00F9736E"/>
    <w:rsid w:val="00FC3849"/>
    <w:rsid w:val="00FE2E9B"/>
    <w:rsid w:val="00FE66D0"/>
    <w:rsid w:val="00FF198E"/>
    <w:rsid w:val="00FF1AFB"/>
    <w:rsid w:val="00FF1EA4"/>
    <w:rsid w:val="00FF214C"/>
    <w:rsid w:val="00FF48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14"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2F"/>
    <w:pPr>
      <w:spacing w:after="0" w:line="240" w:lineRule="auto"/>
      <w:jc w:val="both"/>
    </w:pPr>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qFormat/>
    <w:rsid w:val="0018762F"/>
    <w:rPr>
      <w:sz w:val="16"/>
    </w:rPr>
  </w:style>
  <w:style w:type="character" w:customStyle="1" w:styleId="En-tteCar">
    <w:name w:val="En-tête Car"/>
    <w:basedOn w:val="Policepardfaut"/>
    <w:link w:val="En-tte"/>
    <w:uiPriority w:val="99"/>
    <w:rsid w:val="0018762F"/>
    <w:rPr>
      <w:rFonts w:ascii="Times New Roman" w:hAnsi="Times New Roman"/>
      <w:sz w:val="16"/>
    </w:rPr>
  </w:style>
  <w:style w:type="paragraph" w:styleId="Pieddepage">
    <w:name w:val="footer"/>
    <w:basedOn w:val="Normal"/>
    <w:link w:val="PieddepageCar"/>
    <w:uiPriority w:val="14"/>
    <w:qFormat/>
    <w:rsid w:val="0018762F"/>
    <w:rPr>
      <w:sz w:val="12"/>
    </w:rPr>
  </w:style>
  <w:style w:type="character" w:customStyle="1" w:styleId="PieddepageCar">
    <w:name w:val="Pied de page Car"/>
    <w:basedOn w:val="Policepardfaut"/>
    <w:link w:val="Pieddepage"/>
    <w:uiPriority w:val="14"/>
    <w:rsid w:val="0018762F"/>
    <w:rPr>
      <w:rFonts w:ascii="Times New Roman" w:hAnsi="Times New Roman"/>
      <w:sz w:val="12"/>
    </w:rPr>
  </w:style>
  <w:style w:type="table" w:styleId="Grilledutableau">
    <w:name w:val="Table Grid"/>
    <w:basedOn w:val="TableauNormal"/>
    <w:uiPriority w:val="59"/>
    <w:rsid w:val="001876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rpsdetexte0">
    <w:name w:val="Corps de texte 0"/>
    <w:basedOn w:val="Normal"/>
    <w:link w:val="Corpsdetexte0Char"/>
    <w:uiPriority w:val="1"/>
    <w:qFormat/>
    <w:rsid w:val="0018762F"/>
    <w:pPr>
      <w:spacing w:after="240"/>
    </w:pPr>
  </w:style>
  <w:style w:type="character" w:styleId="Lienhypertexte">
    <w:name w:val="Hyperlink"/>
    <w:basedOn w:val="Policepardfaut"/>
    <w:uiPriority w:val="99"/>
    <w:qFormat/>
    <w:rsid w:val="0018762F"/>
    <w:rPr>
      <w:rFonts w:ascii="Times New Roman" w:hAnsi="Times New Roman"/>
      <w:color w:val="0000FF" w:themeColor="hyperlink"/>
      <w:sz w:val="22"/>
      <w:u w:val="single"/>
    </w:rPr>
  </w:style>
  <w:style w:type="character" w:customStyle="1" w:styleId="Corpsdetexte0Char">
    <w:name w:val="Corps de texte 0 Char"/>
    <w:basedOn w:val="Policepardfaut"/>
    <w:link w:val="Corpsdetexte0"/>
    <w:uiPriority w:val="1"/>
    <w:rsid w:val="0018762F"/>
    <w:rPr>
      <w:rFonts w:ascii="Times New Roman" w:hAnsi="Times New Roman"/>
    </w:rPr>
  </w:style>
  <w:style w:type="table" w:customStyle="1" w:styleId="Listeclaire1">
    <w:name w:val="Liste claire1"/>
    <w:basedOn w:val="TableauNormal"/>
    <w:uiPriority w:val="61"/>
    <w:rsid w:val="0018762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18762F"/>
    <w:rPr>
      <w:rFonts w:ascii="Tahoma" w:hAnsi="Tahoma" w:cs="Tahoma"/>
      <w:sz w:val="16"/>
      <w:szCs w:val="16"/>
    </w:rPr>
  </w:style>
  <w:style w:type="character" w:customStyle="1" w:styleId="TextedebullesCar">
    <w:name w:val="Texte de bulles Car"/>
    <w:basedOn w:val="Policepardfaut"/>
    <w:link w:val="Textedebulles"/>
    <w:uiPriority w:val="99"/>
    <w:semiHidden/>
    <w:rsid w:val="0018762F"/>
    <w:rPr>
      <w:rFonts w:ascii="Tahoma" w:hAnsi="Tahoma" w:cs="Tahoma"/>
      <w:sz w:val="16"/>
      <w:szCs w:val="16"/>
    </w:rPr>
  </w:style>
  <w:style w:type="paragraph" w:styleId="Rvision">
    <w:name w:val="Revision"/>
    <w:hidden/>
    <w:uiPriority w:val="99"/>
    <w:semiHidden/>
    <w:rsid w:val="00623973"/>
    <w:pPr>
      <w:spacing w:after="0" w:line="240" w:lineRule="auto"/>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4343</Words>
  <Characters>23888</Characters>
  <Application>Microsoft Office Word</Application>
  <DocSecurity>0</DocSecurity>
  <Lines>199</Lines>
  <Paragraphs>56</Paragraphs>
  <ScaleCrop>false</ScaleCrop>
  <Company>GLN</Company>
  <LinksUpToDate>false</LinksUpToDate>
  <CharactersWithSpaces>28175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cp:lastModifiedBy>
  <cp:revision>2</cp:revision>
  <dcterms:created xsi:type="dcterms:W3CDTF">2012-12-11T16:23:00Z</dcterms:created>
  <dcterms:modified xsi:type="dcterms:W3CDTF">2012-12-11T16:23:00Z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GEAAO+/T9t20xwmB+dQ2vaaVXVF0xMocQfbpOfVPmDCawnq2ryWYuY3Vq0D+i7e2gl8F9esNMGiBbVGZ
g+iC681M9tqt5NkzyoBbadydxjLpN5HmODfXNatFsZsQTW/yURUiwA1t+gkO2YJV1TWBjRNAIbUi
+tEIR+63gEpQa7vUExtUgXGA3bCFFoWIF/lV6VjeGQhy9rWzBmFxdNMD73xrRvwNzvflDxYTnKIq
xYCxAESvgMvTroZu2</vt:lpwstr>
  </property>
  <property fmtid="{D5CDD505-2E9C-101B-9397-08002B2CF9AE}" pid="3" name="MAIL_MSG_ID2">
    <vt:lpwstr>QfUOGoifwA7</vt:lpwstr>
  </property>
  <property fmtid="{D5CDD505-2E9C-101B-9397-08002B2CF9AE}" pid="4" name="RESPONSE_SENDER_NAME">
    <vt:lpwstr>gAAAdya76B99d4hLGUR1rQ+8TxTv0GGEPdix</vt:lpwstr>
  </property>
  <property fmtid="{D5CDD505-2E9C-101B-9397-08002B2CF9AE}" pid="5" name="EMAIL_OWNER_ADDRESS">
    <vt:lpwstr>4AAAMz5NUQ6P8J8rv2F+hRjdN/gXUMuZT2BHblqZIRDZiw7YB/HoHF0y1Q==</vt:lpwstr>
  </property>
</Properties>
</file>