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9D7" w:rsidRPr="0018471B" w:rsidRDefault="006B743A" w:rsidP="006B743A">
      <w:pPr>
        <w:pStyle w:val="NormalBold"/>
        <w:keepNext/>
      </w:pPr>
      <w:r w:rsidRPr="006B743A">
        <w:t>Amendment 1</w:t>
      </w:r>
      <w:r w:rsidR="00B719D7" w:rsidRPr="006B743A">
        <w:rPr>
          <w:vanish/>
        </w:rPr>
        <w:t>&lt;/RepeatBlock-By&gt;</w:t>
      </w:r>
    </w:p>
    <w:p w:rsidR="00243A42" w:rsidRPr="0018471B" w:rsidRDefault="00243A42" w:rsidP="00243A42">
      <w:pPr>
        <w:pStyle w:val="NormalBold"/>
        <w:keepNext/>
      </w:pPr>
      <w:r w:rsidRPr="0018471B">
        <w:rPr>
          <w:rStyle w:val="HideTWBExt"/>
          <w:b w:val="0"/>
          <w:noProof w:val="0"/>
          <w:color w:val="auto"/>
        </w:rPr>
        <w:t>&lt;DocAmend&gt;</w:t>
      </w:r>
      <w:r w:rsidRPr="0018471B">
        <w:t xml:space="preserve">Proposal for a </w:t>
      </w:r>
      <w:r>
        <w:t>regulation</w:t>
      </w:r>
      <w:r w:rsidRPr="0018471B">
        <w:rPr>
          <w:rStyle w:val="HideTWBExt"/>
          <w:b w:val="0"/>
          <w:noProof w:val="0"/>
          <w:color w:val="auto"/>
        </w:rPr>
        <w:t>&lt;/DocAmend&gt;</w:t>
      </w:r>
    </w:p>
    <w:p w:rsidR="00243A42" w:rsidRPr="0018471B" w:rsidRDefault="00243A42" w:rsidP="00243A42">
      <w:pPr>
        <w:pStyle w:val="NormalBold"/>
        <w:keepNext/>
      </w:pPr>
      <w:r w:rsidRPr="0018471B">
        <w:t>Recital 26</w:t>
      </w:r>
      <w:r w:rsidRPr="0018471B">
        <w:rPr>
          <w:vanish/>
        </w:rPr>
        <w:t>&lt;Article&gt;ReciR</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243A42" w:rsidRPr="0018471B" w:rsidTr="00297EC1">
        <w:trPr>
          <w:jc w:val="center"/>
        </w:trPr>
        <w:tc>
          <w:tcPr>
            <w:tcW w:w="4876" w:type="dxa"/>
          </w:tcPr>
          <w:p w:rsidR="00243A42" w:rsidRPr="0018471B" w:rsidRDefault="00243A42" w:rsidP="00297EC1">
            <w:pPr>
              <w:pStyle w:val="ColumnHeading"/>
              <w:keepNext/>
              <w:jc w:val="both"/>
            </w:pPr>
          </w:p>
          <w:p w:rsidR="00243A42" w:rsidRPr="0018471B" w:rsidRDefault="00243A42" w:rsidP="00297EC1">
            <w:pPr>
              <w:pStyle w:val="ColumnHeading"/>
              <w:keepNext/>
              <w:jc w:val="both"/>
            </w:pPr>
            <w:r w:rsidRPr="0018471B">
              <w:t>Text proposed by the Commission</w:t>
            </w:r>
          </w:p>
        </w:tc>
        <w:tc>
          <w:tcPr>
            <w:tcW w:w="4876" w:type="dxa"/>
          </w:tcPr>
          <w:p w:rsidR="00243A42" w:rsidRPr="0018471B" w:rsidRDefault="00243A42" w:rsidP="00297EC1">
            <w:pPr>
              <w:pStyle w:val="ColumnHeading"/>
              <w:keepNext/>
            </w:pPr>
          </w:p>
          <w:p w:rsidR="00243A42" w:rsidRPr="0018471B" w:rsidRDefault="00243A42" w:rsidP="00297EC1">
            <w:pPr>
              <w:pStyle w:val="ColumnHeading"/>
              <w:keepNext/>
            </w:pPr>
            <w:r w:rsidRPr="0018471B">
              <w:t>Amendment</w:t>
            </w:r>
          </w:p>
          <w:p w:rsidR="00243A42" w:rsidRPr="0018471B" w:rsidRDefault="00243A42" w:rsidP="00297EC1">
            <w:pPr>
              <w:pStyle w:val="ColumnHeading"/>
              <w:keepNext/>
              <w:jc w:val="left"/>
            </w:pPr>
          </w:p>
        </w:tc>
      </w:tr>
      <w:tr w:rsidR="00243A42" w:rsidRPr="0018471B" w:rsidTr="00297EC1">
        <w:trPr>
          <w:jc w:val="center"/>
        </w:trPr>
        <w:tc>
          <w:tcPr>
            <w:tcW w:w="4876" w:type="dxa"/>
            <w:shd w:val="clear" w:color="auto" w:fill="auto"/>
          </w:tcPr>
          <w:p w:rsidR="00243A42" w:rsidRPr="0018471B" w:rsidRDefault="00243A42" w:rsidP="00297EC1">
            <w:pPr>
              <w:pStyle w:val="Default"/>
              <w:jc w:val="both"/>
              <w:rPr>
                <w:color w:val="auto"/>
              </w:rPr>
            </w:pPr>
            <w:r w:rsidRPr="0018471B">
              <w:rPr>
                <w:color w:val="auto"/>
              </w:rPr>
              <w:t xml:space="preserve">Personal data related to health should include in particular all data pertaining to the health status of a data subject; </w:t>
            </w:r>
            <w:r w:rsidRPr="00243A42">
              <w:rPr>
                <w:b/>
                <w:i/>
                <w:color w:val="auto"/>
              </w:rPr>
              <w:t>information about the registration of the individual for the provision of health services; information about payments or eligibility for healthcare with respect to the individual; a number, symbol, or particular assigned to an individual to uniquely identify the individual for health purposes;</w:t>
            </w:r>
            <w:r w:rsidRPr="0018471B">
              <w:rPr>
                <w:color w:val="auto"/>
              </w:rPr>
              <w:t xml:space="preserve"> any information about the individual collected in the course of the provision of health services to the individual; information derived from the testing or examination of a body part or bodily substance, including biological samples; </w:t>
            </w:r>
            <w:r w:rsidRPr="00243A42">
              <w:rPr>
                <w:b/>
                <w:i/>
                <w:color w:val="auto"/>
              </w:rPr>
              <w:t>identification of a person as provider of healthcare to the individual</w:t>
            </w:r>
            <w:r w:rsidRPr="0018471B">
              <w:rPr>
                <w:color w:val="auto"/>
              </w:rPr>
              <w:t>; or any information on e.g. a disease, disability, disease risk, medical history, clinical treatment, or the actual physiological or biomedical state of the data subject independent of its course</w:t>
            </w:r>
            <w:r w:rsidRPr="00243A42">
              <w:rPr>
                <w:b/>
                <w:i/>
                <w:color w:val="auto"/>
              </w:rPr>
              <w:t>, such as e.g. from a physician or other health professional, a hospital, a medical device, or an in vitro diagnostic test</w:t>
            </w:r>
            <w:r w:rsidRPr="0018471B">
              <w:rPr>
                <w:color w:val="auto"/>
              </w:rPr>
              <w:t>.</w:t>
            </w:r>
            <w:r w:rsidRPr="0018471B">
              <w:rPr>
                <w:rFonts w:ascii="Verdana" w:hAnsi="Verdana"/>
                <w:color w:val="auto"/>
                <w:sz w:val="17"/>
                <w:szCs w:val="17"/>
                <w:lang w:val="en-US" w:eastAsia="en-US"/>
              </w:rPr>
              <w:t xml:space="preserve"> </w:t>
            </w:r>
          </w:p>
        </w:tc>
        <w:tc>
          <w:tcPr>
            <w:tcW w:w="4876" w:type="dxa"/>
          </w:tcPr>
          <w:p w:rsidR="00243A42" w:rsidRPr="0018471B" w:rsidRDefault="00243A42" w:rsidP="00243A42">
            <w:pPr>
              <w:pStyle w:val="Normal6"/>
              <w:jc w:val="both"/>
              <w:rPr>
                <w:szCs w:val="24"/>
              </w:rPr>
            </w:pPr>
            <w:r w:rsidRPr="0018471B">
              <w:rPr>
                <w:szCs w:val="24"/>
                <w:lang w:val="en-US" w:eastAsia="en-US"/>
              </w:rPr>
              <w:t>Personal data related to health should include in particular all data pertaining to the health status of a data subject; any information about the individual collected in the course of the provision of health services to the individual; information derived from the testing or examination of a body part or bodily substance, including biological samples; or any information on e.g. a disease, disability, disease risk, medical history, clinical treatment, or the actual physiological or biomedical state of data subject independent of its course</w:t>
            </w:r>
            <w:r>
              <w:rPr>
                <w:szCs w:val="24"/>
                <w:lang w:val="en-US" w:eastAsia="en-US"/>
              </w:rPr>
              <w:t>.</w:t>
            </w:r>
          </w:p>
        </w:tc>
      </w:tr>
    </w:tbl>
    <w:p w:rsidR="00243A42" w:rsidRDefault="00243A42" w:rsidP="00B719D7">
      <w:pPr>
        <w:pStyle w:val="NormalBold"/>
        <w:keepNext/>
        <w:rPr>
          <w:rStyle w:val="HideTWBExt"/>
          <w:b w:val="0"/>
          <w:noProof w:val="0"/>
          <w:vanish w:val="0"/>
          <w:color w:val="auto"/>
        </w:rPr>
      </w:pPr>
    </w:p>
    <w:p w:rsidR="00B719D7" w:rsidRPr="0018471B" w:rsidRDefault="00B719D7" w:rsidP="00B719D7">
      <w:r w:rsidRPr="0018471B">
        <w:rPr>
          <w:rStyle w:val="HideTWBExt"/>
          <w:noProof w:val="0"/>
          <w:color w:val="auto"/>
        </w:rPr>
        <w:t>&lt;/RepeatBlock-By&gt;&lt;/RepeatBlock-By&gt;</w:t>
      </w:r>
    </w:p>
    <w:p w:rsidR="006B743A" w:rsidRPr="0018471B" w:rsidRDefault="006B743A" w:rsidP="006B743A">
      <w:pPr>
        <w:pStyle w:val="NormalBold"/>
        <w:keepNext/>
      </w:pPr>
      <w:r w:rsidRPr="006B743A">
        <w:t xml:space="preserve">Amendment </w:t>
      </w:r>
      <w:r>
        <w:t>2</w:t>
      </w:r>
      <w:r w:rsidRPr="006B743A">
        <w:rPr>
          <w:vanish/>
        </w:rPr>
        <w:t>&lt;/RepeatBlock-By&gt;</w:t>
      </w:r>
    </w:p>
    <w:p w:rsidR="00B719D7" w:rsidRPr="0018471B" w:rsidRDefault="00B719D7" w:rsidP="00B719D7">
      <w:pPr>
        <w:pStyle w:val="NormalBold"/>
        <w:keepNext/>
      </w:pPr>
      <w:r w:rsidRPr="0018471B">
        <w:rPr>
          <w:rStyle w:val="HideTWBExt"/>
          <w:b w:val="0"/>
          <w:noProof w:val="0"/>
          <w:color w:val="auto"/>
        </w:rPr>
        <w:t>&lt;DocAmend&gt;</w:t>
      </w:r>
      <w:r w:rsidRPr="0018471B">
        <w:t>Proposal for a regulation</w:t>
      </w:r>
      <w:r w:rsidRPr="0018471B">
        <w:rPr>
          <w:rStyle w:val="HideTWBExt"/>
          <w:b w:val="0"/>
          <w:noProof w:val="0"/>
          <w:color w:val="auto"/>
        </w:rPr>
        <w:t>&lt;/DocAmend&gt;</w:t>
      </w:r>
    </w:p>
    <w:p w:rsidR="00B719D7" w:rsidRPr="0018471B" w:rsidRDefault="00B719D7" w:rsidP="00B719D7">
      <w:pPr>
        <w:pStyle w:val="NormalBold"/>
        <w:keepNext/>
      </w:pPr>
      <w:r w:rsidRPr="0018471B">
        <w:t>Article 4</w:t>
      </w:r>
      <w:r w:rsidR="00153665">
        <w:t xml:space="preserve"> – paragraph 1- point 12 </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B719D7" w:rsidRPr="0018471B" w:rsidTr="002C30B9">
        <w:trPr>
          <w:jc w:val="center"/>
        </w:trPr>
        <w:tc>
          <w:tcPr>
            <w:tcW w:w="9752" w:type="dxa"/>
            <w:gridSpan w:val="2"/>
          </w:tcPr>
          <w:p w:rsidR="00B719D7" w:rsidRPr="0018471B" w:rsidRDefault="00B719D7" w:rsidP="00B719D7">
            <w:pPr>
              <w:pStyle w:val="NormalBold"/>
              <w:keepNext/>
            </w:pPr>
          </w:p>
          <w:p w:rsidR="00B719D7" w:rsidRPr="0018471B" w:rsidRDefault="00B719D7" w:rsidP="00B719D7">
            <w:pPr>
              <w:pStyle w:val="NormalBold"/>
              <w:keepNext/>
            </w:pPr>
          </w:p>
        </w:tc>
      </w:tr>
      <w:tr w:rsidR="00B719D7" w:rsidRPr="0018471B" w:rsidTr="002C30B9">
        <w:trPr>
          <w:jc w:val="center"/>
        </w:trPr>
        <w:tc>
          <w:tcPr>
            <w:tcW w:w="4876" w:type="dxa"/>
          </w:tcPr>
          <w:p w:rsidR="00B719D7" w:rsidRPr="0018471B" w:rsidRDefault="00B719D7" w:rsidP="00B719D7">
            <w:pPr>
              <w:pStyle w:val="ColumnHeading"/>
              <w:keepNext/>
            </w:pPr>
            <w:r w:rsidRPr="0018471B">
              <w:t>Text proposed by the Commission</w:t>
            </w:r>
          </w:p>
        </w:tc>
        <w:tc>
          <w:tcPr>
            <w:tcW w:w="4876" w:type="dxa"/>
          </w:tcPr>
          <w:p w:rsidR="00B719D7" w:rsidRPr="0018471B" w:rsidRDefault="00B719D7" w:rsidP="00B719D7">
            <w:pPr>
              <w:pStyle w:val="ColumnHeading"/>
              <w:keepNext/>
            </w:pPr>
            <w:r w:rsidRPr="0018471B">
              <w:t>Amendment</w:t>
            </w:r>
          </w:p>
        </w:tc>
      </w:tr>
      <w:tr w:rsidR="00B719D7" w:rsidRPr="0018471B" w:rsidTr="002C30B9">
        <w:trPr>
          <w:jc w:val="center"/>
        </w:trPr>
        <w:tc>
          <w:tcPr>
            <w:tcW w:w="4876" w:type="dxa"/>
          </w:tcPr>
          <w:p w:rsidR="00B719D7" w:rsidRPr="0018471B" w:rsidRDefault="00B719D7" w:rsidP="00B719D7">
            <w:pPr>
              <w:pStyle w:val="Normal6"/>
              <w:jc w:val="both"/>
              <w:rPr>
                <w:szCs w:val="24"/>
              </w:rPr>
            </w:pPr>
            <w:r w:rsidRPr="0018471B">
              <w:rPr>
                <w:szCs w:val="24"/>
              </w:rPr>
              <w:t>For the purposes of this Regulation:</w:t>
            </w:r>
          </w:p>
          <w:p w:rsidR="00B719D7" w:rsidRPr="0018471B" w:rsidRDefault="00B719D7" w:rsidP="00B719D7">
            <w:pPr>
              <w:pStyle w:val="Normal6"/>
              <w:jc w:val="both"/>
              <w:rPr>
                <w:b/>
                <w:i/>
                <w:szCs w:val="24"/>
              </w:rPr>
            </w:pPr>
            <w:r w:rsidRPr="0018471B">
              <w:rPr>
                <w:szCs w:val="24"/>
              </w:rPr>
              <w:t>(12)</w:t>
            </w:r>
            <w:r w:rsidR="007877D1">
              <w:rPr>
                <w:szCs w:val="24"/>
              </w:rPr>
              <w:t xml:space="preserve"> </w:t>
            </w:r>
            <w:r w:rsidRPr="0018471B">
              <w:rPr>
                <w:szCs w:val="24"/>
              </w:rPr>
              <w:t>“data concerning health” means any information which relates to the physical or mental health of an individual</w:t>
            </w:r>
            <w:r w:rsidRPr="00243A42">
              <w:rPr>
                <w:b/>
                <w:i/>
                <w:szCs w:val="24"/>
              </w:rPr>
              <w:t>, or to the provision of health services to the individual</w:t>
            </w:r>
            <w:r w:rsidRPr="0018471B">
              <w:rPr>
                <w:szCs w:val="24"/>
              </w:rPr>
              <w:t>;</w:t>
            </w:r>
            <w:r w:rsidRPr="0018471B">
              <w:rPr>
                <w:rFonts w:ascii="Verdana" w:hAnsi="Verdana"/>
                <w:sz w:val="17"/>
                <w:szCs w:val="17"/>
                <w:lang w:val="en-US" w:eastAsia="en-US"/>
              </w:rPr>
              <w:t xml:space="preserve"> </w:t>
            </w:r>
          </w:p>
        </w:tc>
        <w:tc>
          <w:tcPr>
            <w:tcW w:w="4876" w:type="dxa"/>
          </w:tcPr>
          <w:p w:rsidR="00B719D7" w:rsidRPr="0018471B" w:rsidRDefault="00B719D7" w:rsidP="00B719D7">
            <w:pPr>
              <w:widowControl/>
              <w:spacing w:line="288" w:lineRule="auto"/>
              <w:jc w:val="both"/>
              <w:rPr>
                <w:szCs w:val="24"/>
                <w:lang w:val="en-US" w:eastAsia="en-US"/>
              </w:rPr>
            </w:pPr>
            <w:r w:rsidRPr="0018471B">
              <w:rPr>
                <w:szCs w:val="24"/>
                <w:lang w:val="en-US" w:eastAsia="en-US"/>
              </w:rPr>
              <w:t>For the purposes of this Regulation:</w:t>
            </w:r>
          </w:p>
          <w:p w:rsidR="00B719D7" w:rsidRPr="0018471B" w:rsidRDefault="00B719D7" w:rsidP="00243A42">
            <w:pPr>
              <w:pStyle w:val="Normal6"/>
              <w:jc w:val="both"/>
              <w:rPr>
                <w:szCs w:val="24"/>
              </w:rPr>
            </w:pPr>
            <w:r w:rsidRPr="0018471B">
              <w:rPr>
                <w:szCs w:val="24"/>
                <w:lang w:val="en-US" w:eastAsia="en-US"/>
              </w:rPr>
              <w:t>(12)</w:t>
            </w:r>
            <w:r w:rsidR="007877D1">
              <w:rPr>
                <w:szCs w:val="24"/>
                <w:lang w:val="en-US" w:eastAsia="en-US"/>
              </w:rPr>
              <w:t xml:space="preserve"> </w:t>
            </w:r>
            <w:r w:rsidRPr="0018471B">
              <w:rPr>
                <w:szCs w:val="24"/>
                <w:lang w:val="en-US" w:eastAsia="en-US"/>
              </w:rPr>
              <w:t>“data concerning health” means any information which relates to the physical or mental health of an individual;</w:t>
            </w:r>
          </w:p>
        </w:tc>
      </w:tr>
    </w:tbl>
    <w:p w:rsidR="006B743A" w:rsidRPr="0018471B" w:rsidRDefault="00B719D7" w:rsidP="006B743A">
      <w:pPr>
        <w:pStyle w:val="NormalBold"/>
        <w:keepNext/>
      </w:pPr>
      <w:r w:rsidRPr="006B743A">
        <w:rPr>
          <w:vanish/>
        </w:rPr>
        <w:lastRenderedPageBreak/>
        <w:t>&lt;/RepeatBlock-By&gt;</w:t>
      </w:r>
      <w:r w:rsidR="006B743A" w:rsidRPr="006B743A">
        <w:t xml:space="preserve">Amendment </w:t>
      </w:r>
      <w:r w:rsidR="006B743A">
        <w:t>3</w:t>
      </w:r>
    </w:p>
    <w:p w:rsidR="00B719D7" w:rsidRPr="0018471B" w:rsidRDefault="00B719D7" w:rsidP="00B719D7">
      <w:pPr>
        <w:pStyle w:val="NormalBold"/>
        <w:keepNext/>
      </w:pPr>
      <w:r w:rsidRPr="0018471B">
        <w:rPr>
          <w:rStyle w:val="HideTWBExt"/>
          <w:b w:val="0"/>
          <w:noProof w:val="0"/>
          <w:color w:val="auto"/>
        </w:rPr>
        <w:t>&lt;DocAmend&gt;</w:t>
      </w:r>
      <w:r w:rsidRPr="0018471B">
        <w:t>Proposal for a regulation</w:t>
      </w:r>
      <w:r w:rsidRPr="0018471B">
        <w:rPr>
          <w:vanish/>
        </w:rPr>
        <w:t>&lt;/DocAmend&gt;</w:t>
      </w:r>
    </w:p>
    <w:p w:rsidR="00B719D7" w:rsidRPr="0018471B" w:rsidRDefault="00B719D7" w:rsidP="00B719D7">
      <w:pPr>
        <w:pStyle w:val="NormalBold"/>
        <w:keepNext/>
      </w:pPr>
      <w:r w:rsidRPr="0018471B">
        <w:t>Article 6</w:t>
      </w:r>
      <w:r w:rsidR="00153665">
        <w:t xml:space="preserve"> – paragraph 1</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18471B" w:rsidRPr="0018471B" w:rsidTr="002C30B9">
        <w:trPr>
          <w:jc w:val="center"/>
        </w:trPr>
        <w:tc>
          <w:tcPr>
            <w:tcW w:w="9752" w:type="dxa"/>
            <w:gridSpan w:val="2"/>
          </w:tcPr>
          <w:p w:rsidR="00B719D7" w:rsidRPr="0018471B" w:rsidRDefault="00B719D7" w:rsidP="00B719D7">
            <w:pPr>
              <w:pStyle w:val="NormalBold"/>
              <w:keepNext/>
            </w:pPr>
          </w:p>
          <w:p w:rsidR="00B719D7" w:rsidRPr="0018471B" w:rsidRDefault="00B719D7" w:rsidP="00B719D7">
            <w:pPr>
              <w:pStyle w:val="NormalBold"/>
              <w:keepNext/>
            </w:pPr>
          </w:p>
        </w:tc>
      </w:tr>
      <w:tr w:rsidR="0018471B" w:rsidRPr="0018471B" w:rsidTr="002C30B9">
        <w:trPr>
          <w:jc w:val="center"/>
        </w:trPr>
        <w:tc>
          <w:tcPr>
            <w:tcW w:w="4876" w:type="dxa"/>
          </w:tcPr>
          <w:p w:rsidR="00B719D7" w:rsidRPr="0018471B" w:rsidRDefault="00B719D7" w:rsidP="00B719D7">
            <w:pPr>
              <w:pStyle w:val="ColumnHeading"/>
              <w:keepNext/>
            </w:pPr>
            <w:r w:rsidRPr="0018471B">
              <w:t>Text proposed by the Commission</w:t>
            </w:r>
          </w:p>
        </w:tc>
        <w:tc>
          <w:tcPr>
            <w:tcW w:w="4876" w:type="dxa"/>
          </w:tcPr>
          <w:p w:rsidR="00B719D7" w:rsidRPr="0018471B" w:rsidRDefault="00B719D7" w:rsidP="00B719D7">
            <w:pPr>
              <w:pStyle w:val="ColumnHeading"/>
              <w:keepNext/>
            </w:pPr>
            <w:r w:rsidRPr="0018471B">
              <w:t>Amendment</w:t>
            </w:r>
          </w:p>
        </w:tc>
      </w:tr>
      <w:tr w:rsidR="0018471B" w:rsidRPr="0018471B" w:rsidTr="002C30B9">
        <w:trPr>
          <w:jc w:val="center"/>
        </w:trPr>
        <w:tc>
          <w:tcPr>
            <w:tcW w:w="4876" w:type="dxa"/>
          </w:tcPr>
          <w:p w:rsidR="00B719D7" w:rsidRPr="0018471B" w:rsidRDefault="00B719D7" w:rsidP="00B719D7">
            <w:pPr>
              <w:widowControl/>
              <w:numPr>
                <w:ilvl w:val="0"/>
                <w:numId w:val="2"/>
              </w:numPr>
              <w:autoSpaceDE w:val="0"/>
              <w:autoSpaceDN w:val="0"/>
              <w:adjustRightInd w:val="0"/>
              <w:jc w:val="both"/>
              <w:rPr>
                <w:szCs w:val="24"/>
              </w:rPr>
            </w:pPr>
            <w:r w:rsidRPr="0018471B">
              <w:rPr>
                <w:szCs w:val="24"/>
              </w:rPr>
              <w:t>Processing of personal data shall be lawful only if and to the extent that at least one of the following applies:</w:t>
            </w:r>
          </w:p>
        </w:tc>
        <w:tc>
          <w:tcPr>
            <w:tcW w:w="4876" w:type="dxa"/>
          </w:tcPr>
          <w:p w:rsidR="0018471B" w:rsidRDefault="00B719D7" w:rsidP="0018471B">
            <w:pPr>
              <w:numPr>
                <w:ilvl w:val="0"/>
                <w:numId w:val="3"/>
              </w:numPr>
              <w:rPr>
                <w:rFonts w:eastAsia="Calibri"/>
                <w:szCs w:val="22"/>
              </w:rPr>
            </w:pPr>
            <w:r w:rsidRPr="0018471B">
              <w:rPr>
                <w:rFonts w:eastAsia="Calibri"/>
                <w:szCs w:val="22"/>
              </w:rPr>
              <w:t xml:space="preserve">Processing of personal data shall be  lawful only if and to the extent that at least one of the following applies: </w:t>
            </w:r>
          </w:p>
          <w:p w:rsidR="00B719D7" w:rsidRPr="0018471B" w:rsidRDefault="00B719D7" w:rsidP="0018471B">
            <w:pPr>
              <w:pStyle w:val="Listenabsatz"/>
              <w:numPr>
                <w:ilvl w:val="0"/>
                <w:numId w:val="7"/>
              </w:numPr>
              <w:rPr>
                <w:rFonts w:eastAsia="Calibri"/>
                <w:szCs w:val="22"/>
              </w:rPr>
            </w:pPr>
            <w:proofErr w:type="gramStart"/>
            <w:r w:rsidRPr="0018471B">
              <w:rPr>
                <w:rFonts w:eastAsia="Calibri"/>
                <w:b/>
                <w:i/>
                <w:szCs w:val="22"/>
              </w:rPr>
              <w:t>processing</w:t>
            </w:r>
            <w:proofErr w:type="gramEnd"/>
            <w:r w:rsidRPr="0018471B">
              <w:rPr>
                <w:rFonts w:eastAsia="Calibri"/>
                <w:b/>
                <w:i/>
                <w:szCs w:val="22"/>
              </w:rPr>
              <w:t xml:space="preserve"> is necessary for the    purposes of preventing and/or  detecting fraud</w:t>
            </w:r>
            <w:r w:rsidRPr="0018471B">
              <w:rPr>
                <w:rFonts w:eastAsia="Calibri"/>
                <w:szCs w:val="22"/>
              </w:rPr>
              <w:t>.</w:t>
            </w:r>
          </w:p>
        </w:tc>
      </w:tr>
      <w:tr w:rsidR="0018471B" w:rsidRPr="0018471B" w:rsidTr="002C30B9">
        <w:trPr>
          <w:jc w:val="center"/>
        </w:trPr>
        <w:tc>
          <w:tcPr>
            <w:tcW w:w="4876" w:type="dxa"/>
          </w:tcPr>
          <w:p w:rsidR="00B719D7" w:rsidRPr="0018471B" w:rsidRDefault="00B719D7" w:rsidP="00B719D7">
            <w:pPr>
              <w:pStyle w:val="Normal6"/>
            </w:pPr>
          </w:p>
        </w:tc>
        <w:tc>
          <w:tcPr>
            <w:tcW w:w="4876" w:type="dxa"/>
          </w:tcPr>
          <w:p w:rsidR="00B719D7" w:rsidRPr="0018471B" w:rsidRDefault="00B719D7" w:rsidP="00B719D7">
            <w:pPr>
              <w:pStyle w:val="Normal6"/>
              <w:rPr>
                <w:b/>
                <w:i/>
              </w:rPr>
            </w:pPr>
          </w:p>
        </w:tc>
      </w:tr>
    </w:tbl>
    <w:p w:rsidR="0031429A" w:rsidRDefault="0031429A" w:rsidP="00B719D7">
      <w:pPr>
        <w:rPr>
          <w:rStyle w:val="HideTWBExt"/>
          <w:noProof w:val="0"/>
          <w:vanish w:val="0"/>
          <w:color w:val="auto"/>
        </w:rPr>
      </w:pPr>
    </w:p>
    <w:p w:rsidR="006B743A" w:rsidRPr="0018471B" w:rsidRDefault="006B743A" w:rsidP="006B743A">
      <w:pPr>
        <w:pStyle w:val="NormalBold"/>
        <w:keepNext/>
      </w:pPr>
      <w:r w:rsidRPr="006B743A">
        <w:t xml:space="preserve">Amendment </w:t>
      </w:r>
      <w:r>
        <w:t>4</w:t>
      </w:r>
      <w:r w:rsidRPr="006B743A">
        <w:rPr>
          <w:vanish/>
        </w:rPr>
        <w:t>&lt;/RepeatBlock-By&gt;</w:t>
      </w:r>
    </w:p>
    <w:p w:rsidR="006B743A" w:rsidRPr="0018471B" w:rsidRDefault="006B743A" w:rsidP="006B743A">
      <w:pPr>
        <w:pStyle w:val="NormalBold"/>
        <w:keepNext/>
      </w:pPr>
      <w:r w:rsidRPr="0018471B">
        <w:rPr>
          <w:rStyle w:val="HideTWBExt"/>
          <w:b w:val="0"/>
          <w:noProof w:val="0"/>
          <w:color w:val="auto"/>
        </w:rPr>
        <w:t>&lt;DocAmend&gt;</w:t>
      </w:r>
      <w:r w:rsidRPr="0018471B">
        <w:t>Proposal for a regulation</w:t>
      </w:r>
      <w:r w:rsidRPr="0018471B">
        <w:rPr>
          <w:rStyle w:val="HideTWBExt"/>
          <w:b w:val="0"/>
          <w:noProof w:val="0"/>
          <w:color w:val="auto"/>
        </w:rPr>
        <w:t>&lt;/DocAmend&gt;</w:t>
      </w:r>
    </w:p>
    <w:p w:rsidR="006B743A" w:rsidRPr="0018471B" w:rsidRDefault="006B743A" w:rsidP="006B743A">
      <w:pPr>
        <w:pStyle w:val="NormalBold"/>
        <w:keepNext/>
      </w:pPr>
      <w:r w:rsidRPr="0018471B">
        <w:rPr>
          <w:vanish/>
        </w:rPr>
        <w:t>&lt;Article&gt;Recital</w:t>
      </w:r>
      <w:r w:rsidRPr="0018471B">
        <w:t xml:space="preserve">Article 7 </w:t>
      </w:r>
      <w:r w:rsidR="00153665">
        <w:t>– paragraph 3</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6B743A" w:rsidRPr="0018471B" w:rsidTr="000374D5">
        <w:trPr>
          <w:jc w:val="center"/>
        </w:trPr>
        <w:tc>
          <w:tcPr>
            <w:tcW w:w="9752" w:type="dxa"/>
            <w:gridSpan w:val="2"/>
          </w:tcPr>
          <w:p w:rsidR="006B743A" w:rsidRPr="0018471B" w:rsidRDefault="006B743A" w:rsidP="000374D5">
            <w:pPr>
              <w:pStyle w:val="NormalBold"/>
              <w:keepNext/>
            </w:pPr>
          </w:p>
          <w:p w:rsidR="006B743A" w:rsidRPr="0018471B" w:rsidRDefault="006B743A" w:rsidP="000374D5">
            <w:pPr>
              <w:pStyle w:val="NormalBold"/>
              <w:keepNext/>
            </w:pPr>
          </w:p>
        </w:tc>
      </w:tr>
      <w:tr w:rsidR="006B743A" w:rsidRPr="0018471B" w:rsidTr="000374D5">
        <w:trPr>
          <w:jc w:val="center"/>
        </w:trPr>
        <w:tc>
          <w:tcPr>
            <w:tcW w:w="4876" w:type="dxa"/>
          </w:tcPr>
          <w:p w:rsidR="006B743A" w:rsidRPr="0018471B" w:rsidRDefault="006B743A" w:rsidP="000374D5">
            <w:pPr>
              <w:pStyle w:val="ColumnHeading"/>
              <w:keepNext/>
            </w:pPr>
            <w:r w:rsidRPr="0018471B">
              <w:t>Text proposed by the Commission</w:t>
            </w:r>
          </w:p>
          <w:p w:rsidR="006B743A" w:rsidRPr="0018471B" w:rsidRDefault="006B743A" w:rsidP="000374D5">
            <w:pPr>
              <w:pStyle w:val="ColumnHeading"/>
              <w:keepNext/>
              <w:jc w:val="left"/>
            </w:pPr>
          </w:p>
        </w:tc>
        <w:tc>
          <w:tcPr>
            <w:tcW w:w="4876" w:type="dxa"/>
          </w:tcPr>
          <w:p w:rsidR="006B743A" w:rsidRPr="0018471B" w:rsidRDefault="006B743A" w:rsidP="000374D5">
            <w:pPr>
              <w:pStyle w:val="ColumnHeading"/>
              <w:keepNext/>
            </w:pPr>
            <w:r w:rsidRPr="0018471B">
              <w:t>Amendment</w:t>
            </w:r>
          </w:p>
        </w:tc>
      </w:tr>
      <w:tr w:rsidR="006B743A" w:rsidRPr="0018471B" w:rsidTr="000374D5">
        <w:trPr>
          <w:jc w:val="center"/>
        </w:trPr>
        <w:tc>
          <w:tcPr>
            <w:tcW w:w="4876" w:type="dxa"/>
          </w:tcPr>
          <w:p w:rsidR="006B743A" w:rsidRPr="0018471B" w:rsidRDefault="006B743A" w:rsidP="000374D5">
            <w:pPr>
              <w:pStyle w:val="Normal6"/>
              <w:jc w:val="both"/>
              <w:rPr>
                <w:szCs w:val="24"/>
              </w:rPr>
            </w:pPr>
            <w:r w:rsidRPr="0018471B">
              <w:rPr>
                <w:szCs w:val="24"/>
              </w:rPr>
              <w:t>3. The data subject shall have the right to withdraw his or her consent at any time. The withdrawal of consent shall not affect the lawfulness of processing based on consent before its withdrawal.</w:t>
            </w:r>
          </w:p>
        </w:tc>
        <w:tc>
          <w:tcPr>
            <w:tcW w:w="4876" w:type="dxa"/>
          </w:tcPr>
          <w:p w:rsidR="006B743A" w:rsidRPr="0036195E" w:rsidRDefault="006B743A" w:rsidP="00063950">
            <w:pPr>
              <w:widowControl/>
              <w:autoSpaceDE w:val="0"/>
              <w:autoSpaceDN w:val="0"/>
              <w:adjustRightInd w:val="0"/>
              <w:jc w:val="both"/>
              <w:textAlignment w:val="center"/>
              <w:rPr>
                <w:b/>
                <w:i/>
                <w:szCs w:val="24"/>
                <w:lang w:val="en-US" w:eastAsia="en-US"/>
              </w:rPr>
            </w:pPr>
            <w:r>
              <w:rPr>
                <w:szCs w:val="24"/>
                <w:lang w:val="en-US" w:eastAsia="en-US"/>
              </w:rPr>
              <w:t xml:space="preserve">3. </w:t>
            </w:r>
            <w:r w:rsidRPr="0036195E">
              <w:rPr>
                <w:szCs w:val="24"/>
                <w:lang w:val="en-US" w:eastAsia="en-US"/>
              </w:rPr>
              <w:t xml:space="preserve">The data subject shall have the right to withdraw his or her consent at any time </w:t>
            </w:r>
            <w:r w:rsidRPr="0036195E">
              <w:rPr>
                <w:b/>
                <w:i/>
                <w:szCs w:val="24"/>
                <w:lang w:val="en-US" w:eastAsia="en-US"/>
              </w:rPr>
              <w:t xml:space="preserve">except when the processing of personal data is necessary: </w:t>
            </w:r>
          </w:p>
          <w:p w:rsidR="006B743A" w:rsidRPr="0018471B" w:rsidRDefault="006B743A" w:rsidP="00063950">
            <w:pPr>
              <w:pStyle w:val="Listenabsatz"/>
              <w:widowControl/>
              <w:numPr>
                <w:ilvl w:val="0"/>
                <w:numId w:val="6"/>
              </w:numPr>
              <w:autoSpaceDE w:val="0"/>
              <w:autoSpaceDN w:val="0"/>
              <w:adjustRightInd w:val="0"/>
              <w:jc w:val="both"/>
              <w:textAlignment w:val="center"/>
              <w:rPr>
                <w:b/>
                <w:i/>
                <w:szCs w:val="24"/>
                <w:lang w:val="en-US" w:eastAsia="en-US"/>
              </w:rPr>
            </w:pPr>
            <w:r w:rsidRPr="0018471B">
              <w:rPr>
                <w:b/>
                <w:i/>
                <w:szCs w:val="24"/>
                <w:lang w:val="en-US" w:eastAsia="en-US"/>
              </w:rPr>
              <w:t xml:space="preserve">for the execution of the contract, or </w:t>
            </w:r>
          </w:p>
          <w:p w:rsidR="006B743A" w:rsidRDefault="006B743A" w:rsidP="00063950">
            <w:pPr>
              <w:pStyle w:val="Listenabsatz"/>
              <w:widowControl/>
              <w:numPr>
                <w:ilvl w:val="0"/>
                <w:numId w:val="6"/>
              </w:numPr>
              <w:autoSpaceDE w:val="0"/>
              <w:autoSpaceDN w:val="0"/>
              <w:adjustRightInd w:val="0"/>
              <w:jc w:val="both"/>
              <w:textAlignment w:val="center"/>
              <w:rPr>
                <w:b/>
                <w:i/>
                <w:szCs w:val="24"/>
                <w:lang w:val="en-US" w:eastAsia="en-US"/>
              </w:rPr>
            </w:pPr>
            <w:r w:rsidRPr="0018471B">
              <w:rPr>
                <w:b/>
                <w:i/>
                <w:szCs w:val="24"/>
                <w:lang w:val="en-US" w:eastAsia="en-US"/>
              </w:rPr>
              <w:t xml:space="preserve">for compliance with legal obligations or </w:t>
            </w:r>
          </w:p>
          <w:p w:rsidR="006B743A" w:rsidRPr="0018471B" w:rsidRDefault="006B743A" w:rsidP="00063950">
            <w:pPr>
              <w:pStyle w:val="Listenabsatz"/>
              <w:widowControl/>
              <w:numPr>
                <w:ilvl w:val="0"/>
                <w:numId w:val="6"/>
              </w:numPr>
              <w:autoSpaceDE w:val="0"/>
              <w:autoSpaceDN w:val="0"/>
              <w:adjustRightInd w:val="0"/>
              <w:jc w:val="both"/>
              <w:textAlignment w:val="center"/>
              <w:rPr>
                <w:b/>
                <w:i/>
                <w:szCs w:val="24"/>
                <w:lang w:val="en-US" w:eastAsia="en-US"/>
              </w:rPr>
            </w:pPr>
            <w:r w:rsidRPr="0018471B">
              <w:rPr>
                <w:b/>
                <w:i/>
                <w:szCs w:val="24"/>
                <w:lang w:val="en-US" w:eastAsia="en-US"/>
              </w:rPr>
              <w:t>for preventing and/or detecting fraud</w:t>
            </w:r>
          </w:p>
          <w:p w:rsidR="006B743A" w:rsidRPr="0018471B" w:rsidRDefault="006B743A" w:rsidP="00063950">
            <w:pPr>
              <w:pStyle w:val="Normal6"/>
              <w:jc w:val="both"/>
              <w:rPr>
                <w:szCs w:val="24"/>
              </w:rPr>
            </w:pPr>
            <w:r w:rsidRPr="0018471B">
              <w:rPr>
                <w:szCs w:val="24"/>
              </w:rPr>
              <w:t xml:space="preserve">The withdrawal of consent shall not affect the lawfulness of processing based on consent before its withdrawal. </w:t>
            </w:r>
          </w:p>
        </w:tc>
      </w:tr>
    </w:tbl>
    <w:p w:rsidR="006B743A" w:rsidRDefault="006B743A" w:rsidP="006B743A">
      <w:pPr>
        <w:pStyle w:val="NormalBold"/>
        <w:keepNext/>
        <w:rPr>
          <w:rStyle w:val="HideTWBExt"/>
          <w:b w:val="0"/>
          <w:noProof w:val="0"/>
          <w:vanish w:val="0"/>
          <w:color w:val="auto"/>
        </w:rPr>
      </w:pPr>
    </w:p>
    <w:p w:rsidR="006B743A" w:rsidRPr="0018471B" w:rsidRDefault="006B743A" w:rsidP="006B743A">
      <w:pPr>
        <w:pStyle w:val="NormalBold"/>
        <w:keepNext/>
      </w:pPr>
      <w:r w:rsidRPr="006B743A">
        <w:t xml:space="preserve">Amendment </w:t>
      </w:r>
      <w:r>
        <w:t>5</w:t>
      </w:r>
      <w:r w:rsidRPr="006B743A">
        <w:rPr>
          <w:vanish/>
        </w:rPr>
        <w:t>&lt;/RepeatBlock-By&gt;</w:t>
      </w:r>
    </w:p>
    <w:p w:rsidR="006B743A" w:rsidRPr="0018471B" w:rsidRDefault="006B743A" w:rsidP="006B743A">
      <w:pPr>
        <w:pStyle w:val="NormalBold"/>
        <w:keepNext/>
      </w:pPr>
      <w:r w:rsidRPr="0018471B">
        <w:rPr>
          <w:rStyle w:val="HideTWBExt"/>
          <w:b w:val="0"/>
          <w:noProof w:val="0"/>
          <w:color w:val="auto"/>
        </w:rPr>
        <w:t>&lt;DocAmend&gt;</w:t>
      </w:r>
      <w:r w:rsidRPr="0018471B">
        <w:t>Proposal for a regulation</w:t>
      </w:r>
      <w:r w:rsidRPr="0018471B">
        <w:rPr>
          <w:rStyle w:val="HideTWBExt"/>
          <w:b w:val="0"/>
          <w:noProof w:val="0"/>
          <w:color w:val="auto"/>
        </w:rPr>
        <w:t>&lt;/DocAmend&gt;</w:t>
      </w:r>
    </w:p>
    <w:p w:rsidR="006B743A" w:rsidRPr="0018471B" w:rsidRDefault="006B743A" w:rsidP="006B743A">
      <w:pPr>
        <w:pStyle w:val="NormalBold"/>
        <w:keepNext/>
      </w:pPr>
      <w:r w:rsidRPr="0018471B">
        <w:t>Article 7</w:t>
      </w:r>
      <w:r w:rsidR="00153665">
        <w:t xml:space="preserve"> – paragraph 4</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6B743A" w:rsidRPr="0018471B" w:rsidTr="000374D5">
        <w:trPr>
          <w:jc w:val="center"/>
        </w:trPr>
        <w:tc>
          <w:tcPr>
            <w:tcW w:w="9752" w:type="dxa"/>
            <w:gridSpan w:val="2"/>
          </w:tcPr>
          <w:p w:rsidR="006B743A" w:rsidRPr="0018471B" w:rsidRDefault="006B743A" w:rsidP="000374D5">
            <w:pPr>
              <w:pStyle w:val="NormalBold"/>
            </w:pPr>
          </w:p>
        </w:tc>
      </w:tr>
      <w:tr w:rsidR="006B743A" w:rsidRPr="0018471B" w:rsidTr="000374D5">
        <w:trPr>
          <w:jc w:val="center"/>
        </w:trPr>
        <w:tc>
          <w:tcPr>
            <w:tcW w:w="4876" w:type="dxa"/>
          </w:tcPr>
          <w:p w:rsidR="006B743A" w:rsidRPr="00063950" w:rsidRDefault="006B743A" w:rsidP="00063950">
            <w:pPr>
              <w:pStyle w:val="ColumnHeading"/>
              <w:keepNext/>
            </w:pPr>
            <w:r w:rsidRPr="0018471B">
              <w:t>Text proposed by the Commission</w:t>
            </w:r>
          </w:p>
        </w:tc>
        <w:tc>
          <w:tcPr>
            <w:tcW w:w="4876" w:type="dxa"/>
          </w:tcPr>
          <w:p w:rsidR="006B743A" w:rsidRPr="0018471B" w:rsidRDefault="006B743A" w:rsidP="000374D5">
            <w:pPr>
              <w:pStyle w:val="ColumnHeading"/>
              <w:keepNext/>
            </w:pPr>
            <w:r w:rsidRPr="0018471B">
              <w:t>Amendment</w:t>
            </w:r>
          </w:p>
        </w:tc>
      </w:tr>
      <w:tr w:rsidR="006B743A" w:rsidRPr="0018471B" w:rsidTr="000374D5">
        <w:trPr>
          <w:jc w:val="center"/>
        </w:trPr>
        <w:tc>
          <w:tcPr>
            <w:tcW w:w="4876" w:type="dxa"/>
          </w:tcPr>
          <w:p w:rsidR="006B743A" w:rsidRPr="00243A42" w:rsidRDefault="006B743A" w:rsidP="000374D5">
            <w:pPr>
              <w:widowControl/>
              <w:autoSpaceDE w:val="0"/>
              <w:autoSpaceDN w:val="0"/>
              <w:adjustRightInd w:val="0"/>
              <w:jc w:val="both"/>
              <w:rPr>
                <w:b/>
                <w:i/>
                <w:szCs w:val="24"/>
              </w:rPr>
            </w:pPr>
            <w:r w:rsidRPr="00243A42">
              <w:rPr>
                <w:b/>
                <w:i/>
                <w:szCs w:val="24"/>
              </w:rPr>
              <w:t xml:space="preserve">4. Consent shall not provide a legal basis for processing, where there is a significant imbalance between the position of the data subject and controller. </w:t>
            </w:r>
          </w:p>
          <w:p w:rsidR="006B743A" w:rsidRPr="0018471B" w:rsidRDefault="006B743A" w:rsidP="000374D5">
            <w:pPr>
              <w:widowControl/>
              <w:autoSpaceDE w:val="0"/>
              <w:autoSpaceDN w:val="0"/>
              <w:adjustRightInd w:val="0"/>
              <w:jc w:val="both"/>
            </w:pPr>
          </w:p>
        </w:tc>
        <w:tc>
          <w:tcPr>
            <w:tcW w:w="4876" w:type="dxa"/>
          </w:tcPr>
          <w:p w:rsidR="006B743A" w:rsidRPr="00243A42" w:rsidRDefault="006B743A" w:rsidP="000374D5">
            <w:pPr>
              <w:widowControl/>
              <w:autoSpaceDE w:val="0"/>
              <w:autoSpaceDN w:val="0"/>
              <w:adjustRightInd w:val="0"/>
              <w:jc w:val="both"/>
              <w:rPr>
                <w:b/>
                <w:i/>
                <w:szCs w:val="24"/>
              </w:rPr>
            </w:pPr>
            <w:r w:rsidRPr="00243A42">
              <w:rPr>
                <w:b/>
                <w:i/>
                <w:szCs w:val="24"/>
                <w:lang w:val="en-US" w:eastAsia="en-US"/>
              </w:rPr>
              <w:t>deleted</w:t>
            </w:r>
          </w:p>
        </w:tc>
      </w:tr>
    </w:tbl>
    <w:p w:rsidR="00063950" w:rsidRPr="0018471B" w:rsidRDefault="00063950" w:rsidP="00063950">
      <w:pPr>
        <w:pStyle w:val="NormalBold"/>
        <w:keepNext/>
      </w:pPr>
      <w:r w:rsidRPr="006B743A">
        <w:lastRenderedPageBreak/>
        <w:t xml:space="preserve">Amendment </w:t>
      </w:r>
      <w:r>
        <w:t>6</w:t>
      </w:r>
      <w:r w:rsidRPr="006B743A">
        <w:rPr>
          <w:vanish/>
        </w:rPr>
        <w:t>&lt;/RepeatBlock-By&gt;</w:t>
      </w:r>
    </w:p>
    <w:p w:rsidR="00B719D7" w:rsidRPr="0018471B" w:rsidRDefault="00B719D7" w:rsidP="00063950">
      <w:pPr>
        <w:pStyle w:val="NormalBold"/>
        <w:keepNext/>
      </w:pPr>
      <w:r w:rsidRPr="00063950">
        <w:rPr>
          <w:vanish/>
        </w:rPr>
        <w:t>&lt;/RepeatBlock-By&gt;&lt;DocAmend&gt;</w:t>
      </w:r>
      <w:r w:rsidRPr="0018471B">
        <w:t>Proposal for a regulation</w:t>
      </w:r>
      <w:r w:rsidRPr="00063950">
        <w:rPr>
          <w:vanish/>
        </w:rPr>
        <w:t>&lt;/DocAmend&gt;</w:t>
      </w:r>
    </w:p>
    <w:p w:rsidR="00B719D7" w:rsidRPr="0018471B" w:rsidRDefault="00B719D7" w:rsidP="00B719D7">
      <w:pPr>
        <w:pStyle w:val="NormalBold"/>
        <w:keepNext/>
      </w:pPr>
      <w:r w:rsidRPr="0018471B">
        <w:t>Article 9</w:t>
      </w:r>
      <w:r w:rsidR="000875E4">
        <w:t xml:space="preserve"> </w:t>
      </w:r>
      <w:r w:rsidR="00153665">
        <w:t>– paragraph 2</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B719D7" w:rsidRPr="0018471B" w:rsidTr="002C30B9">
        <w:trPr>
          <w:jc w:val="center"/>
        </w:trPr>
        <w:tc>
          <w:tcPr>
            <w:tcW w:w="9752" w:type="dxa"/>
            <w:gridSpan w:val="2"/>
          </w:tcPr>
          <w:p w:rsidR="00B719D7" w:rsidRPr="0018471B" w:rsidRDefault="00B719D7" w:rsidP="00B719D7">
            <w:pPr>
              <w:pStyle w:val="NormalBold"/>
              <w:keepNext/>
            </w:pPr>
          </w:p>
        </w:tc>
      </w:tr>
      <w:tr w:rsidR="00B719D7" w:rsidRPr="0018471B" w:rsidTr="002C30B9">
        <w:trPr>
          <w:jc w:val="center"/>
        </w:trPr>
        <w:tc>
          <w:tcPr>
            <w:tcW w:w="4876" w:type="dxa"/>
          </w:tcPr>
          <w:p w:rsidR="00B719D7" w:rsidRPr="0018471B" w:rsidRDefault="00B719D7" w:rsidP="00B719D7">
            <w:pPr>
              <w:pStyle w:val="ColumnHeading"/>
              <w:keepNext/>
            </w:pPr>
            <w:r w:rsidRPr="0018471B">
              <w:t>Text proposed by the Commission</w:t>
            </w:r>
          </w:p>
          <w:p w:rsidR="00B719D7" w:rsidRPr="0018471B" w:rsidRDefault="00B719D7" w:rsidP="00B719D7">
            <w:pPr>
              <w:pStyle w:val="ColumnHeading"/>
              <w:keepNext/>
              <w:jc w:val="left"/>
            </w:pPr>
          </w:p>
        </w:tc>
        <w:tc>
          <w:tcPr>
            <w:tcW w:w="4876" w:type="dxa"/>
          </w:tcPr>
          <w:p w:rsidR="00B719D7" w:rsidRPr="0018471B" w:rsidRDefault="00B719D7" w:rsidP="00B719D7">
            <w:pPr>
              <w:pStyle w:val="ColumnHeading"/>
              <w:keepNext/>
            </w:pPr>
            <w:r w:rsidRPr="0018471B">
              <w:t>Amendment</w:t>
            </w:r>
          </w:p>
        </w:tc>
      </w:tr>
      <w:tr w:rsidR="0018471B" w:rsidRPr="0018471B" w:rsidTr="002C30B9">
        <w:trPr>
          <w:jc w:val="center"/>
        </w:trPr>
        <w:tc>
          <w:tcPr>
            <w:tcW w:w="4876" w:type="dxa"/>
          </w:tcPr>
          <w:p w:rsidR="00B719D7" w:rsidRPr="0018471B" w:rsidRDefault="00B719D7" w:rsidP="00B719D7">
            <w:pPr>
              <w:pStyle w:val="Normal6"/>
              <w:numPr>
                <w:ilvl w:val="0"/>
                <w:numId w:val="4"/>
              </w:numPr>
              <w:jc w:val="both"/>
              <w:rPr>
                <w:szCs w:val="24"/>
              </w:rPr>
            </w:pPr>
            <w:r w:rsidRPr="0018471B">
              <w:rPr>
                <w:szCs w:val="24"/>
              </w:rPr>
              <w:t xml:space="preserve">The processing of personal data, revealing care or ethnic origin, political opinions, religion or belief, trade-union membership, and the processing of genetic data or data concerning health or sex life or criminal convictions or related security measures shall be prohibited. </w:t>
            </w:r>
          </w:p>
          <w:p w:rsidR="00B719D7" w:rsidRPr="0018471B" w:rsidRDefault="00B719D7" w:rsidP="00B719D7">
            <w:pPr>
              <w:widowControl/>
              <w:numPr>
                <w:ilvl w:val="0"/>
                <w:numId w:val="4"/>
              </w:numPr>
              <w:autoSpaceDE w:val="0"/>
              <w:autoSpaceDN w:val="0"/>
              <w:adjustRightInd w:val="0"/>
              <w:spacing w:line="288" w:lineRule="auto"/>
              <w:jc w:val="both"/>
              <w:rPr>
                <w:szCs w:val="24"/>
                <w:lang w:val="en-US" w:eastAsia="en-US"/>
              </w:rPr>
            </w:pPr>
            <w:r w:rsidRPr="0018471B">
              <w:rPr>
                <w:szCs w:val="24"/>
                <w:lang w:val="en-US" w:eastAsia="en-US"/>
              </w:rPr>
              <w:t>Paragraph 1 shall not apply where:</w:t>
            </w:r>
          </w:p>
          <w:p w:rsidR="00B719D7" w:rsidRPr="0018471B" w:rsidRDefault="00B719D7" w:rsidP="00A77CA2">
            <w:pPr>
              <w:widowControl/>
              <w:autoSpaceDE w:val="0"/>
              <w:autoSpaceDN w:val="0"/>
              <w:adjustRightInd w:val="0"/>
              <w:ind w:left="709"/>
            </w:pPr>
            <w:r w:rsidRPr="0018471B">
              <w:rPr>
                <w:szCs w:val="24"/>
                <w:lang w:val="en-US" w:eastAsia="en-US"/>
              </w:rPr>
              <w:t>-</w:t>
            </w:r>
          </w:p>
        </w:tc>
        <w:tc>
          <w:tcPr>
            <w:tcW w:w="4876" w:type="dxa"/>
          </w:tcPr>
          <w:p w:rsidR="00B719D7" w:rsidRPr="00243A42" w:rsidRDefault="00B719D7" w:rsidP="00153665">
            <w:pPr>
              <w:pStyle w:val="Normal6"/>
              <w:numPr>
                <w:ilvl w:val="0"/>
                <w:numId w:val="9"/>
              </w:numPr>
              <w:jc w:val="both"/>
              <w:rPr>
                <w:szCs w:val="24"/>
              </w:rPr>
            </w:pPr>
            <w:r w:rsidRPr="00243A42">
              <w:rPr>
                <w:szCs w:val="24"/>
              </w:rPr>
              <w:t xml:space="preserve">The processing of personal data, revealing care or ethnic origin, political opinions, religion or belief, trade-union membership, and the processing of genetic data or data concerning health or sex life or criminal convictions or related security measures shall be prohibited. </w:t>
            </w:r>
          </w:p>
          <w:p w:rsidR="0018471B" w:rsidRPr="00153665" w:rsidRDefault="00B719D7" w:rsidP="00153665">
            <w:pPr>
              <w:pStyle w:val="Listenabsatz"/>
              <w:widowControl/>
              <w:numPr>
                <w:ilvl w:val="0"/>
                <w:numId w:val="9"/>
              </w:numPr>
              <w:autoSpaceDE w:val="0"/>
              <w:autoSpaceDN w:val="0"/>
              <w:adjustRightInd w:val="0"/>
              <w:spacing w:line="288" w:lineRule="auto"/>
              <w:jc w:val="both"/>
              <w:rPr>
                <w:szCs w:val="24"/>
                <w:lang w:val="en-US" w:eastAsia="en-US"/>
              </w:rPr>
            </w:pPr>
            <w:r w:rsidRPr="00153665">
              <w:rPr>
                <w:szCs w:val="24"/>
                <w:lang w:val="en-US" w:eastAsia="en-US"/>
              </w:rPr>
              <w:t>Paragraph 1 shall not apply where:</w:t>
            </w:r>
          </w:p>
          <w:p w:rsidR="00B719D7" w:rsidRPr="007877D1" w:rsidRDefault="007877D1" w:rsidP="007877D1">
            <w:pPr>
              <w:ind w:left="1078" w:hanging="358"/>
              <w:rPr>
                <w:szCs w:val="24"/>
                <w:lang w:val="en-US" w:eastAsia="en-US"/>
              </w:rPr>
            </w:pPr>
            <w:r w:rsidRPr="007877D1">
              <w:rPr>
                <w:rFonts w:eastAsia="Calibri"/>
                <w:b/>
                <w:i/>
                <w:szCs w:val="24"/>
                <w:lang w:val="en-US" w:eastAsia="en-US"/>
              </w:rPr>
              <w:t>(k)</w:t>
            </w:r>
            <w:r w:rsidRPr="007877D1">
              <w:rPr>
                <w:rFonts w:eastAsia="Calibri"/>
                <w:b/>
                <w:i/>
                <w:szCs w:val="24"/>
                <w:lang w:eastAsia="en-US"/>
              </w:rPr>
              <w:t xml:space="preserve"> </w:t>
            </w:r>
            <w:r w:rsidR="00B719D7" w:rsidRPr="007877D1">
              <w:rPr>
                <w:rFonts w:eastAsia="Calibri"/>
                <w:b/>
                <w:i/>
                <w:szCs w:val="22"/>
              </w:rPr>
              <w:t>Processing</w:t>
            </w:r>
            <w:r w:rsidR="00B719D7" w:rsidRPr="007877D1">
              <w:rPr>
                <w:rFonts w:eastAsia="Calibri"/>
                <w:b/>
                <w:i/>
                <w:szCs w:val="24"/>
                <w:lang w:eastAsia="en-US"/>
              </w:rPr>
              <w:t xml:space="preserve"> is necessary for the purposes of preventing and/or detecting fraud</w:t>
            </w:r>
            <w:r w:rsidR="00B719D7" w:rsidRPr="007877D1">
              <w:rPr>
                <w:rFonts w:eastAsia="Calibri"/>
                <w:szCs w:val="24"/>
                <w:lang w:eastAsia="en-US"/>
              </w:rPr>
              <w:t>.</w:t>
            </w:r>
            <w:r w:rsidR="00B719D7" w:rsidRPr="007877D1">
              <w:rPr>
                <w:rFonts w:ascii="Verdana" w:eastAsia="Calibri" w:hAnsi="Verdana"/>
                <w:sz w:val="17"/>
                <w:szCs w:val="22"/>
                <w:lang w:eastAsia="en-US"/>
              </w:rPr>
              <w:t xml:space="preserve"> </w:t>
            </w:r>
          </w:p>
        </w:tc>
      </w:tr>
    </w:tbl>
    <w:p w:rsidR="00440FEE" w:rsidRPr="0018471B" w:rsidRDefault="00440FEE" w:rsidP="00B719D7"/>
    <w:sectPr w:rsidR="00440FEE" w:rsidRPr="0018471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F5B" w:rsidRDefault="00637F5B" w:rsidP="00243A42">
      <w:r>
        <w:separator/>
      </w:r>
    </w:p>
  </w:endnote>
  <w:endnote w:type="continuationSeparator" w:id="0">
    <w:p w:rsidR="00637F5B" w:rsidRDefault="00637F5B" w:rsidP="00243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2CB" w:rsidRDefault="00FA22C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3595964"/>
      <w:docPartObj>
        <w:docPartGallery w:val="Page Numbers (Bottom of Page)"/>
        <w:docPartUnique/>
      </w:docPartObj>
    </w:sdtPr>
    <w:sdtEndPr>
      <w:rPr>
        <w:noProof/>
      </w:rPr>
    </w:sdtEndPr>
    <w:sdtContent>
      <w:p w:rsidR="00243A42" w:rsidRDefault="00243A42">
        <w:pPr>
          <w:pStyle w:val="Fuzeile"/>
          <w:jc w:val="center"/>
        </w:pPr>
        <w:r>
          <w:fldChar w:fldCharType="begin"/>
        </w:r>
        <w:r>
          <w:instrText xml:space="preserve"> PAGE   \* MERGEFORMAT </w:instrText>
        </w:r>
        <w:r>
          <w:fldChar w:fldCharType="separate"/>
        </w:r>
        <w:r w:rsidR="00FA22CB">
          <w:rPr>
            <w:noProof/>
          </w:rPr>
          <w:t>1</w:t>
        </w:r>
        <w:r>
          <w:rPr>
            <w:noProof/>
          </w:rPr>
          <w:fldChar w:fldCharType="end"/>
        </w:r>
      </w:p>
    </w:sdtContent>
  </w:sdt>
  <w:p w:rsidR="00243A42" w:rsidRDefault="00243A4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2CB" w:rsidRDefault="00FA22C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F5B" w:rsidRDefault="00637F5B" w:rsidP="00243A42">
      <w:r>
        <w:separator/>
      </w:r>
    </w:p>
  </w:footnote>
  <w:footnote w:type="continuationSeparator" w:id="0">
    <w:p w:rsidR="00637F5B" w:rsidRDefault="00637F5B" w:rsidP="00243A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2CB" w:rsidRDefault="00FA22C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2CB" w:rsidRDefault="00FA22CB">
    <w:pPr>
      <w:pStyle w:val="Kopfzeile"/>
    </w:pPr>
    <w:r>
      <w:t xml:space="preserve">Insurance </w:t>
    </w:r>
    <w:r>
      <w:t>Europe</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2CB" w:rsidRDefault="00FA22C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9609C"/>
    <w:multiLevelType w:val="hybridMultilevel"/>
    <w:tmpl w:val="49046AF6"/>
    <w:lvl w:ilvl="0" w:tplc="06F2BE3A">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48470B2"/>
    <w:multiLevelType w:val="hybridMultilevel"/>
    <w:tmpl w:val="83281F34"/>
    <w:lvl w:ilvl="0" w:tplc="BB5E8B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D82B55"/>
    <w:multiLevelType w:val="hybridMultilevel"/>
    <w:tmpl w:val="08AAABEC"/>
    <w:lvl w:ilvl="0" w:tplc="42FADB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90A7B0B"/>
    <w:multiLevelType w:val="hybridMultilevel"/>
    <w:tmpl w:val="2B1A0762"/>
    <w:lvl w:ilvl="0" w:tplc="85463D00">
      <w:start w:val="1"/>
      <w:numFmt w:val="lowerLetter"/>
      <w:lvlText w:val="(%1)"/>
      <w:lvlJc w:val="left"/>
      <w:pPr>
        <w:ind w:left="720" w:hanging="360"/>
      </w:pPr>
      <w:rPr>
        <w:rFonts w:hint="default"/>
        <w:b/>
        <w:i/>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CAD6D78"/>
    <w:multiLevelType w:val="hybridMultilevel"/>
    <w:tmpl w:val="EC981C38"/>
    <w:lvl w:ilvl="0" w:tplc="A5E83D80">
      <w:start w:val="7"/>
      <w:numFmt w:val="lowerLetter"/>
      <w:lvlText w:val="(%1)"/>
      <w:lvlJc w:val="left"/>
      <w:pPr>
        <w:ind w:left="1080" w:hanging="360"/>
      </w:pPr>
      <w:rPr>
        <w:rFonts w:hint="default"/>
        <w:b/>
        <w: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3E741DD4"/>
    <w:multiLevelType w:val="hybridMultilevel"/>
    <w:tmpl w:val="6ACA3944"/>
    <w:lvl w:ilvl="0" w:tplc="423C5CAA">
      <w:start w:val="1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735F42B8"/>
    <w:multiLevelType w:val="hybridMultilevel"/>
    <w:tmpl w:val="904A072E"/>
    <w:lvl w:ilvl="0" w:tplc="DEBA18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4D56642"/>
    <w:multiLevelType w:val="hybridMultilevel"/>
    <w:tmpl w:val="B49C60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6A01B57"/>
    <w:multiLevelType w:val="hybridMultilevel"/>
    <w:tmpl w:val="152A47C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0"/>
  </w:num>
  <w:num w:numId="3">
    <w:abstractNumId w:val="7"/>
  </w:num>
  <w:num w:numId="4">
    <w:abstractNumId w:val="1"/>
  </w:num>
  <w:num w:numId="5">
    <w:abstractNumId w:val="2"/>
  </w:num>
  <w:num w:numId="6">
    <w:abstractNumId w:val="6"/>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9D7"/>
    <w:rsid w:val="00063950"/>
    <w:rsid w:val="000875E4"/>
    <w:rsid w:val="00153665"/>
    <w:rsid w:val="0018471B"/>
    <w:rsid w:val="001A7386"/>
    <w:rsid w:val="00243A42"/>
    <w:rsid w:val="0031429A"/>
    <w:rsid w:val="00360122"/>
    <w:rsid w:val="00440FEE"/>
    <w:rsid w:val="00637F5B"/>
    <w:rsid w:val="006B743A"/>
    <w:rsid w:val="007877D1"/>
    <w:rsid w:val="009C5A9C"/>
    <w:rsid w:val="00A77CA2"/>
    <w:rsid w:val="00AB42A2"/>
    <w:rsid w:val="00B37627"/>
    <w:rsid w:val="00B719D7"/>
    <w:rsid w:val="00B84ED2"/>
    <w:rsid w:val="00BF2AFB"/>
    <w:rsid w:val="00F8705B"/>
    <w:rsid w:val="00FA22C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719D7"/>
    <w:pPr>
      <w:widowControl w:val="0"/>
      <w:spacing w:after="0" w:line="240" w:lineRule="auto"/>
    </w:pPr>
    <w:rPr>
      <w:rFonts w:ascii="Times New Roman" w:eastAsia="Times New Roman" w:hAnsi="Times New Roman" w:cs="Times New Roman"/>
      <w:sz w:val="24"/>
      <w:szCs w:val="20"/>
      <w:lang w:val="en-GB"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ideTWBExt">
    <w:name w:val="HideTWBExt"/>
    <w:rsid w:val="00B719D7"/>
    <w:rPr>
      <w:rFonts w:ascii="Arial" w:hAnsi="Arial"/>
      <w:noProof/>
      <w:vanish/>
      <w:color w:val="000080"/>
      <w:sz w:val="20"/>
    </w:rPr>
  </w:style>
  <w:style w:type="paragraph" w:customStyle="1" w:styleId="Normal6">
    <w:name w:val="Normal6"/>
    <w:basedOn w:val="Standard"/>
    <w:link w:val="Normal6Char"/>
    <w:rsid w:val="00B719D7"/>
    <w:pPr>
      <w:spacing w:after="120"/>
    </w:pPr>
  </w:style>
  <w:style w:type="paragraph" w:customStyle="1" w:styleId="NormalBold">
    <w:name w:val="NormalBold"/>
    <w:basedOn w:val="Standard"/>
    <w:link w:val="NormalBoldChar"/>
    <w:rsid w:val="00B719D7"/>
    <w:rPr>
      <w:b/>
    </w:rPr>
  </w:style>
  <w:style w:type="character" w:customStyle="1" w:styleId="NormalBoldChar">
    <w:name w:val="NormalBold Char"/>
    <w:link w:val="NormalBold"/>
    <w:rsid w:val="00B719D7"/>
    <w:rPr>
      <w:rFonts w:ascii="Times New Roman" w:eastAsia="Times New Roman" w:hAnsi="Times New Roman" w:cs="Times New Roman"/>
      <w:b/>
      <w:sz w:val="24"/>
      <w:szCs w:val="20"/>
      <w:lang w:val="en-GB" w:eastAsia="en-GB"/>
    </w:rPr>
  </w:style>
  <w:style w:type="character" w:customStyle="1" w:styleId="Normal6Char">
    <w:name w:val="Normal6 Char"/>
    <w:link w:val="Normal6"/>
    <w:rsid w:val="00B719D7"/>
    <w:rPr>
      <w:rFonts w:ascii="Times New Roman" w:eastAsia="Times New Roman" w:hAnsi="Times New Roman" w:cs="Times New Roman"/>
      <w:sz w:val="24"/>
      <w:szCs w:val="20"/>
      <w:lang w:val="en-GB" w:eastAsia="en-GB"/>
    </w:rPr>
  </w:style>
  <w:style w:type="paragraph" w:customStyle="1" w:styleId="ColumnHeading">
    <w:name w:val="ColumnHeading"/>
    <w:basedOn w:val="Standard"/>
    <w:rsid w:val="00B719D7"/>
    <w:pPr>
      <w:spacing w:after="240"/>
      <w:jc w:val="center"/>
    </w:pPr>
    <w:rPr>
      <w:i/>
    </w:rPr>
  </w:style>
  <w:style w:type="paragraph" w:customStyle="1" w:styleId="AMNumberTabs">
    <w:name w:val="AMNumberTabs"/>
    <w:basedOn w:val="Standard"/>
    <w:rsid w:val="00B719D7"/>
    <w:pPr>
      <w:tabs>
        <w:tab w:val="left" w:pos="879"/>
        <w:tab w:val="left" w:pos="936"/>
        <w:tab w:val="left" w:pos="1021"/>
        <w:tab w:val="left" w:pos="1077"/>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2070"/>
        <w:tab w:val="left" w:pos="2126"/>
        <w:tab w:val="left" w:pos="3374"/>
        <w:tab w:val="left" w:pos="3430"/>
      </w:tabs>
      <w:spacing w:before="240"/>
    </w:pPr>
    <w:rPr>
      <w:b/>
    </w:rPr>
  </w:style>
  <w:style w:type="paragraph" w:customStyle="1" w:styleId="Default">
    <w:name w:val="Default"/>
    <w:rsid w:val="00B719D7"/>
    <w:pPr>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paragraph" w:styleId="Listenabsatz">
    <w:name w:val="List Paragraph"/>
    <w:basedOn w:val="Standard"/>
    <w:uiPriority w:val="34"/>
    <w:qFormat/>
    <w:rsid w:val="0018471B"/>
    <w:pPr>
      <w:ind w:left="720"/>
      <w:contextualSpacing/>
    </w:pPr>
  </w:style>
  <w:style w:type="paragraph" w:styleId="Kopfzeile">
    <w:name w:val="header"/>
    <w:basedOn w:val="Standard"/>
    <w:link w:val="KopfzeileZchn"/>
    <w:uiPriority w:val="99"/>
    <w:unhideWhenUsed/>
    <w:rsid w:val="00243A42"/>
    <w:pPr>
      <w:tabs>
        <w:tab w:val="center" w:pos="4513"/>
        <w:tab w:val="right" w:pos="9026"/>
      </w:tabs>
    </w:pPr>
  </w:style>
  <w:style w:type="character" w:customStyle="1" w:styleId="KopfzeileZchn">
    <w:name w:val="Kopfzeile Zchn"/>
    <w:basedOn w:val="Absatz-Standardschriftart"/>
    <w:link w:val="Kopfzeile"/>
    <w:uiPriority w:val="99"/>
    <w:rsid w:val="00243A42"/>
    <w:rPr>
      <w:rFonts w:ascii="Times New Roman" w:eastAsia="Times New Roman" w:hAnsi="Times New Roman" w:cs="Times New Roman"/>
      <w:sz w:val="24"/>
      <w:szCs w:val="20"/>
      <w:lang w:val="en-GB" w:eastAsia="en-GB"/>
    </w:rPr>
  </w:style>
  <w:style w:type="paragraph" w:styleId="Fuzeile">
    <w:name w:val="footer"/>
    <w:basedOn w:val="Standard"/>
    <w:link w:val="FuzeileZchn"/>
    <w:uiPriority w:val="99"/>
    <w:unhideWhenUsed/>
    <w:rsid w:val="00243A42"/>
    <w:pPr>
      <w:tabs>
        <w:tab w:val="center" w:pos="4513"/>
        <w:tab w:val="right" w:pos="9026"/>
      </w:tabs>
    </w:pPr>
  </w:style>
  <w:style w:type="character" w:customStyle="1" w:styleId="FuzeileZchn">
    <w:name w:val="Fußzeile Zchn"/>
    <w:basedOn w:val="Absatz-Standardschriftart"/>
    <w:link w:val="Fuzeile"/>
    <w:uiPriority w:val="99"/>
    <w:rsid w:val="00243A42"/>
    <w:rPr>
      <w:rFonts w:ascii="Times New Roman" w:eastAsia="Times New Roman" w:hAnsi="Times New Roman" w:cs="Times New Roman"/>
      <w:sz w:val="24"/>
      <w:szCs w:val="20"/>
      <w:lang w:val="en-GB" w:eastAsia="en-GB"/>
    </w:rPr>
  </w:style>
  <w:style w:type="paragraph" w:styleId="Sprechblasentext">
    <w:name w:val="Balloon Text"/>
    <w:basedOn w:val="Standard"/>
    <w:link w:val="SprechblasentextZchn"/>
    <w:uiPriority w:val="99"/>
    <w:semiHidden/>
    <w:unhideWhenUsed/>
    <w:rsid w:val="006B743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743A"/>
    <w:rPr>
      <w:rFonts w:ascii="Tahoma" w:eastAsia="Times New Roman" w:hAnsi="Tahoma" w:cs="Tahoma"/>
      <w:sz w:val="16"/>
      <w:szCs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719D7"/>
    <w:pPr>
      <w:widowControl w:val="0"/>
      <w:spacing w:after="0" w:line="240" w:lineRule="auto"/>
    </w:pPr>
    <w:rPr>
      <w:rFonts w:ascii="Times New Roman" w:eastAsia="Times New Roman" w:hAnsi="Times New Roman" w:cs="Times New Roman"/>
      <w:sz w:val="24"/>
      <w:szCs w:val="20"/>
      <w:lang w:val="en-GB"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ideTWBExt">
    <w:name w:val="HideTWBExt"/>
    <w:rsid w:val="00B719D7"/>
    <w:rPr>
      <w:rFonts w:ascii="Arial" w:hAnsi="Arial"/>
      <w:noProof/>
      <w:vanish/>
      <w:color w:val="000080"/>
      <w:sz w:val="20"/>
    </w:rPr>
  </w:style>
  <w:style w:type="paragraph" w:customStyle="1" w:styleId="Normal6">
    <w:name w:val="Normal6"/>
    <w:basedOn w:val="Standard"/>
    <w:link w:val="Normal6Char"/>
    <w:rsid w:val="00B719D7"/>
    <w:pPr>
      <w:spacing w:after="120"/>
    </w:pPr>
  </w:style>
  <w:style w:type="paragraph" w:customStyle="1" w:styleId="NormalBold">
    <w:name w:val="NormalBold"/>
    <w:basedOn w:val="Standard"/>
    <w:link w:val="NormalBoldChar"/>
    <w:rsid w:val="00B719D7"/>
    <w:rPr>
      <w:b/>
    </w:rPr>
  </w:style>
  <w:style w:type="character" w:customStyle="1" w:styleId="NormalBoldChar">
    <w:name w:val="NormalBold Char"/>
    <w:link w:val="NormalBold"/>
    <w:rsid w:val="00B719D7"/>
    <w:rPr>
      <w:rFonts w:ascii="Times New Roman" w:eastAsia="Times New Roman" w:hAnsi="Times New Roman" w:cs="Times New Roman"/>
      <w:b/>
      <w:sz w:val="24"/>
      <w:szCs w:val="20"/>
      <w:lang w:val="en-GB" w:eastAsia="en-GB"/>
    </w:rPr>
  </w:style>
  <w:style w:type="character" w:customStyle="1" w:styleId="Normal6Char">
    <w:name w:val="Normal6 Char"/>
    <w:link w:val="Normal6"/>
    <w:rsid w:val="00B719D7"/>
    <w:rPr>
      <w:rFonts w:ascii="Times New Roman" w:eastAsia="Times New Roman" w:hAnsi="Times New Roman" w:cs="Times New Roman"/>
      <w:sz w:val="24"/>
      <w:szCs w:val="20"/>
      <w:lang w:val="en-GB" w:eastAsia="en-GB"/>
    </w:rPr>
  </w:style>
  <w:style w:type="paragraph" w:customStyle="1" w:styleId="ColumnHeading">
    <w:name w:val="ColumnHeading"/>
    <w:basedOn w:val="Standard"/>
    <w:rsid w:val="00B719D7"/>
    <w:pPr>
      <w:spacing w:after="240"/>
      <w:jc w:val="center"/>
    </w:pPr>
    <w:rPr>
      <w:i/>
    </w:rPr>
  </w:style>
  <w:style w:type="paragraph" w:customStyle="1" w:styleId="AMNumberTabs">
    <w:name w:val="AMNumberTabs"/>
    <w:basedOn w:val="Standard"/>
    <w:rsid w:val="00B719D7"/>
    <w:pPr>
      <w:tabs>
        <w:tab w:val="left" w:pos="879"/>
        <w:tab w:val="left" w:pos="936"/>
        <w:tab w:val="left" w:pos="1021"/>
        <w:tab w:val="left" w:pos="1077"/>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2070"/>
        <w:tab w:val="left" w:pos="2126"/>
        <w:tab w:val="left" w:pos="3374"/>
        <w:tab w:val="left" w:pos="3430"/>
      </w:tabs>
      <w:spacing w:before="240"/>
    </w:pPr>
    <w:rPr>
      <w:b/>
    </w:rPr>
  </w:style>
  <w:style w:type="paragraph" w:customStyle="1" w:styleId="Default">
    <w:name w:val="Default"/>
    <w:rsid w:val="00B719D7"/>
    <w:pPr>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paragraph" w:styleId="Listenabsatz">
    <w:name w:val="List Paragraph"/>
    <w:basedOn w:val="Standard"/>
    <w:uiPriority w:val="34"/>
    <w:qFormat/>
    <w:rsid w:val="0018471B"/>
    <w:pPr>
      <w:ind w:left="720"/>
      <w:contextualSpacing/>
    </w:pPr>
  </w:style>
  <w:style w:type="paragraph" w:styleId="Kopfzeile">
    <w:name w:val="header"/>
    <w:basedOn w:val="Standard"/>
    <w:link w:val="KopfzeileZchn"/>
    <w:uiPriority w:val="99"/>
    <w:unhideWhenUsed/>
    <w:rsid w:val="00243A42"/>
    <w:pPr>
      <w:tabs>
        <w:tab w:val="center" w:pos="4513"/>
        <w:tab w:val="right" w:pos="9026"/>
      </w:tabs>
    </w:pPr>
  </w:style>
  <w:style w:type="character" w:customStyle="1" w:styleId="KopfzeileZchn">
    <w:name w:val="Kopfzeile Zchn"/>
    <w:basedOn w:val="Absatz-Standardschriftart"/>
    <w:link w:val="Kopfzeile"/>
    <w:uiPriority w:val="99"/>
    <w:rsid w:val="00243A42"/>
    <w:rPr>
      <w:rFonts w:ascii="Times New Roman" w:eastAsia="Times New Roman" w:hAnsi="Times New Roman" w:cs="Times New Roman"/>
      <w:sz w:val="24"/>
      <w:szCs w:val="20"/>
      <w:lang w:val="en-GB" w:eastAsia="en-GB"/>
    </w:rPr>
  </w:style>
  <w:style w:type="paragraph" w:styleId="Fuzeile">
    <w:name w:val="footer"/>
    <w:basedOn w:val="Standard"/>
    <w:link w:val="FuzeileZchn"/>
    <w:uiPriority w:val="99"/>
    <w:unhideWhenUsed/>
    <w:rsid w:val="00243A42"/>
    <w:pPr>
      <w:tabs>
        <w:tab w:val="center" w:pos="4513"/>
        <w:tab w:val="right" w:pos="9026"/>
      </w:tabs>
    </w:pPr>
  </w:style>
  <w:style w:type="character" w:customStyle="1" w:styleId="FuzeileZchn">
    <w:name w:val="Fußzeile Zchn"/>
    <w:basedOn w:val="Absatz-Standardschriftart"/>
    <w:link w:val="Fuzeile"/>
    <w:uiPriority w:val="99"/>
    <w:rsid w:val="00243A42"/>
    <w:rPr>
      <w:rFonts w:ascii="Times New Roman" w:eastAsia="Times New Roman" w:hAnsi="Times New Roman" w:cs="Times New Roman"/>
      <w:sz w:val="24"/>
      <w:szCs w:val="20"/>
      <w:lang w:val="en-GB" w:eastAsia="en-GB"/>
    </w:rPr>
  </w:style>
  <w:style w:type="paragraph" w:styleId="Sprechblasentext">
    <w:name w:val="Balloon Text"/>
    <w:basedOn w:val="Standard"/>
    <w:link w:val="SprechblasentextZchn"/>
    <w:uiPriority w:val="99"/>
    <w:semiHidden/>
    <w:unhideWhenUsed/>
    <w:rsid w:val="006B743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743A"/>
    <w:rPr>
      <w:rFonts w:ascii="Tahoma" w:eastAsia="Times New Roman"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Insurance Europe</Company>
  <LinksUpToDate>false</LinksUpToDate>
  <CharactersWithSpaces>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Dorota Boruc</dc:creator>
  <cp:lastModifiedBy>M</cp:lastModifiedBy>
  <cp:revision>3</cp:revision>
  <cp:lastPrinted>2012-10-30T12:28:00Z</cp:lastPrinted>
  <dcterms:created xsi:type="dcterms:W3CDTF">2012-10-30T13:09:00Z</dcterms:created>
  <dcterms:modified xsi:type="dcterms:W3CDTF">2013-01-29T12:05:00Z</dcterms:modified>
</cp:coreProperties>
</file>