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D9A" w:rsidRPr="005963E4" w:rsidRDefault="00D93D9A" w:rsidP="00364E8D">
      <w:pPr>
        <w:spacing w:after="240" w:line="240" w:lineRule="auto"/>
        <w:jc w:val="center"/>
        <w:rPr>
          <w:rFonts w:cstheme="minorHAnsi"/>
          <w:b/>
          <w:lang w:val="en-GB"/>
        </w:rPr>
      </w:pPr>
      <w:bookmarkStart w:id="0" w:name="_GoBack"/>
      <w:bookmarkEnd w:id="0"/>
      <w:r w:rsidRPr="005963E4">
        <w:rPr>
          <w:rFonts w:cstheme="minorHAnsi"/>
          <w:b/>
          <w:lang w:val="en-GB"/>
        </w:rPr>
        <w:t xml:space="preserve">Microsoft positions and suggestions for the draft </w:t>
      </w:r>
      <w:r w:rsidRPr="005963E4">
        <w:rPr>
          <w:rFonts w:cstheme="minorHAnsi"/>
          <w:b/>
          <w:i/>
          <w:lang w:val="en-GB"/>
        </w:rPr>
        <w:t>General Data Protection Regulation</w:t>
      </w:r>
    </w:p>
    <w:p w:rsidR="00024DD8" w:rsidRPr="005963E4" w:rsidRDefault="00024DD8" w:rsidP="00364E8D">
      <w:pPr>
        <w:pBdr>
          <w:top w:val="single" w:sz="4" w:space="1" w:color="auto"/>
          <w:left w:val="single" w:sz="4" w:space="4" w:color="auto"/>
          <w:bottom w:val="single" w:sz="4" w:space="1" w:color="auto"/>
          <w:right w:val="single" w:sz="4" w:space="4" w:color="auto"/>
        </w:pBdr>
        <w:shd w:val="clear" w:color="auto" w:fill="EEECE1" w:themeFill="background2"/>
        <w:spacing w:after="240" w:line="240" w:lineRule="auto"/>
        <w:jc w:val="both"/>
        <w:rPr>
          <w:rFonts w:cstheme="minorHAnsi"/>
          <w:b/>
          <w:i/>
          <w:lang w:val="en-GB"/>
        </w:rPr>
      </w:pPr>
      <w:r w:rsidRPr="005963E4">
        <w:rPr>
          <w:rFonts w:cstheme="minorHAnsi"/>
          <w:b/>
          <w:i/>
          <w:lang w:val="en-GB"/>
        </w:rPr>
        <w:t>Microsoft positions and concerns at a glance</w:t>
      </w:r>
    </w:p>
    <w:p w:rsidR="00024DD8" w:rsidRPr="005963E4" w:rsidRDefault="00024DD8" w:rsidP="00364E8D">
      <w:pPr>
        <w:pBdr>
          <w:top w:val="single" w:sz="4" w:space="1" w:color="auto"/>
          <w:left w:val="single" w:sz="4" w:space="4" w:color="auto"/>
          <w:bottom w:val="single" w:sz="4" w:space="1" w:color="auto"/>
          <w:right w:val="single" w:sz="4" w:space="4" w:color="auto"/>
        </w:pBdr>
        <w:shd w:val="clear" w:color="auto" w:fill="EEECE1" w:themeFill="background2"/>
        <w:spacing w:after="240" w:line="240" w:lineRule="auto"/>
        <w:jc w:val="both"/>
        <w:rPr>
          <w:rFonts w:cstheme="minorHAnsi"/>
          <w:i/>
          <w:lang w:val="en-GB"/>
        </w:rPr>
      </w:pPr>
      <w:r w:rsidRPr="005963E4">
        <w:rPr>
          <w:rFonts w:cstheme="minorHAnsi"/>
          <w:i/>
          <w:lang w:val="en-GB"/>
        </w:rPr>
        <w:t>1</w:t>
      </w:r>
      <w:proofErr w:type="gramStart"/>
      <w:r w:rsidRPr="005963E4">
        <w:rPr>
          <w:rFonts w:cstheme="minorHAnsi"/>
          <w:i/>
          <w:lang w:val="en-GB"/>
        </w:rPr>
        <w:t xml:space="preserve">/ </w:t>
      </w:r>
      <w:r w:rsidR="0063348D" w:rsidRPr="005963E4">
        <w:rPr>
          <w:rFonts w:cstheme="minorHAnsi"/>
          <w:i/>
          <w:lang w:val="en-GB"/>
        </w:rPr>
        <w:t xml:space="preserve"> </w:t>
      </w:r>
      <w:r w:rsidRPr="005963E4">
        <w:rPr>
          <w:rFonts w:cstheme="minorHAnsi"/>
          <w:i/>
          <w:lang w:val="en-GB"/>
        </w:rPr>
        <w:t>Microsoft</w:t>
      </w:r>
      <w:proofErr w:type="gramEnd"/>
      <w:r w:rsidRPr="005963E4">
        <w:rPr>
          <w:rFonts w:cstheme="minorHAnsi"/>
          <w:i/>
          <w:lang w:val="en-GB"/>
        </w:rPr>
        <w:t xml:space="preserve"> welcomes the draft </w:t>
      </w:r>
      <w:r w:rsidR="00315411" w:rsidRPr="005963E4">
        <w:rPr>
          <w:rFonts w:cstheme="minorHAnsi"/>
          <w:i/>
          <w:lang w:val="en-GB"/>
        </w:rPr>
        <w:t>Regulation, which seeks to better</w:t>
      </w:r>
      <w:r w:rsidRPr="005963E4">
        <w:rPr>
          <w:rFonts w:cstheme="minorHAnsi"/>
          <w:i/>
          <w:lang w:val="en-GB"/>
        </w:rPr>
        <w:t xml:space="preserve"> harmonise the EU’s data protection regime.  Any responsible company has a role to play here.</w:t>
      </w:r>
      <w:r w:rsidR="00B5373A" w:rsidRPr="005963E4">
        <w:rPr>
          <w:rFonts w:cstheme="minorHAnsi"/>
          <w:i/>
          <w:lang w:val="en-GB"/>
        </w:rPr>
        <w:t xml:space="preserve"> </w:t>
      </w:r>
      <w:r w:rsidRPr="005963E4">
        <w:rPr>
          <w:rFonts w:cstheme="minorHAnsi"/>
          <w:i/>
          <w:lang w:val="en-GB"/>
        </w:rPr>
        <w:t xml:space="preserve"> Our approach is based on Trust and Transparency (privacy by design, Office 365 Trust </w:t>
      </w:r>
      <w:proofErr w:type="spellStart"/>
      <w:r w:rsidRPr="005963E4">
        <w:rPr>
          <w:rFonts w:cstheme="minorHAnsi"/>
          <w:i/>
          <w:lang w:val="en-GB"/>
        </w:rPr>
        <w:t>Center</w:t>
      </w:r>
      <w:proofErr w:type="spellEnd"/>
      <w:r w:rsidRPr="005963E4">
        <w:rPr>
          <w:rFonts w:cstheme="minorHAnsi"/>
          <w:i/>
          <w:lang w:val="en-GB"/>
        </w:rPr>
        <w:t>:</w:t>
      </w:r>
      <w:r w:rsidRPr="005963E4">
        <w:rPr>
          <w:rFonts w:cstheme="minorHAnsi"/>
        </w:rPr>
        <w:t xml:space="preserve"> </w:t>
      </w:r>
      <w:r w:rsidRPr="005963E4">
        <w:rPr>
          <w:rFonts w:cstheme="minorHAnsi"/>
          <w:i/>
          <w:lang w:val="en-GB"/>
        </w:rPr>
        <w:t>http://Office 365.microsoft.com</w:t>
      </w:r>
      <w:r w:rsidR="00B5373A" w:rsidRPr="005963E4">
        <w:rPr>
          <w:rFonts w:cstheme="minorHAnsi"/>
          <w:i/>
          <w:lang w:val="en-GB"/>
        </w:rPr>
        <w:t>/</w:t>
      </w:r>
      <w:r w:rsidRPr="005963E4">
        <w:rPr>
          <w:rFonts w:cstheme="minorHAnsi"/>
          <w:i/>
          <w:lang w:val="en-GB"/>
        </w:rPr>
        <w:t>)</w:t>
      </w:r>
      <w:r w:rsidR="00B5373A" w:rsidRPr="005963E4">
        <w:rPr>
          <w:rFonts w:cstheme="minorHAnsi"/>
          <w:i/>
          <w:lang w:val="en-GB"/>
        </w:rPr>
        <w:t>.</w:t>
      </w:r>
    </w:p>
    <w:p w:rsidR="00024DD8" w:rsidRPr="005963E4" w:rsidRDefault="00024DD8" w:rsidP="00364E8D">
      <w:pPr>
        <w:pBdr>
          <w:top w:val="single" w:sz="4" w:space="1" w:color="auto"/>
          <w:left w:val="single" w:sz="4" w:space="4" w:color="auto"/>
          <w:bottom w:val="single" w:sz="4" w:space="1" w:color="auto"/>
          <w:right w:val="single" w:sz="4" w:space="4" w:color="auto"/>
        </w:pBdr>
        <w:shd w:val="clear" w:color="auto" w:fill="EEECE1" w:themeFill="background2"/>
        <w:spacing w:after="240" w:line="240" w:lineRule="auto"/>
        <w:jc w:val="both"/>
        <w:rPr>
          <w:rFonts w:cstheme="minorHAnsi"/>
          <w:i/>
          <w:lang w:val="en-GB"/>
        </w:rPr>
      </w:pPr>
      <w:r w:rsidRPr="005963E4">
        <w:rPr>
          <w:rFonts w:cstheme="minorHAnsi"/>
          <w:i/>
          <w:lang w:val="en-GB"/>
        </w:rPr>
        <w:t>2</w:t>
      </w:r>
      <w:proofErr w:type="gramStart"/>
      <w:r w:rsidRPr="005963E4">
        <w:rPr>
          <w:rFonts w:cstheme="minorHAnsi"/>
          <w:i/>
          <w:lang w:val="en-GB"/>
        </w:rPr>
        <w:t xml:space="preserve">/ </w:t>
      </w:r>
      <w:r w:rsidR="00B5373A" w:rsidRPr="005963E4">
        <w:rPr>
          <w:rFonts w:cstheme="minorHAnsi"/>
          <w:i/>
          <w:lang w:val="en-GB"/>
        </w:rPr>
        <w:t xml:space="preserve"> </w:t>
      </w:r>
      <w:r w:rsidRPr="005963E4">
        <w:rPr>
          <w:rFonts w:cstheme="minorHAnsi"/>
          <w:i/>
          <w:lang w:val="en-GB"/>
        </w:rPr>
        <w:t>However</w:t>
      </w:r>
      <w:proofErr w:type="gramEnd"/>
      <w:r w:rsidRPr="005963E4">
        <w:rPr>
          <w:rFonts w:cstheme="minorHAnsi"/>
          <w:i/>
          <w:lang w:val="en-GB"/>
        </w:rPr>
        <w:t xml:space="preserve"> the text is too prescriptive:  </w:t>
      </w:r>
      <w:r w:rsidR="00315411" w:rsidRPr="005963E4">
        <w:rPr>
          <w:rFonts w:cstheme="minorHAnsi"/>
          <w:i/>
          <w:lang w:val="en-GB"/>
        </w:rPr>
        <w:t xml:space="preserve">rather than dictate approaches, the Regulation </w:t>
      </w:r>
      <w:r w:rsidRPr="005963E4">
        <w:rPr>
          <w:rFonts w:cstheme="minorHAnsi"/>
          <w:i/>
          <w:lang w:val="en-GB"/>
        </w:rPr>
        <w:t xml:space="preserve">should </w:t>
      </w:r>
      <w:r w:rsidR="00315411" w:rsidRPr="005963E4">
        <w:rPr>
          <w:rFonts w:cstheme="minorHAnsi"/>
          <w:i/>
          <w:lang w:val="en-GB"/>
        </w:rPr>
        <w:t xml:space="preserve">offer </w:t>
      </w:r>
      <w:r w:rsidRPr="005963E4">
        <w:rPr>
          <w:rFonts w:cstheme="minorHAnsi"/>
          <w:i/>
          <w:lang w:val="en-GB"/>
        </w:rPr>
        <w:t>more incentives to trustworthy companies.</w:t>
      </w:r>
      <w:r w:rsidR="00B5373A" w:rsidRPr="005963E4">
        <w:rPr>
          <w:rFonts w:cstheme="minorHAnsi"/>
          <w:i/>
          <w:lang w:val="en-GB"/>
        </w:rPr>
        <w:t xml:space="preserve"> </w:t>
      </w:r>
      <w:r w:rsidRPr="005963E4">
        <w:rPr>
          <w:rFonts w:cstheme="minorHAnsi"/>
          <w:i/>
          <w:lang w:val="en-GB"/>
        </w:rPr>
        <w:t xml:space="preserve"> It is key to motivate companies via the concept of recogni</w:t>
      </w:r>
      <w:r w:rsidR="00B5373A" w:rsidRPr="005963E4">
        <w:rPr>
          <w:rFonts w:cstheme="minorHAnsi"/>
          <w:i/>
          <w:lang w:val="en-GB"/>
        </w:rPr>
        <w:t>s</w:t>
      </w:r>
      <w:r w:rsidRPr="005963E4">
        <w:rPr>
          <w:rFonts w:cstheme="minorHAnsi"/>
          <w:i/>
          <w:lang w:val="en-GB"/>
        </w:rPr>
        <w:t>ed accountability (i.e.</w:t>
      </w:r>
      <w:r w:rsidR="00B5373A" w:rsidRPr="005963E4">
        <w:rPr>
          <w:rFonts w:cstheme="minorHAnsi"/>
          <w:i/>
          <w:lang w:val="en-GB"/>
        </w:rPr>
        <w:t>,</w:t>
      </w:r>
      <w:r w:rsidRPr="005963E4">
        <w:rPr>
          <w:rFonts w:cstheme="minorHAnsi"/>
          <w:i/>
          <w:lang w:val="en-GB"/>
        </w:rPr>
        <w:t xml:space="preserve"> </w:t>
      </w:r>
      <w:r w:rsidR="00715E52" w:rsidRPr="005963E4">
        <w:rPr>
          <w:rFonts w:cstheme="minorHAnsi"/>
          <w:i/>
          <w:lang w:val="en-GB"/>
        </w:rPr>
        <w:t xml:space="preserve">to </w:t>
      </w:r>
      <w:r w:rsidRPr="005963E4">
        <w:rPr>
          <w:rFonts w:cstheme="minorHAnsi"/>
          <w:i/>
          <w:lang w:val="en-GB"/>
        </w:rPr>
        <w:t>encourage good practices by rewarding organisations that demonstrate responsibility and adopt robust privacy programs</w:t>
      </w:r>
      <w:r w:rsidR="00971F0A" w:rsidRPr="005963E4">
        <w:rPr>
          <w:rFonts w:cstheme="minorHAnsi"/>
          <w:i/>
          <w:lang w:val="en-GB"/>
        </w:rPr>
        <w:t xml:space="preserve"> </w:t>
      </w:r>
      <w:r w:rsidR="00715E52" w:rsidRPr="005963E4">
        <w:rPr>
          <w:rFonts w:cstheme="minorHAnsi"/>
          <w:i/>
          <w:lang w:val="en-GB"/>
        </w:rPr>
        <w:t>including</w:t>
      </w:r>
      <w:r w:rsidR="00B5373A" w:rsidRPr="005963E4">
        <w:rPr>
          <w:rFonts w:cstheme="minorHAnsi"/>
          <w:i/>
          <w:lang w:val="en-GB"/>
        </w:rPr>
        <w:t xml:space="preserve"> </w:t>
      </w:r>
      <w:r w:rsidR="00715E52" w:rsidRPr="005963E4">
        <w:rPr>
          <w:rFonts w:cstheme="minorHAnsi"/>
          <w:i/>
          <w:lang w:val="en-GB"/>
        </w:rPr>
        <w:t>in relation to the</w:t>
      </w:r>
      <w:r w:rsidR="00971F0A" w:rsidRPr="005963E4">
        <w:rPr>
          <w:rFonts w:cstheme="minorHAnsi"/>
          <w:i/>
          <w:lang w:val="en-GB"/>
        </w:rPr>
        <w:t xml:space="preserve"> transfer of data in the Cloud</w:t>
      </w:r>
      <w:r w:rsidRPr="005963E4">
        <w:rPr>
          <w:rFonts w:cstheme="minorHAnsi"/>
          <w:i/>
          <w:lang w:val="en-GB"/>
        </w:rPr>
        <w:t>).</w:t>
      </w:r>
    </w:p>
    <w:p w:rsidR="00024DD8" w:rsidRPr="005963E4" w:rsidRDefault="00024DD8" w:rsidP="00364E8D">
      <w:pPr>
        <w:pBdr>
          <w:top w:val="single" w:sz="4" w:space="1" w:color="auto"/>
          <w:left w:val="single" w:sz="4" w:space="4" w:color="auto"/>
          <w:bottom w:val="single" w:sz="4" w:space="1" w:color="auto"/>
          <w:right w:val="single" w:sz="4" w:space="4" w:color="auto"/>
        </w:pBdr>
        <w:shd w:val="clear" w:color="auto" w:fill="EEECE1" w:themeFill="background2"/>
        <w:spacing w:after="240" w:line="240" w:lineRule="auto"/>
        <w:jc w:val="both"/>
        <w:rPr>
          <w:rFonts w:cstheme="minorHAnsi"/>
          <w:i/>
          <w:lang w:val="en-GB"/>
        </w:rPr>
      </w:pPr>
      <w:r w:rsidRPr="005963E4">
        <w:rPr>
          <w:rFonts w:cstheme="minorHAnsi"/>
          <w:i/>
          <w:lang w:val="en-GB"/>
        </w:rPr>
        <w:t>3</w:t>
      </w:r>
      <w:proofErr w:type="gramStart"/>
      <w:r w:rsidRPr="005963E4">
        <w:rPr>
          <w:rFonts w:cstheme="minorHAnsi"/>
          <w:i/>
          <w:lang w:val="en-GB"/>
        </w:rPr>
        <w:t xml:space="preserve">/ </w:t>
      </w:r>
      <w:r w:rsidR="00B5373A" w:rsidRPr="005963E4">
        <w:rPr>
          <w:rFonts w:cstheme="minorHAnsi"/>
          <w:i/>
          <w:lang w:val="en-GB"/>
        </w:rPr>
        <w:t xml:space="preserve"> </w:t>
      </w:r>
      <w:r w:rsidRPr="005963E4">
        <w:rPr>
          <w:rFonts w:cstheme="minorHAnsi"/>
          <w:i/>
          <w:lang w:val="en-GB"/>
        </w:rPr>
        <w:t>Delegated</w:t>
      </w:r>
      <w:proofErr w:type="gramEnd"/>
      <w:r w:rsidRPr="005963E4">
        <w:rPr>
          <w:rFonts w:cstheme="minorHAnsi"/>
          <w:i/>
          <w:lang w:val="en-GB"/>
        </w:rPr>
        <w:t xml:space="preserve"> acts as drafted can create new burden</w:t>
      </w:r>
      <w:r w:rsidR="00315411" w:rsidRPr="005963E4">
        <w:rPr>
          <w:rFonts w:cstheme="minorHAnsi"/>
          <w:i/>
          <w:lang w:val="en-GB"/>
        </w:rPr>
        <w:t>s</w:t>
      </w:r>
      <w:r w:rsidRPr="005963E4">
        <w:rPr>
          <w:rFonts w:cstheme="minorHAnsi"/>
          <w:i/>
          <w:lang w:val="en-GB"/>
        </w:rPr>
        <w:t xml:space="preserve"> and uncertainty. </w:t>
      </w:r>
      <w:r w:rsidR="00B5373A" w:rsidRPr="005963E4">
        <w:rPr>
          <w:rFonts w:cstheme="minorHAnsi"/>
          <w:i/>
          <w:lang w:val="en-GB"/>
        </w:rPr>
        <w:t xml:space="preserve"> </w:t>
      </w:r>
      <w:r w:rsidRPr="005963E4">
        <w:rPr>
          <w:rFonts w:cstheme="minorHAnsi"/>
          <w:i/>
          <w:lang w:val="en-GB"/>
        </w:rPr>
        <w:t xml:space="preserve">We suggest </w:t>
      </w:r>
      <w:r w:rsidR="00315411" w:rsidRPr="005963E4">
        <w:rPr>
          <w:rFonts w:cstheme="minorHAnsi"/>
          <w:i/>
          <w:lang w:val="en-GB"/>
        </w:rPr>
        <w:t>reducing the number of delegated acts</w:t>
      </w:r>
      <w:r w:rsidRPr="005963E4">
        <w:rPr>
          <w:rFonts w:cstheme="minorHAnsi"/>
          <w:i/>
          <w:lang w:val="en-GB"/>
        </w:rPr>
        <w:t>.</w:t>
      </w:r>
    </w:p>
    <w:p w:rsidR="00024DD8" w:rsidRPr="005963E4" w:rsidRDefault="00024DD8" w:rsidP="00364E8D">
      <w:pPr>
        <w:pBdr>
          <w:top w:val="single" w:sz="4" w:space="1" w:color="auto"/>
          <w:left w:val="single" w:sz="4" w:space="4" w:color="auto"/>
          <w:bottom w:val="single" w:sz="4" w:space="1" w:color="auto"/>
          <w:right w:val="single" w:sz="4" w:space="4" w:color="auto"/>
        </w:pBdr>
        <w:shd w:val="clear" w:color="auto" w:fill="EEECE1" w:themeFill="background2"/>
        <w:spacing w:after="240" w:line="240" w:lineRule="auto"/>
        <w:jc w:val="both"/>
        <w:rPr>
          <w:rFonts w:cstheme="minorHAnsi"/>
          <w:i/>
          <w:lang w:val="en-GB"/>
        </w:rPr>
      </w:pPr>
      <w:r w:rsidRPr="005963E4">
        <w:rPr>
          <w:rFonts w:cstheme="minorHAnsi"/>
          <w:i/>
          <w:lang w:val="en-GB"/>
        </w:rPr>
        <w:t xml:space="preserve">4/ </w:t>
      </w:r>
      <w:r w:rsidR="00B5373A" w:rsidRPr="005963E4">
        <w:rPr>
          <w:rFonts w:cstheme="minorHAnsi"/>
          <w:i/>
          <w:lang w:val="en-GB"/>
        </w:rPr>
        <w:t xml:space="preserve"> </w:t>
      </w:r>
      <w:r w:rsidRPr="005963E4">
        <w:rPr>
          <w:rFonts w:cstheme="minorHAnsi"/>
          <w:i/>
          <w:lang w:val="en-GB"/>
        </w:rPr>
        <w:t xml:space="preserve">The concept of administrative fines is </w:t>
      </w:r>
      <w:r w:rsidR="00315411" w:rsidRPr="005963E4">
        <w:rPr>
          <w:rFonts w:cstheme="minorHAnsi"/>
          <w:i/>
          <w:lang w:val="en-GB"/>
        </w:rPr>
        <w:t xml:space="preserve">appropriate, </w:t>
      </w:r>
      <w:r w:rsidRPr="005963E4">
        <w:rPr>
          <w:rFonts w:cstheme="minorHAnsi"/>
          <w:i/>
          <w:lang w:val="en-GB"/>
        </w:rPr>
        <w:t>but the “one-size-fits-all” approach that put</w:t>
      </w:r>
      <w:r w:rsidR="00315411" w:rsidRPr="005963E4">
        <w:rPr>
          <w:rFonts w:cstheme="minorHAnsi"/>
          <w:i/>
          <w:lang w:val="en-GB"/>
        </w:rPr>
        <w:t>s on the</w:t>
      </w:r>
      <w:r w:rsidRPr="005963E4">
        <w:rPr>
          <w:rFonts w:cstheme="minorHAnsi"/>
          <w:i/>
          <w:lang w:val="en-GB"/>
        </w:rPr>
        <w:t xml:space="preserve"> same level compan</w:t>
      </w:r>
      <w:r w:rsidR="00315411" w:rsidRPr="005963E4">
        <w:rPr>
          <w:rFonts w:cstheme="minorHAnsi"/>
          <w:i/>
          <w:lang w:val="en-GB"/>
        </w:rPr>
        <w:t>ies</w:t>
      </w:r>
      <w:r w:rsidRPr="005963E4">
        <w:rPr>
          <w:rFonts w:cstheme="minorHAnsi"/>
          <w:i/>
          <w:lang w:val="en-GB"/>
        </w:rPr>
        <w:t xml:space="preserve"> that intentionally </w:t>
      </w:r>
      <w:r w:rsidR="00315411" w:rsidRPr="005963E4">
        <w:rPr>
          <w:rFonts w:cstheme="minorHAnsi"/>
          <w:i/>
          <w:lang w:val="en-GB"/>
        </w:rPr>
        <w:t xml:space="preserve">cause </w:t>
      </w:r>
      <w:r w:rsidRPr="005963E4">
        <w:rPr>
          <w:rFonts w:cstheme="minorHAnsi"/>
          <w:i/>
          <w:lang w:val="en-GB"/>
        </w:rPr>
        <w:t xml:space="preserve">harm and those that were negligent is </w:t>
      </w:r>
      <w:r w:rsidR="00315411" w:rsidRPr="005963E4">
        <w:rPr>
          <w:rFonts w:cstheme="minorHAnsi"/>
          <w:i/>
          <w:lang w:val="en-GB"/>
        </w:rPr>
        <w:t>disproportionate</w:t>
      </w:r>
      <w:r w:rsidR="00B5373A" w:rsidRPr="005963E4">
        <w:rPr>
          <w:rFonts w:cstheme="minorHAnsi"/>
          <w:i/>
          <w:lang w:val="en-GB"/>
        </w:rPr>
        <w:t>.</w:t>
      </w:r>
    </w:p>
    <w:p w:rsidR="00024DD8" w:rsidRPr="005963E4" w:rsidRDefault="00024DD8" w:rsidP="00364E8D">
      <w:pPr>
        <w:pBdr>
          <w:top w:val="single" w:sz="4" w:space="1" w:color="auto"/>
          <w:left w:val="single" w:sz="4" w:space="4" w:color="auto"/>
          <w:bottom w:val="single" w:sz="4" w:space="1" w:color="auto"/>
          <w:right w:val="single" w:sz="4" w:space="4" w:color="auto"/>
        </w:pBdr>
        <w:shd w:val="clear" w:color="auto" w:fill="EEECE1" w:themeFill="background2"/>
        <w:spacing w:after="240" w:line="240" w:lineRule="auto"/>
        <w:jc w:val="both"/>
        <w:rPr>
          <w:rFonts w:cstheme="minorHAnsi"/>
          <w:i/>
          <w:lang w:val="en-GB"/>
        </w:rPr>
      </w:pPr>
      <w:r w:rsidRPr="005963E4">
        <w:rPr>
          <w:rFonts w:cstheme="minorHAnsi"/>
          <w:i/>
          <w:lang w:val="en-GB"/>
        </w:rPr>
        <w:t>5</w:t>
      </w:r>
      <w:proofErr w:type="gramStart"/>
      <w:r w:rsidRPr="005963E4">
        <w:rPr>
          <w:rFonts w:cstheme="minorHAnsi"/>
          <w:i/>
          <w:lang w:val="en-GB"/>
        </w:rPr>
        <w:t xml:space="preserve">/ </w:t>
      </w:r>
      <w:r w:rsidR="00B5373A" w:rsidRPr="005963E4">
        <w:rPr>
          <w:rFonts w:cstheme="minorHAnsi"/>
          <w:i/>
          <w:lang w:val="en-GB"/>
        </w:rPr>
        <w:t xml:space="preserve"> </w:t>
      </w:r>
      <w:r w:rsidR="00315411" w:rsidRPr="005963E4">
        <w:rPr>
          <w:rFonts w:cstheme="minorHAnsi"/>
          <w:i/>
          <w:lang w:val="en-GB"/>
        </w:rPr>
        <w:t>Rules</w:t>
      </w:r>
      <w:proofErr w:type="gramEnd"/>
      <w:r w:rsidR="00315411" w:rsidRPr="005963E4">
        <w:rPr>
          <w:rFonts w:cstheme="minorHAnsi"/>
          <w:i/>
          <w:lang w:val="en-GB"/>
        </w:rPr>
        <w:t xml:space="preserve"> relating to i</w:t>
      </w:r>
      <w:r w:rsidRPr="005963E4">
        <w:rPr>
          <w:rFonts w:cstheme="minorHAnsi"/>
          <w:i/>
          <w:lang w:val="en-GB"/>
        </w:rPr>
        <w:t xml:space="preserve">nternational </w:t>
      </w:r>
      <w:r w:rsidR="00315411" w:rsidRPr="005963E4">
        <w:rPr>
          <w:rFonts w:cstheme="minorHAnsi"/>
          <w:i/>
          <w:lang w:val="en-GB"/>
        </w:rPr>
        <w:t xml:space="preserve">data </w:t>
      </w:r>
      <w:r w:rsidRPr="005963E4">
        <w:rPr>
          <w:rFonts w:cstheme="minorHAnsi"/>
          <w:i/>
          <w:lang w:val="en-GB"/>
        </w:rPr>
        <w:t>transfer</w:t>
      </w:r>
      <w:r w:rsidR="00315411" w:rsidRPr="005963E4">
        <w:rPr>
          <w:rFonts w:cstheme="minorHAnsi"/>
          <w:i/>
          <w:lang w:val="en-GB"/>
        </w:rPr>
        <w:t>s</w:t>
      </w:r>
      <w:r w:rsidRPr="005963E4">
        <w:rPr>
          <w:rFonts w:cstheme="minorHAnsi"/>
          <w:i/>
          <w:lang w:val="en-GB"/>
        </w:rPr>
        <w:t xml:space="preserve"> and </w:t>
      </w:r>
      <w:r w:rsidR="00B5373A" w:rsidRPr="005963E4">
        <w:rPr>
          <w:rFonts w:cstheme="minorHAnsi"/>
          <w:i/>
          <w:lang w:val="en-GB"/>
        </w:rPr>
        <w:t xml:space="preserve">the </w:t>
      </w:r>
      <w:r w:rsidRPr="005963E4">
        <w:rPr>
          <w:rFonts w:cstheme="minorHAnsi"/>
          <w:i/>
          <w:lang w:val="en-GB"/>
        </w:rPr>
        <w:t xml:space="preserve">role of Processors/Controllers need to </w:t>
      </w:r>
      <w:r w:rsidR="00B5373A" w:rsidRPr="005963E4">
        <w:rPr>
          <w:rFonts w:cstheme="minorHAnsi"/>
          <w:i/>
          <w:lang w:val="en-GB"/>
        </w:rPr>
        <w:t xml:space="preserve">be </w:t>
      </w:r>
      <w:r w:rsidRPr="005963E4">
        <w:rPr>
          <w:rFonts w:cstheme="minorHAnsi"/>
          <w:i/>
          <w:lang w:val="en-GB"/>
        </w:rPr>
        <w:t xml:space="preserve">adapted to </w:t>
      </w:r>
      <w:r w:rsidR="00315411" w:rsidRPr="005963E4">
        <w:rPr>
          <w:rFonts w:cstheme="minorHAnsi"/>
          <w:i/>
          <w:lang w:val="en-GB"/>
        </w:rPr>
        <w:t xml:space="preserve">the </w:t>
      </w:r>
      <w:r w:rsidRPr="005963E4">
        <w:rPr>
          <w:rFonts w:cstheme="minorHAnsi"/>
          <w:i/>
          <w:lang w:val="en-GB"/>
        </w:rPr>
        <w:t>Cloud context</w:t>
      </w:r>
      <w:r w:rsidR="00B5373A" w:rsidRPr="005963E4">
        <w:rPr>
          <w:rFonts w:cstheme="minorHAnsi"/>
          <w:i/>
          <w:lang w:val="en-GB"/>
        </w:rPr>
        <w:t>.</w:t>
      </w:r>
    </w:p>
    <w:p w:rsidR="00AB30C4" w:rsidRPr="005963E4" w:rsidRDefault="00AB30C4" w:rsidP="00364E8D">
      <w:pPr>
        <w:pBdr>
          <w:top w:val="single" w:sz="4" w:space="1" w:color="auto"/>
          <w:left w:val="single" w:sz="4" w:space="4" w:color="auto"/>
          <w:bottom w:val="single" w:sz="4" w:space="1" w:color="auto"/>
          <w:right w:val="single" w:sz="4" w:space="4" w:color="auto"/>
        </w:pBdr>
        <w:shd w:val="clear" w:color="auto" w:fill="EEECE1" w:themeFill="background2"/>
        <w:spacing w:after="240" w:line="240" w:lineRule="auto"/>
        <w:jc w:val="both"/>
        <w:rPr>
          <w:rFonts w:cstheme="minorHAnsi"/>
          <w:i/>
          <w:lang w:val="en-GB"/>
        </w:rPr>
      </w:pPr>
      <w:r w:rsidRPr="005963E4">
        <w:rPr>
          <w:rFonts w:cstheme="minorHAnsi"/>
          <w:i/>
          <w:lang w:val="en-GB"/>
        </w:rPr>
        <w:t>6</w:t>
      </w:r>
      <w:proofErr w:type="gramStart"/>
      <w:r w:rsidRPr="005963E4">
        <w:rPr>
          <w:rFonts w:cstheme="minorHAnsi"/>
          <w:i/>
          <w:lang w:val="en-GB"/>
        </w:rPr>
        <w:t xml:space="preserve">/ </w:t>
      </w:r>
      <w:r w:rsidR="009F331F" w:rsidRPr="005963E4">
        <w:rPr>
          <w:rFonts w:cstheme="minorHAnsi"/>
          <w:i/>
          <w:lang w:val="en-GB"/>
        </w:rPr>
        <w:t xml:space="preserve"> </w:t>
      </w:r>
      <w:r w:rsidRPr="005963E4">
        <w:rPr>
          <w:rFonts w:cstheme="minorHAnsi"/>
          <w:i/>
          <w:lang w:val="en-GB"/>
        </w:rPr>
        <w:t>Breach</w:t>
      </w:r>
      <w:proofErr w:type="gramEnd"/>
      <w:r w:rsidRPr="005963E4">
        <w:rPr>
          <w:rFonts w:cstheme="minorHAnsi"/>
          <w:i/>
          <w:lang w:val="en-GB"/>
        </w:rPr>
        <w:t xml:space="preserve"> notice will drive improved data security across industry.  Such rules must be crafted in a way that ensures data subjects pay close attention to notices.</w:t>
      </w:r>
    </w:p>
    <w:p w:rsidR="00024DD8" w:rsidRPr="005963E4" w:rsidRDefault="00024DD8" w:rsidP="00364E8D">
      <w:pPr>
        <w:spacing w:after="240" w:line="240" w:lineRule="auto"/>
        <w:jc w:val="center"/>
        <w:rPr>
          <w:rFonts w:cstheme="minorHAnsi"/>
          <w:b/>
          <w:lang w:val="en-GB"/>
        </w:rPr>
      </w:pPr>
      <w:r w:rsidRPr="005963E4">
        <w:rPr>
          <w:rFonts w:cstheme="minorHAnsi"/>
          <w:b/>
          <w:lang w:val="en-GB"/>
        </w:rPr>
        <w:t>***</w:t>
      </w:r>
    </w:p>
    <w:p w:rsidR="00D93D9A" w:rsidRPr="005963E4" w:rsidRDefault="00D93D9A" w:rsidP="00364E8D">
      <w:pPr>
        <w:spacing w:after="240" w:line="240" w:lineRule="auto"/>
        <w:jc w:val="both"/>
        <w:rPr>
          <w:rFonts w:cstheme="minorHAnsi"/>
          <w:lang w:val="en-GB"/>
        </w:rPr>
      </w:pPr>
      <w:r w:rsidRPr="005963E4">
        <w:rPr>
          <w:rFonts w:cstheme="minorHAnsi"/>
          <w:lang w:val="en-GB"/>
        </w:rPr>
        <w:t>Microsoft welcomes efforts to strengthen and harmonise the EU’s data protection regime.  Our company’s greatest asset is customer trust and our technologies are developed with data protection in mind.  Our priority is to protect personal data in an age where we have ubiquitous connectivity, pervasive online business and social networking, and flows and storage of information all over the world on all kinds of computers and devices.</w:t>
      </w:r>
    </w:p>
    <w:p w:rsidR="00971F0A" w:rsidRPr="005963E4" w:rsidRDefault="00D93D9A" w:rsidP="00364E8D">
      <w:pPr>
        <w:spacing w:after="240" w:line="240" w:lineRule="auto"/>
        <w:jc w:val="both"/>
        <w:rPr>
          <w:rFonts w:cstheme="minorHAnsi"/>
          <w:lang w:val="en-GB"/>
        </w:rPr>
      </w:pPr>
      <w:r w:rsidRPr="005963E4">
        <w:rPr>
          <w:rFonts w:cstheme="minorHAnsi"/>
          <w:lang w:val="en-GB"/>
        </w:rPr>
        <w:t>As we know from our direct experience, the challenge before us lies in protecting Europeans’ privacy and at the same time enabling innovation</w:t>
      </w:r>
      <w:r w:rsidR="00971F0A" w:rsidRPr="005963E4">
        <w:rPr>
          <w:rFonts w:cstheme="minorHAnsi"/>
          <w:lang w:val="en-GB"/>
        </w:rPr>
        <w:t>.</w:t>
      </w:r>
      <w:r w:rsidRPr="005963E4">
        <w:rPr>
          <w:rFonts w:cstheme="minorHAnsi"/>
          <w:lang w:val="en-GB"/>
        </w:rPr>
        <w:t xml:space="preserve">  Achieving this requires that we strike a careful balance.  On the one hand, </w:t>
      </w:r>
      <w:r w:rsidR="00971F0A" w:rsidRPr="005963E4">
        <w:rPr>
          <w:rFonts w:cstheme="minorHAnsi"/>
          <w:lang w:val="en-GB"/>
        </w:rPr>
        <w:t xml:space="preserve">companies that process </w:t>
      </w:r>
      <w:r w:rsidRPr="005963E4">
        <w:rPr>
          <w:rFonts w:cstheme="minorHAnsi"/>
          <w:lang w:val="en-GB"/>
        </w:rPr>
        <w:t xml:space="preserve">data must be transparent about their processing practices and be responsible and accountable for applying high standards of data protection.  But at the same time, the EU Regulation should not dictate in a highly prescriptive way how privacy protections are to be implemented, nor should it introduce new burdens on controllers and processors that ultimately do little to advance privacy.  </w:t>
      </w:r>
    </w:p>
    <w:p w:rsidR="00D93D9A" w:rsidRPr="005963E4" w:rsidRDefault="00D93D9A" w:rsidP="00364E8D">
      <w:pPr>
        <w:spacing w:after="240" w:line="240" w:lineRule="auto"/>
        <w:jc w:val="both"/>
        <w:rPr>
          <w:rFonts w:cstheme="minorHAnsi"/>
          <w:lang w:val="en-GB"/>
        </w:rPr>
      </w:pPr>
      <w:r w:rsidRPr="005963E4">
        <w:rPr>
          <w:rFonts w:cstheme="minorHAnsi"/>
          <w:lang w:val="en-GB"/>
        </w:rPr>
        <w:t xml:space="preserve">Instead, organisations should be given flexibility to develop privacy protections that suit the circumstances involved, and should be given strong incentives to innovate to provide the strongest possible protections.  And where organisations fail to adequately secure and protect the personal data in their care, they should face meaningful penalties.  </w:t>
      </w:r>
    </w:p>
    <w:p w:rsidR="00D93D9A" w:rsidRPr="005963E4" w:rsidRDefault="00D93D9A" w:rsidP="00364E8D">
      <w:pPr>
        <w:spacing w:after="240" w:line="240" w:lineRule="auto"/>
        <w:jc w:val="both"/>
        <w:rPr>
          <w:rFonts w:cstheme="minorHAnsi"/>
          <w:lang w:val="en-GB"/>
        </w:rPr>
      </w:pPr>
      <w:r w:rsidRPr="005963E4">
        <w:rPr>
          <w:rFonts w:cstheme="minorHAnsi"/>
          <w:lang w:val="en-GB"/>
        </w:rPr>
        <w:lastRenderedPageBreak/>
        <w:t xml:space="preserve">The proposed Regulation takes important steps forward in this regard. </w:t>
      </w:r>
      <w:r w:rsidR="009F331F" w:rsidRPr="005963E4">
        <w:rPr>
          <w:rFonts w:cstheme="minorHAnsi"/>
          <w:lang w:val="en-GB"/>
        </w:rPr>
        <w:t xml:space="preserve"> </w:t>
      </w:r>
      <w:r w:rsidRPr="005963E4">
        <w:rPr>
          <w:rFonts w:cstheme="minorHAnsi"/>
          <w:lang w:val="en-GB"/>
        </w:rPr>
        <w:t>For example, the proposal includes measures requiring that organisations design technologies with privacy in mind, are transparent about their processing activities, and remain responsible for how they use personal data.  The proposal also helpfully addresses inconsistent rules and interpretations across the 27 EU Member States</w:t>
      </w:r>
      <w:r w:rsidR="00971F0A" w:rsidRPr="005963E4">
        <w:rPr>
          <w:rFonts w:cstheme="minorHAnsi"/>
          <w:lang w:val="en-GB"/>
        </w:rPr>
        <w:t xml:space="preserve"> via, for example, the “one-stop-shop” </w:t>
      </w:r>
      <w:proofErr w:type="gramStart"/>
      <w:r w:rsidR="00971F0A" w:rsidRPr="005963E4">
        <w:rPr>
          <w:rFonts w:cstheme="minorHAnsi"/>
          <w:lang w:val="en-GB"/>
        </w:rPr>
        <w:t>approach</w:t>
      </w:r>
      <w:proofErr w:type="gramEnd"/>
      <w:r w:rsidRPr="005963E4">
        <w:rPr>
          <w:rFonts w:cstheme="minorHAnsi"/>
          <w:lang w:val="en-GB"/>
        </w:rPr>
        <w:t>.</w:t>
      </w:r>
      <w:r w:rsidRPr="005963E4" w:rsidDel="008D44DE">
        <w:rPr>
          <w:rFonts w:cstheme="minorHAnsi"/>
          <w:lang w:val="en-GB"/>
        </w:rPr>
        <w:t xml:space="preserve"> </w:t>
      </w:r>
    </w:p>
    <w:p w:rsidR="00D93D9A" w:rsidRPr="005963E4" w:rsidRDefault="00971F0A" w:rsidP="00364E8D">
      <w:pPr>
        <w:spacing w:after="240" w:line="240" w:lineRule="auto"/>
        <w:jc w:val="both"/>
        <w:rPr>
          <w:rFonts w:cstheme="minorHAnsi"/>
          <w:lang w:val="en-GB"/>
        </w:rPr>
      </w:pPr>
      <w:r w:rsidRPr="005963E4">
        <w:rPr>
          <w:rFonts w:cstheme="minorHAnsi"/>
          <w:lang w:val="en-GB"/>
        </w:rPr>
        <w:t>However, o</w:t>
      </w:r>
      <w:r w:rsidR="00D93D9A" w:rsidRPr="005963E4">
        <w:rPr>
          <w:rFonts w:cstheme="minorHAnsi"/>
          <w:lang w:val="en-GB"/>
        </w:rPr>
        <w:t xml:space="preserve">ther proposals need refining to ensure that the protections they offer are both strong </w:t>
      </w:r>
      <w:r w:rsidR="00D93D9A" w:rsidRPr="005963E4">
        <w:rPr>
          <w:rFonts w:cstheme="minorHAnsi"/>
          <w:i/>
          <w:lang w:val="en-GB"/>
        </w:rPr>
        <w:t>and</w:t>
      </w:r>
      <w:r w:rsidR="00D93D9A" w:rsidRPr="005963E4">
        <w:rPr>
          <w:rFonts w:cstheme="minorHAnsi"/>
          <w:lang w:val="en-GB"/>
        </w:rPr>
        <w:t xml:space="preserve"> workable</w:t>
      </w:r>
      <w:r w:rsidRPr="005963E4">
        <w:rPr>
          <w:rFonts w:cstheme="minorHAnsi"/>
          <w:lang w:val="en-GB"/>
        </w:rPr>
        <w:t>.</w:t>
      </w:r>
      <w:r w:rsidR="00D93D9A" w:rsidRPr="005963E4">
        <w:rPr>
          <w:rFonts w:cstheme="minorHAnsi"/>
          <w:lang w:val="en-GB"/>
        </w:rPr>
        <w:t xml:space="preserve">  For that reason, we think some amendments to the Regulation may be appropriate, among them in relation to: </w:t>
      </w:r>
    </w:p>
    <w:p w:rsidR="00971F0A" w:rsidRPr="005963E4" w:rsidRDefault="00D93D9A" w:rsidP="00364E8D">
      <w:pPr>
        <w:pStyle w:val="ListParagraph"/>
        <w:numPr>
          <w:ilvl w:val="0"/>
          <w:numId w:val="1"/>
        </w:numPr>
        <w:ind w:left="360"/>
        <w:jc w:val="both"/>
        <w:rPr>
          <w:rFonts w:asciiTheme="minorHAnsi" w:hAnsiTheme="minorHAnsi" w:cstheme="minorHAnsi"/>
          <w:sz w:val="22"/>
          <w:szCs w:val="22"/>
          <w:lang w:val="en-GB"/>
        </w:rPr>
      </w:pPr>
      <w:r w:rsidRPr="005963E4">
        <w:rPr>
          <w:rFonts w:asciiTheme="minorHAnsi" w:hAnsiTheme="minorHAnsi" w:cstheme="minorHAnsi"/>
          <w:b/>
          <w:sz w:val="22"/>
          <w:szCs w:val="22"/>
          <w:lang w:val="en-GB"/>
        </w:rPr>
        <w:t>International data transfers:</w:t>
      </w:r>
      <w:r w:rsidRPr="005963E4">
        <w:rPr>
          <w:rFonts w:asciiTheme="minorHAnsi" w:hAnsiTheme="minorHAnsi" w:cstheme="minorHAnsi"/>
          <w:sz w:val="22"/>
          <w:szCs w:val="22"/>
          <w:lang w:val="en-GB"/>
        </w:rPr>
        <w:t xml:space="preserve">  The Regulation introduces important new mechanisms to facilitate the secure flow of personal data, including in the cloud.  These mechanisms include new rules on “standard” </w:t>
      </w:r>
      <w:r w:rsidR="00971F0A" w:rsidRPr="005963E4">
        <w:rPr>
          <w:rFonts w:asciiTheme="minorHAnsi" w:hAnsiTheme="minorHAnsi" w:cstheme="minorHAnsi"/>
          <w:sz w:val="22"/>
          <w:szCs w:val="22"/>
          <w:lang w:val="en-GB"/>
        </w:rPr>
        <w:t xml:space="preserve">contractual </w:t>
      </w:r>
      <w:r w:rsidRPr="005963E4">
        <w:rPr>
          <w:rFonts w:asciiTheme="minorHAnsi" w:hAnsiTheme="minorHAnsi" w:cstheme="minorHAnsi"/>
          <w:sz w:val="22"/>
          <w:szCs w:val="22"/>
          <w:lang w:val="en-GB"/>
        </w:rPr>
        <w:t xml:space="preserve">clauses.  We welcome these measures.  But Microsoft also believes that cloud processors and others should be encouraged to go </w:t>
      </w:r>
      <w:r w:rsidRPr="005963E4">
        <w:rPr>
          <w:rFonts w:asciiTheme="minorHAnsi" w:hAnsiTheme="minorHAnsi" w:cstheme="minorHAnsi"/>
          <w:sz w:val="22"/>
          <w:szCs w:val="22"/>
          <w:u w:val="single"/>
          <w:lang w:val="en-GB"/>
        </w:rPr>
        <w:t>beyond</w:t>
      </w:r>
      <w:r w:rsidRPr="005963E4">
        <w:rPr>
          <w:rFonts w:asciiTheme="minorHAnsi" w:hAnsiTheme="minorHAnsi" w:cstheme="minorHAnsi"/>
          <w:sz w:val="22"/>
          <w:szCs w:val="22"/>
          <w:lang w:val="en-GB"/>
        </w:rPr>
        <w:t xml:space="preserve"> the “baseline” safeguards set out in the Regulation in certain contexts.  Where controllers and processors have practical experience that suggests that </w:t>
      </w:r>
      <w:r w:rsidRPr="005963E4">
        <w:rPr>
          <w:rFonts w:asciiTheme="minorHAnsi" w:hAnsiTheme="minorHAnsi" w:cstheme="minorHAnsi"/>
          <w:sz w:val="22"/>
          <w:szCs w:val="22"/>
          <w:u w:val="single"/>
          <w:lang w:val="en-GB"/>
        </w:rPr>
        <w:t>additional</w:t>
      </w:r>
      <w:r w:rsidRPr="005963E4">
        <w:rPr>
          <w:rFonts w:asciiTheme="minorHAnsi" w:hAnsiTheme="minorHAnsi" w:cstheme="minorHAnsi"/>
          <w:sz w:val="22"/>
          <w:szCs w:val="22"/>
          <w:lang w:val="en-GB"/>
        </w:rPr>
        <w:t xml:space="preserve"> safeguards are appropriate to protect data, they should be incentivised to adopt these safeguards.  Our amendments create a mechanism to do this.  </w:t>
      </w:r>
      <w:r w:rsidR="00971F0A" w:rsidRPr="005963E4">
        <w:rPr>
          <w:rFonts w:asciiTheme="minorHAnsi" w:hAnsiTheme="minorHAnsi" w:cstheme="minorHAnsi"/>
          <w:sz w:val="22"/>
          <w:szCs w:val="22"/>
          <w:lang w:val="en-GB"/>
        </w:rPr>
        <w:t>Specifically, our amendments:</w:t>
      </w:r>
    </w:p>
    <w:p w:rsidR="00D93D9A" w:rsidRPr="005963E4" w:rsidRDefault="00D93D9A" w:rsidP="00364E8D">
      <w:pPr>
        <w:pStyle w:val="ListParagraph"/>
        <w:numPr>
          <w:ilvl w:val="0"/>
          <w:numId w:val="2"/>
        </w:numPr>
        <w:ind w:left="1060" w:hanging="284"/>
        <w:jc w:val="both"/>
        <w:rPr>
          <w:rFonts w:asciiTheme="minorHAnsi" w:hAnsiTheme="minorHAnsi" w:cstheme="minorHAnsi"/>
          <w:sz w:val="22"/>
          <w:szCs w:val="22"/>
          <w:lang w:val="en-GB"/>
        </w:rPr>
      </w:pPr>
      <w:r w:rsidRPr="005963E4">
        <w:rPr>
          <w:rFonts w:asciiTheme="minorHAnsi" w:hAnsiTheme="minorHAnsi" w:cstheme="minorHAnsi"/>
          <w:sz w:val="22"/>
          <w:szCs w:val="22"/>
          <w:lang w:val="en-GB"/>
        </w:rPr>
        <w:t>propose a change to Article 42 to make it clear that organisations can offer supplemental, legally binding protections (e.g.</w:t>
      </w:r>
      <w:r w:rsidR="009F331F" w:rsidRPr="005963E4">
        <w:rPr>
          <w:rFonts w:asciiTheme="minorHAnsi" w:hAnsiTheme="minorHAnsi" w:cstheme="minorHAnsi"/>
          <w:sz w:val="22"/>
          <w:szCs w:val="22"/>
          <w:lang w:val="en-GB"/>
        </w:rPr>
        <w:t>,</w:t>
      </w:r>
      <w:r w:rsidRPr="005963E4">
        <w:rPr>
          <w:rFonts w:asciiTheme="minorHAnsi" w:hAnsiTheme="minorHAnsi" w:cstheme="minorHAnsi"/>
          <w:sz w:val="22"/>
          <w:szCs w:val="22"/>
          <w:lang w:val="en-GB"/>
        </w:rPr>
        <w:t xml:space="preserve"> data processing agreements) in addition to the protections included in the standard clauses,</w:t>
      </w:r>
    </w:p>
    <w:p w:rsidR="00D93D9A" w:rsidRPr="005963E4" w:rsidRDefault="00D93D9A" w:rsidP="00364E8D">
      <w:pPr>
        <w:pStyle w:val="ListParagraph"/>
        <w:ind w:left="1060"/>
        <w:jc w:val="both"/>
        <w:rPr>
          <w:rFonts w:asciiTheme="minorHAnsi" w:hAnsiTheme="minorHAnsi" w:cstheme="minorHAnsi"/>
          <w:sz w:val="22"/>
          <w:szCs w:val="22"/>
          <w:lang w:val="en-GB"/>
        </w:rPr>
      </w:pPr>
    </w:p>
    <w:p w:rsidR="00D93D9A" w:rsidRPr="005963E4" w:rsidRDefault="00D93D9A" w:rsidP="00364E8D">
      <w:pPr>
        <w:pStyle w:val="ListParagraph"/>
        <w:numPr>
          <w:ilvl w:val="0"/>
          <w:numId w:val="2"/>
        </w:numPr>
        <w:ind w:left="1060" w:hanging="284"/>
        <w:jc w:val="both"/>
        <w:rPr>
          <w:rFonts w:asciiTheme="minorHAnsi" w:hAnsiTheme="minorHAnsi" w:cstheme="minorHAnsi"/>
          <w:sz w:val="22"/>
          <w:szCs w:val="22"/>
          <w:lang w:val="en-GB"/>
        </w:rPr>
      </w:pPr>
      <w:r w:rsidRPr="005963E4">
        <w:rPr>
          <w:rFonts w:asciiTheme="minorHAnsi" w:hAnsiTheme="minorHAnsi" w:cstheme="minorHAnsi"/>
          <w:sz w:val="22"/>
          <w:szCs w:val="22"/>
          <w:lang w:val="en-GB"/>
        </w:rPr>
        <w:t xml:space="preserve">propose a further change to Article 42 to offer organisations an incentive -- in the form of an EU data protection seal or trust mark -- to adopt such supplemental protections, and </w:t>
      </w:r>
    </w:p>
    <w:p w:rsidR="00D93D9A" w:rsidRPr="005963E4" w:rsidRDefault="00D93D9A" w:rsidP="00364E8D">
      <w:pPr>
        <w:pStyle w:val="ListParagraph"/>
        <w:ind w:left="1060"/>
        <w:jc w:val="both"/>
        <w:rPr>
          <w:rFonts w:asciiTheme="minorHAnsi" w:hAnsiTheme="minorHAnsi" w:cstheme="minorHAnsi"/>
          <w:sz w:val="22"/>
          <w:szCs w:val="22"/>
          <w:lang w:val="en-GB"/>
        </w:rPr>
      </w:pPr>
    </w:p>
    <w:p w:rsidR="00D93D9A" w:rsidRPr="005963E4" w:rsidRDefault="00D93D9A" w:rsidP="00364E8D">
      <w:pPr>
        <w:pStyle w:val="ListParagraph"/>
        <w:numPr>
          <w:ilvl w:val="0"/>
          <w:numId w:val="2"/>
        </w:numPr>
        <w:ind w:left="1060" w:hanging="284"/>
        <w:jc w:val="both"/>
        <w:rPr>
          <w:rFonts w:asciiTheme="minorHAnsi" w:hAnsiTheme="minorHAnsi" w:cstheme="minorHAnsi"/>
          <w:sz w:val="22"/>
          <w:szCs w:val="22"/>
          <w:lang w:val="en-GB"/>
        </w:rPr>
      </w:pPr>
      <w:r w:rsidRPr="005963E4">
        <w:rPr>
          <w:rFonts w:asciiTheme="minorHAnsi" w:hAnsiTheme="minorHAnsi" w:cstheme="minorHAnsi"/>
          <w:sz w:val="22"/>
          <w:szCs w:val="22"/>
          <w:lang w:val="en-GB"/>
        </w:rPr>
        <w:t xml:space="preserve"> </w:t>
      </w:r>
      <w:proofErr w:type="gramStart"/>
      <w:r w:rsidRPr="005963E4">
        <w:rPr>
          <w:rFonts w:asciiTheme="minorHAnsi" w:hAnsiTheme="minorHAnsi" w:cstheme="minorHAnsi"/>
          <w:sz w:val="22"/>
          <w:szCs w:val="22"/>
          <w:lang w:val="en-GB"/>
        </w:rPr>
        <w:t>propose</w:t>
      </w:r>
      <w:proofErr w:type="gramEnd"/>
      <w:r w:rsidRPr="005963E4">
        <w:rPr>
          <w:rFonts w:asciiTheme="minorHAnsi" w:hAnsiTheme="minorHAnsi" w:cstheme="minorHAnsi"/>
          <w:sz w:val="22"/>
          <w:szCs w:val="22"/>
          <w:lang w:val="en-GB"/>
        </w:rPr>
        <w:t xml:space="preserve"> a change to Article 39 (on certifications) that requires that any mechanisms for seals or trust marks are voluntary, affordable, technology neutral and capable of global recognition.  This will ensure that certifications are open to the widest possible participation by all controllers and processors.  </w:t>
      </w:r>
    </w:p>
    <w:p w:rsidR="0091794D" w:rsidRPr="005963E4" w:rsidRDefault="0091794D" w:rsidP="00364E8D">
      <w:pPr>
        <w:spacing w:after="0" w:line="240" w:lineRule="auto"/>
        <w:jc w:val="both"/>
        <w:rPr>
          <w:rFonts w:cstheme="minorHAnsi"/>
          <w:lang w:val="en-GB"/>
        </w:rPr>
      </w:pPr>
    </w:p>
    <w:p w:rsidR="0091794D" w:rsidRPr="005963E4" w:rsidRDefault="00D93D9A" w:rsidP="00364E8D">
      <w:pPr>
        <w:pStyle w:val="ListParagraph"/>
        <w:numPr>
          <w:ilvl w:val="0"/>
          <w:numId w:val="1"/>
        </w:numPr>
        <w:ind w:left="360"/>
        <w:jc w:val="both"/>
        <w:rPr>
          <w:rFonts w:asciiTheme="minorHAnsi" w:hAnsiTheme="minorHAnsi" w:cstheme="minorHAnsi"/>
          <w:sz w:val="22"/>
          <w:szCs w:val="22"/>
          <w:lang w:val="en-GB"/>
        </w:rPr>
      </w:pPr>
      <w:r w:rsidRPr="005963E4">
        <w:rPr>
          <w:rFonts w:asciiTheme="minorHAnsi" w:hAnsiTheme="minorHAnsi" w:cstheme="minorHAnsi"/>
          <w:b/>
          <w:sz w:val="22"/>
          <w:szCs w:val="22"/>
          <w:lang w:val="en-GB"/>
        </w:rPr>
        <w:t>Processors and controllers</w:t>
      </w:r>
      <w:r w:rsidRPr="005963E4">
        <w:rPr>
          <w:rFonts w:asciiTheme="minorHAnsi" w:hAnsiTheme="minorHAnsi" w:cstheme="minorHAnsi"/>
          <w:sz w:val="22"/>
          <w:szCs w:val="22"/>
          <w:lang w:val="en-GB"/>
        </w:rPr>
        <w:t xml:space="preserve">:  Consistent with the existing EU framework, the proposed Regulation continues to allocate responsibilities between “data controllers” and “data processors.”  Because controllers and processors have different obligations and liabilities, it is </w:t>
      </w:r>
      <w:proofErr w:type="gramStart"/>
      <w:r w:rsidRPr="005963E4">
        <w:rPr>
          <w:rFonts w:asciiTheme="minorHAnsi" w:hAnsiTheme="minorHAnsi" w:cstheme="minorHAnsi"/>
          <w:sz w:val="22"/>
          <w:szCs w:val="22"/>
          <w:u w:val="single"/>
          <w:lang w:val="en-GB"/>
        </w:rPr>
        <w:t>key</w:t>
      </w:r>
      <w:proofErr w:type="gramEnd"/>
      <w:r w:rsidRPr="005963E4">
        <w:rPr>
          <w:rFonts w:asciiTheme="minorHAnsi" w:hAnsiTheme="minorHAnsi" w:cstheme="minorHAnsi"/>
          <w:sz w:val="22"/>
          <w:szCs w:val="22"/>
          <w:lang w:val="en-GB"/>
        </w:rPr>
        <w:t xml:space="preserve"> that organisations understand when they are a controller and when they are a processor.  The proposed Regulation would distinguish between these roles by defining “controllers” as those who are responsible for determining the “</w:t>
      </w:r>
      <w:r w:rsidRPr="005963E4">
        <w:rPr>
          <w:rFonts w:asciiTheme="minorHAnsi" w:hAnsiTheme="minorHAnsi" w:cstheme="minorHAnsi"/>
          <w:sz w:val="22"/>
          <w:szCs w:val="22"/>
          <w:u w:val="single"/>
          <w:lang w:val="en-GB"/>
        </w:rPr>
        <w:t>purposes, means and conditions</w:t>
      </w:r>
      <w:r w:rsidRPr="005963E4">
        <w:rPr>
          <w:rFonts w:asciiTheme="minorHAnsi" w:hAnsiTheme="minorHAnsi" w:cstheme="minorHAnsi"/>
          <w:sz w:val="22"/>
          <w:szCs w:val="22"/>
          <w:lang w:val="en-GB"/>
        </w:rPr>
        <w:t xml:space="preserve">” of processing.  But with the evolution of new computing models, processors are playing a greater role in determining the means and conditions of processing.  As a result, the line between controllers and processors is blurring.  We propose an amendment that we believe will help to clarify what role a given entity is playing depending on their involvement in the processing of personal data.  Specifically, our amendment would make it clear that the controller is the one who determines the </w:t>
      </w:r>
      <w:r w:rsidRPr="005963E4">
        <w:rPr>
          <w:rFonts w:asciiTheme="minorHAnsi" w:hAnsiTheme="minorHAnsi" w:cstheme="minorHAnsi"/>
          <w:i/>
          <w:sz w:val="22"/>
          <w:szCs w:val="22"/>
          <w:u w:val="single"/>
          <w:lang w:val="en-GB"/>
        </w:rPr>
        <w:t>purposes</w:t>
      </w:r>
      <w:r w:rsidRPr="005963E4">
        <w:rPr>
          <w:rFonts w:asciiTheme="minorHAnsi" w:hAnsiTheme="minorHAnsi" w:cstheme="minorHAnsi"/>
          <w:sz w:val="22"/>
          <w:szCs w:val="22"/>
          <w:u w:val="single"/>
          <w:lang w:val="en-GB"/>
        </w:rPr>
        <w:t xml:space="preserve"> of processing.</w:t>
      </w:r>
      <w:r w:rsidRPr="005963E4">
        <w:rPr>
          <w:rFonts w:asciiTheme="minorHAnsi" w:hAnsiTheme="minorHAnsi" w:cstheme="minorHAnsi"/>
          <w:sz w:val="22"/>
          <w:szCs w:val="22"/>
          <w:lang w:val="en-GB"/>
        </w:rPr>
        <w:t xml:space="preserve">  </w:t>
      </w:r>
    </w:p>
    <w:p w:rsidR="0091794D" w:rsidRPr="005963E4" w:rsidRDefault="0091794D" w:rsidP="00364E8D">
      <w:pPr>
        <w:pStyle w:val="ListParagraph"/>
        <w:ind w:left="360"/>
        <w:jc w:val="both"/>
        <w:rPr>
          <w:rFonts w:asciiTheme="minorHAnsi" w:hAnsiTheme="minorHAnsi" w:cstheme="minorHAnsi"/>
          <w:sz w:val="22"/>
          <w:szCs w:val="22"/>
          <w:lang w:val="en-GB"/>
        </w:rPr>
      </w:pPr>
    </w:p>
    <w:p w:rsidR="0091794D" w:rsidRPr="005963E4" w:rsidRDefault="00D93D9A" w:rsidP="00364E8D">
      <w:pPr>
        <w:pStyle w:val="ListParagraph"/>
        <w:numPr>
          <w:ilvl w:val="0"/>
          <w:numId w:val="1"/>
        </w:numPr>
        <w:ind w:left="360"/>
        <w:jc w:val="both"/>
        <w:rPr>
          <w:rFonts w:asciiTheme="minorHAnsi" w:hAnsiTheme="minorHAnsi" w:cstheme="minorHAnsi"/>
          <w:sz w:val="22"/>
          <w:szCs w:val="22"/>
          <w:lang w:val="en-GB"/>
        </w:rPr>
      </w:pPr>
      <w:r w:rsidRPr="005963E4">
        <w:rPr>
          <w:rFonts w:asciiTheme="minorHAnsi" w:hAnsiTheme="minorHAnsi" w:cstheme="minorHAnsi"/>
          <w:b/>
          <w:sz w:val="22"/>
          <w:szCs w:val="22"/>
          <w:lang w:val="en-GB"/>
        </w:rPr>
        <w:t>One-stop-shop:</w:t>
      </w:r>
      <w:r w:rsidRPr="005963E4">
        <w:rPr>
          <w:rFonts w:asciiTheme="minorHAnsi" w:hAnsiTheme="minorHAnsi" w:cstheme="minorHAnsi"/>
          <w:sz w:val="22"/>
          <w:szCs w:val="22"/>
          <w:lang w:val="en-GB"/>
        </w:rPr>
        <w:t xml:space="preserve">  Today, </w:t>
      </w:r>
      <w:r w:rsidR="0091794D" w:rsidRPr="005963E4">
        <w:rPr>
          <w:rFonts w:asciiTheme="minorHAnsi" w:hAnsiTheme="minorHAnsi" w:cstheme="minorHAnsi"/>
          <w:sz w:val="22"/>
          <w:szCs w:val="22"/>
          <w:lang w:val="en-GB"/>
        </w:rPr>
        <w:t xml:space="preserve">companies that operate </w:t>
      </w:r>
      <w:r w:rsidRPr="005963E4">
        <w:rPr>
          <w:rFonts w:asciiTheme="minorHAnsi" w:hAnsiTheme="minorHAnsi" w:cstheme="minorHAnsi"/>
          <w:sz w:val="22"/>
          <w:szCs w:val="22"/>
          <w:lang w:val="en-GB"/>
        </w:rPr>
        <w:t xml:space="preserve">across Europe are subject to multiple and divergent national data protection regimes.  To address this problem, the Regulation introduces a “one-stop-shop,” based on the location of an organisation’s “main establishment.” </w:t>
      </w:r>
      <w:r w:rsidR="00153480" w:rsidRPr="005963E4">
        <w:rPr>
          <w:rFonts w:asciiTheme="minorHAnsi" w:hAnsiTheme="minorHAnsi" w:cstheme="minorHAnsi"/>
          <w:sz w:val="22"/>
          <w:szCs w:val="22"/>
          <w:lang w:val="en-GB"/>
        </w:rPr>
        <w:t xml:space="preserve"> </w:t>
      </w:r>
      <w:r w:rsidRPr="005963E4">
        <w:rPr>
          <w:rFonts w:asciiTheme="minorHAnsi" w:hAnsiTheme="minorHAnsi" w:cstheme="minorHAnsi"/>
          <w:sz w:val="22"/>
          <w:szCs w:val="22"/>
          <w:lang w:val="en-GB"/>
        </w:rPr>
        <w:t xml:space="preserve">This approach offers a significant improvement over the existing, fragmented regime.  Less helpfully, however, the Regulation applies </w:t>
      </w:r>
      <w:r w:rsidRPr="005963E4">
        <w:rPr>
          <w:rFonts w:asciiTheme="minorHAnsi" w:hAnsiTheme="minorHAnsi" w:cstheme="minorHAnsi"/>
          <w:sz w:val="22"/>
          <w:szCs w:val="22"/>
          <w:u w:val="single"/>
          <w:lang w:val="en-GB"/>
        </w:rPr>
        <w:t>different</w:t>
      </w:r>
      <w:r w:rsidRPr="005963E4">
        <w:rPr>
          <w:rFonts w:asciiTheme="minorHAnsi" w:hAnsiTheme="minorHAnsi" w:cstheme="minorHAnsi"/>
          <w:sz w:val="22"/>
          <w:szCs w:val="22"/>
          <w:lang w:val="en-GB"/>
        </w:rPr>
        <w:t xml:space="preserve"> tests for controllers and processors in determining their country of main establishment.  As with the rules defining the terms “controller” and “processor,” the approach to </w:t>
      </w:r>
      <w:r w:rsidRPr="005963E4">
        <w:rPr>
          <w:rFonts w:asciiTheme="minorHAnsi" w:hAnsiTheme="minorHAnsi" w:cstheme="minorHAnsi"/>
          <w:sz w:val="22"/>
          <w:szCs w:val="22"/>
          <w:lang w:val="en-GB"/>
        </w:rPr>
        <w:lastRenderedPageBreak/>
        <w:t xml:space="preserve">“main establishment” does not reflect how many organisations currently operate.  Today, in practice, many controllers also act as processors.  Proposing a test for main establishment that subjects controllers and processors to </w:t>
      </w:r>
      <w:r w:rsidRPr="005963E4">
        <w:rPr>
          <w:rFonts w:asciiTheme="minorHAnsi" w:hAnsiTheme="minorHAnsi" w:cstheme="minorHAnsi"/>
          <w:i/>
          <w:sz w:val="22"/>
          <w:szCs w:val="22"/>
          <w:u w:val="single"/>
          <w:lang w:val="en-GB"/>
        </w:rPr>
        <w:t>different</w:t>
      </w:r>
      <w:r w:rsidRPr="005963E4">
        <w:rPr>
          <w:rFonts w:asciiTheme="minorHAnsi" w:hAnsiTheme="minorHAnsi" w:cstheme="minorHAnsi"/>
          <w:sz w:val="22"/>
          <w:szCs w:val="22"/>
          <w:lang w:val="en-GB"/>
        </w:rPr>
        <w:t xml:space="preserve"> tests means that those controllers that also act as processors will be once again subject to multiple national authorities, and will find </w:t>
      </w:r>
      <w:proofErr w:type="gramStart"/>
      <w:r w:rsidRPr="005963E4">
        <w:rPr>
          <w:rFonts w:asciiTheme="minorHAnsi" w:hAnsiTheme="minorHAnsi" w:cstheme="minorHAnsi"/>
          <w:sz w:val="22"/>
          <w:szCs w:val="22"/>
          <w:lang w:val="en-GB"/>
        </w:rPr>
        <w:t>themselves</w:t>
      </w:r>
      <w:proofErr w:type="gramEnd"/>
      <w:r w:rsidRPr="005963E4">
        <w:rPr>
          <w:rFonts w:asciiTheme="minorHAnsi" w:hAnsiTheme="minorHAnsi" w:cstheme="minorHAnsi"/>
          <w:sz w:val="22"/>
          <w:szCs w:val="22"/>
          <w:lang w:val="en-GB"/>
        </w:rPr>
        <w:t xml:space="preserve"> unable to benefit from the one-stop-shop.  We propose an amendment that would subject controllers to the </w:t>
      </w:r>
      <w:r w:rsidRPr="005963E4">
        <w:rPr>
          <w:rFonts w:asciiTheme="minorHAnsi" w:hAnsiTheme="minorHAnsi" w:cstheme="minorHAnsi"/>
          <w:sz w:val="22"/>
          <w:szCs w:val="22"/>
          <w:u w:val="single"/>
          <w:lang w:val="en-GB"/>
        </w:rPr>
        <w:t>same</w:t>
      </w:r>
      <w:r w:rsidRPr="005963E4">
        <w:rPr>
          <w:rFonts w:asciiTheme="minorHAnsi" w:hAnsiTheme="minorHAnsi" w:cstheme="minorHAnsi"/>
          <w:sz w:val="22"/>
          <w:szCs w:val="22"/>
          <w:lang w:val="en-GB"/>
        </w:rPr>
        <w:t xml:space="preserve"> test as processors when they are playing both roles. </w:t>
      </w:r>
    </w:p>
    <w:p w:rsidR="0091794D" w:rsidRPr="005963E4" w:rsidRDefault="0091794D" w:rsidP="00364E8D">
      <w:pPr>
        <w:pStyle w:val="ListParagraph"/>
        <w:ind w:left="360"/>
        <w:jc w:val="both"/>
        <w:rPr>
          <w:rFonts w:asciiTheme="minorHAnsi" w:hAnsiTheme="minorHAnsi" w:cstheme="minorHAnsi"/>
          <w:sz w:val="22"/>
          <w:szCs w:val="22"/>
          <w:lang w:val="en-GB"/>
        </w:rPr>
      </w:pPr>
    </w:p>
    <w:p w:rsidR="00D93D9A" w:rsidRPr="005963E4" w:rsidRDefault="00D93D9A" w:rsidP="00364E8D">
      <w:pPr>
        <w:pStyle w:val="ListParagraph"/>
        <w:numPr>
          <w:ilvl w:val="0"/>
          <w:numId w:val="1"/>
        </w:numPr>
        <w:ind w:left="360"/>
        <w:jc w:val="both"/>
        <w:rPr>
          <w:rFonts w:asciiTheme="minorHAnsi" w:hAnsiTheme="minorHAnsi" w:cstheme="minorHAnsi"/>
          <w:sz w:val="22"/>
          <w:szCs w:val="22"/>
          <w:lang w:val="en-GB"/>
        </w:rPr>
      </w:pPr>
      <w:r w:rsidRPr="005963E4">
        <w:rPr>
          <w:rFonts w:asciiTheme="minorHAnsi" w:hAnsiTheme="minorHAnsi" w:cstheme="minorHAnsi"/>
          <w:b/>
          <w:sz w:val="22"/>
          <w:szCs w:val="22"/>
          <w:lang w:val="en-GB"/>
        </w:rPr>
        <w:t xml:space="preserve">Delegated acts: </w:t>
      </w:r>
      <w:r w:rsidRPr="005963E4">
        <w:rPr>
          <w:rFonts w:asciiTheme="minorHAnsi" w:hAnsiTheme="minorHAnsi" w:cstheme="minorHAnsi"/>
          <w:sz w:val="22"/>
          <w:szCs w:val="22"/>
          <w:lang w:val="en-GB"/>
        </w:rPr>
        <w:t xml:space="preserve"> The Regulation includes 26 provisions conferring power on the Commission to adopt delegated acts.  These provisions should be significantly reduced.  For example, many of these provisions deal with essential elements of the law.  These essential elements should be addressed in the Regulation itself, not left to secondary law-making by the Commission.  Other delegated act provisions give the Commission power to prescribe technical formats, standards and solutions -- threatening to replace industry innovation with regulatory intervention.  Our proposed amendment would delete those provisions that relate to essential elements of the law and/or that are better addressed through innovation.  Finally, as the Article 29 Working Party and the E</w:t>
      </w:r>
      <w:r w:rsidR="0091794D" w:rsidRPr="005963E4">
        <w:rPr>
          <w:rFonts w:asciiTheme="minorHAnsi" w:hAnsiTheme="minorHAnsi" w:cstheme="minorHAnsi"/>
          <w:sz w:val="22"/>
          <w:szCs w:val="22"/>
          <w:lang w:val="en-GB"/>
        </w:rPr>
        <w:t xml:space="preserve">U </w:t>
      </w:r>
      <w:r w:rsidRPr="005963E4">
        <w:rPr>
          <w:rFonts w:asciiTheme="minorHAnsi" w:hAnsiTheme="minorHAnsi" w:cstheme="minorHAnsi"/>
          <w:sz w:val="22"/>
          <w:szCs w:val="22"/>
          <w:lang w:val="en-GB"/>
        </w:rPr>
        <w:t>D</w:t>
      </w:r>
      <w:r w:rsidR="0091794D" w:rsidRPr="005963E4">
        <w:rPr>
          <w:rFonts w:asciiTheme="minorHAnsi" w:hAnsiTheme="minorHAnsi" w:cstheme="minorHAnsi"/>
          <w:sz w:val="22"/>
          <w:szCs w:val="22"/>
          <w:lang w:val="en-GB"/>
        </w:rPr>
        <w:t xml:space="preserve">ata </w:t>
      </w:r>
      <w:r w:rsidRPr="005963E4">
        <w:rPr>
          <w:rFonts w:asciiTheme="minorHAnsi" w:hAnsiTheme="minorHAnsi" w:cstheme="minorHAnsi"/>
          <w:sz w:val="22"/>
          <w:szCs w:val="22"/>
          <w:lang w:val="en-GB"/>
        </w:rPr>
        <w:t>P</w:t>
      </w:r>
      <w:r w:rsidR="0091794D" w:rsidRPr="005963E4">
        <w:rPr>
          <w:rFonts w:asciiTheme="minorHAnsi" w:hAnsiTheme="minorHAnsi" w:cstheme="minorHAnsi"/>
          <w:sz w:val="22"/>
          <w:szCs w:val="22"/>
          <w:lang w:val="en-GB"/>
        </w:rPr>
        <w:t xml:space="preserve">rotection </w:t>
      </w:r>
      <w:r w:rsidRPr="005963E4">
        <w:rPr>
          <w:rFonts w:asciiTheme="minorHAnsi" w:hAnsiTheme="minorHAnsi" w:cstheme="minorHAnsi"/>
          <w:sz w:val="22"/>
          <w:szCs w:val="22"/>
          <w:lang w:val="en-GB"/>
        </w:rPr>
        <w:t>S</w:t>
      </w:r>
      <w:r w:rsidR="0091794D" w:rsidRPr="005963E4">
        <w:rPr>
          <w:rFonts w:asciiTheme="minorHAnsi" w:hAnsiTheme="minorHAnsi" w:cstheme="minorHAnsi"/>
          <w:sz w:val="22"/>
          <w:szCs w:val="22"/>
          <w:lang w:val="en-GB"/>
        </w:rPr>
        <w:t>upervisor</w:t>
      </w:r>
      <w:r w:rsidRPr="005963E4">
        <w:rPr>
          <w:rFonts w:asciiTheme="minorHAnsi" w:hAnsiTheme="minorHAnsi" w:cstheme="minorHAnsi"/>
          <w:sz w:val="22"/>
          <w:szCs w:val="22"/>
          <w:lang w:val="en-GB"/>
        </w:rPr>
        <w:t xml:space="preserve"> have noted, the delegated act provisions do not include a clear timetable for implementation.  Our amendment would also introduce a deadline for the adoption of delegated acts.</w:t>
      </w:r>
    </w:p>
    <w:p w:rsidR="0091794D" w:rsidRPr="005963E4" w:rsidRDefault="0091794D" w:rsidP="00364E8D">
      <w:pPr>
        <w:pStyle w:val="ListParagraph"/>
        <w:rPr>
          <w:rFonts w:asciiTheme="minorHAnsi" w:hAnsiTheme="minorHAnsi" w:cstheme="minorHAnsi"/>
          <w:sz w:val="22"/>
          <w:szCs w:val="22"/>
          <w:lang w:val="en-GB"/>
        </w:rPr>
      </w:pPr>
    </w:p>
    <w:p w:rsidR="004275FE" w:rsidRPr="005963E4" w:rsidRDefault="0091794D" w:rsidP="00364E8D">
      <w:pPr>
        <w:pStyle w:val="ListParagraph"/>
        <w:numPr>
          <w:ilvl w:val="0"/>
          <w:numId w:val="1"/>
        </w:numPr>
        <w:ind w:left="360"/>
        <w:jc w:val="both"/>
        <w:rPr>
          <w:rFonts w:asciiTheme="minorHAnsi" w:hAnsiTheme="minorHAnsi" w:cstheme="minorHAnsi"/>
          <w:b/>
          <w:sz w:val="22"/>
          <w:szCs w:val="22"/>
          <w:lang w:val="en-GB"/>
        </w:rPr>
      </w:pPr>
      <w:r w:rsidRPr="005963E4">
        <w:rPr>
          <w:rFonts w:asciiTheme="minorHAnsi" w:hAnsiTheme="minorHAnsi" w:cstheme="minorHAnsi"/>
          <w:b/>
          <w:sz w:val="22"/>
          <w:szCs w:val="22"/>
          <w:lang w:val="en-GB"/>
        </w:rPr>
        <w:t>Administrative fines/sanctions:</w:t>
      </w:r>
      <w:r w:rsidR="00587C3F" w:rsidRPr="005963E4">
        <w:rPr>
          <w:rFonts w:asciiTheme="minorHAnsi" w:hAnsiTheme="minorHAnsi" w:cstheme="minorHAnsi"/>
          <w:sz w:val="22"/>
          <w:szCs w:val="22"/>
          <w:lang w:val="en-GB"/>
        </w:rPr>
        <w:t xml:space="preserve">  Data protection obligations are only effective to the extent they are enforced.  Consistent with this view, the Regulation includes strong sanctions for violations. </w:t>
      </w:r>
      <w:r w:rsidR="00153480" w:rsidRPr="005963E4">
        <w:rPr>
          <w:rFonts w:asciiTheme="minorHAnsi" w:hAnsiTheme="minorHAnsi" w:cstheme="minorHAnsi"/>
          <w:sz w:val="22"/>
          <w:szCs w:val="22"/>
          <w:lang w:val="en-GB"/>
        </w:rPr>
        <w:t xml:space="preserve"> </w:t>
      </w:r>
      <w:r w:rsidR="00587C3F" w:rsidRPr="005963E4">
        <w:rPr>
          <w:rFonts w:asciiTheme="minorHAnsi" w:hAnsiTheme="minorHAnsi" w:cstheme="minorHAnsi"/>
          <w:sz w:val="22"/>
          <w:szCs w:val="22"/>
          <w:lang w:val="en-GB"/>
        </w:rPr>
        <w:t xml:space="preserve">Less helpfully, however, the Regulation takes a “one-size-fits-all” approach, and could be read to apply the same sanctions to deliberate, flagrant violations of the rules as it does to violations that are merely accidental. </w:t>
      </w:r>
      <w:r w:rsidR="00153480" w:rsidRPr="005963E4">
        <w:rPr>
          <w:rFonts w:asciiTheme="minorHAnsi" w:hAnsiTheme="minorHAnsi" w:cstheme="minorHAnsi"/>
          <w:sz w:val="22"/>
          <w:szCs w:val="22"/>
          <w:lang w:val="en-GB"/>
        </w:rPr>
        <w:t xml:space="preserve"> </w:t>
      </w:r>
      <w:r w:rsidR="00587C3F" w:rsidRPr="005963E4">
        <w:rPr>
          <w:rFonts w:asciiTheme="minorHAnsi" w:hAnsiTheme="minorHAnsi" w:cstheme="minorHAnsi"/>
          <w:sz w:val="22"/>
          <w:szCs w:val="22"/>
          <w:lang w:val="en-GB"/>
        </w:rPr>
        <w:t>This means that a company that inadvertently fails to use a specific electronic format when giving a customer access to his information could face the same penalty as a company that repeatedly and intentionally collects and processes data about individuals without informing those individuals about its activities.  To be balanced and effective, the Regulation should ensure that the most punitive sanctions are reserved for truly bad actors.</w:t>
      </w:r>
    </w:p>
    <w:p w:rsidR="004275FE" w:rsidRPr="005963E4" w:rsidRDefault="004275FE" w:rsidP="00364E8D">
      <w:pPr>
        <w:pStyle w:val="ListParagraph"/>
        <w:ind w:left="360"/>
        <w:jc w:val="both"/>
        <w:rPr>
          <w:rFonts w:asciiTheme="minorHAnsi" w:hAnsiTheme="minorHAnsi" w:cstheme="minorHAnsi"/>
          <w:b/>
          <w:sz w:val="22"/>
          <w:szCs w:val="22"/>
          <w:lang w:val="en-GB"/>
        </w:rPr>
      </w:pPr>
    </w:p>
    <w:p w:rsidR="004275FE" w:rsidRPr="005963E4" w:rsidRDefault="004275FE" w:rsidP="00364E8D">
      <w:pPr>
        <w:pStyle w:val="ListParagraph"/>
        <w:numPr>
          <w:ilvl w:val="0"/>
          <w:numId w:val="1"/>
        </w:numPr>
        <w:ind w:left="426" w:hanging="426"/>
        <w:jc w:val="both"/>
        <w:rPr>
          <w:rFonts w:asciiTheme="minorHAnsi" w:hAnsiTheme="minorHAnsi" w:cstheme="minorHAnsi"/>
          <w:b/>
          <w:sz w:val="22"/>
          <w:szCs w:val="22"/>
          <w:lang w:val="en-GB"/>
        </w:rPr>
      </w:pPr>
      <w:r w:rsidRPr="005963E4">
        <w:rPr>
          <w:rFonts w:asciiTheme="minorHAnsi" w:hAnsiTheme="minorHAnsi" w:cstheme="minorHAnsi"/>
          <w:b/>
          <w:sz w:val="22"/>
          <w:szCs w:val="22"/>
          <w:lang w:val="en-GB"/>
        </w:rPr>
        <w:t>Data breach</w:t>
      </w:r>
      <w:r w:rsidRPr="005963E4">
        <w:rPr>
          <w:rFonts w:asciiTheme="minorHAnsi" w:hAnsiTheme="minorHAnsi" w:cstheme="minorHAnsi"/>
          <w:sz w:val="22"/>
          <w:szCs w:val="22"/>
          <w:lang w:val="en-GB"/>
        </w:rPr>
        <w:t xml:space="preserve">:  </w:t>
      </w:r>
      <w:r w:rsidR="005F6987" w:rsidRPr="005963E4">
        <w:rPr>
          <w:rFonts w:asciiTheme="minorHAnsi" w:hAnsiTheme="minorHAnsi" w:cstheme="minorHAnsi"/>
          <w:sz w:val="22"/>
          <w:szCs w:val="22"/>
          <w:lang w:val="en-GB"/>
        </w:rPr>
        <w:t>Requiring</w:t>
      </w:r>
      <w:r w:rsidRPr="005963E4">
        <w:rPr>
          <w:rFonts w:asciiTheme="minorHAnsi" w:hAnsiTheme="minorHAnsi" w:cstheme="minorHAnsi"/>
          <w:sz w:val="22"/>
          <w:szCs w:val="22"/>
          <w:lang w:val="en-GB"/>
        </w:rPr>
        <w:t xml:space="preserve"> data controllers to notify serious data breaches to competent authorities and to data subjects will drive a higher standard of data security across industry.  But any breach notice regime must be workable in practice.  The proposed Regulation </w:t>
      </w:r>
      <w:r w:rsidR="005F6987" w:rsidRPr="005963E4">
        <w:rPr>
          <w:rFonts w:asciiTheme="minorHAnsi" w:hAnsiTheme="minorHAnsi" w:cstheme="minorHAnsi"/>
          <w:sz w:val="22"/>
          <w:szCs w:val="22"/>
          <w:lang w:val="en-GB"/>
        </w:rPr>
        <w:t xml:space="preserve">would compel controllers to give notice of </w:t>
      </w:r>
      <w:r w:rsidR="005F6987" w:rsidRPr="005963E4">
        <w:rPr>
          <w:rFonts w:asciiTheme="minorHAnsi" w:hAnsiTheme="minorHAnsi" w:cstheme="minorHAnsi"/>
          <w:sz w:val="22"/>
          <w:szCs w:val="22"/>
          <w:u w:val="single"/>
          <w:lang w:val="en-GB"/>
        </w:rPr>
        <w:t>non-serious</w:t>
      </w:r>
      <w:r w:rsidR="005F6987" w:rsidRPr="005963E4">
        <w:rPr>
          <w:rFonts w:asciiTheme="minorHAnsi" w:hAnsiTheme="minorHAnsi" w:cstheme="minorHAnsi"/>
          <w:sz w:val="22"/>
          <w:szCs w:val="22"/>
          <w:lang w:val="en-GB"/>
        </w:rPr>
        <w:t xml:space="preserve"> breaches.  This approach threatens to overwhelm DPAs and data subjects with notices about breaches that ultimately prove immaterial -- which in turn may lead data subjects ultimately to ignore notices.  Our amendments seek to ensure that </w:t>
      </w:r>
      <w:r w:rsidR="005C3D8C" w:rsidRPr="005963E4">
        <w:rPr>
          <w:rFonts w:asciiTheme="minorHAnsi" w:hAnsiTheme="minorHAnsi" w:cstheme="minorHAnsi"/>
          <w:sz w:val="22"/>
          <w:szCs w:val="22"/>
          <w:lang w:val="en-GB"/>
        </w:rPr>
        <w:t>notice is required</w:t>
      </w:r>
      <w:r w:rsidR="005F6987" w:rsidRPr="005963E4">
        <w:rPr>
          <w:rFonts w:asciiTheme="minorHAnsi" w:hAnsiTheme="minorHAnsi" w:cstheme="minorHAnsi"/>
          <w:sz w:val="22"/>
          <w:szCs w:val="22"/>
          <w:lang w:val="en-GB"/>
        </w:rPr>
        <w:t xml:space="preserve"> only where a breach is likely to lead to serious risk of significant harm to a data subject.</w:t>
      </w:r>
    </w:p>
    <w:p w:rsidR="00D93D9A" w:rsidRPr="005963E4" w:rsidRDefault="00D93D9A" w:rsidP="00364E8D">
      <w:pPr>
        <w:spacing w:line="240" w:lineRule="auto"/>
        <w:rPr>
          <w:rFonts w:cstheme="minorHAnsi"/>
          <w:lang w:val="en-GB"/>
        </w:rPr>
      </w:pPr>
      <w:r w:rsidRPr="005963E4">
        <w:rPr>
          <w:rFonts w:cstheme="minorHAnsi"/>
          <w:lang w:val="en-GB"/>
        </w:rPr>
        <w:br w:type="page"/>
      </w:r>
    </w:p>
    <w:p w:rsidR="00D93D9A" w:rsidRPr="005963E4" w:rsidRDefault="00D93D9A" w:rsidP="00364E8D">
      <w:pPr>
        <w:pStyle w:val="AMNumberTabs"/>
        <w:keepNext/>
        <w:jc w:val="center"/>
        <w:rPr>
          <w:rFonts w:asciiTheme="minorHAnsi" w:hAnsiTheme="minorHAnsi" w:cstheme="minorHAnsi"/>
          <w:sz w:val="22"/>
          <w:szCs w:val="22"/>
          <w:u w:val="single"/>
        </w:rPr>
      </w:pPr>
      <w:r w:rsidRPr="005963E4">
        <w:rPr>
          <w:rFonts w:asciiTheme="minorHAnsi" w:hAnsiTheme="minorHAnsi" w:cstheme="minorHAnsi"/>
          <w:sz w:val="22"/>
          <w:szCs w:val="22"/>
          <w:u w:val="single"/>
        </w:rPr>
        <w:lastRenderedPageBreak/>
        <w:t>International Data Transfer/Standard Clauses</w:t>
      </w:r>
    </w:p>
    <w:p w:rsidR="00D93D9A" w:rsidRPr="005963E4" w:rsidRDefault="00D93D9A" w:rsidP="00364E8D">
      <w:pPr>
        <w:pStyle w:val="AMNumberTabs"/>
        <w:keepNext/>
        <w:rPr>
          <w:rFonts w:asciiTheme="minorHAnsi" w:hAnsiTheme="minorHAnsi" w:cstheme="minorHAnsi"/>
          <w:sz w:val="22"/>
          <w:szCs w:val="22"/>
        </w:rPr>
      </w:pPr>
      <w:r w:rsidRPr="005963E4">
        <w:rPr>
          <w:rFonts w:asciiTheme="minorHAnsi" w:hAnsiTheme="minorHAnsi" w:cstheme="minorHAnsi"/>
          <w:sz w:val="22"/>
          <w:szCs w:val="22"/>
        </w:rPr>
        <w:t>Amendment</w:t>
      </w:r>
      <w:r w:rsidRPr="005963E4">
        <w:rPr>
          <w:rFonts w:asciiTheme="minorHAnsi" w:hAnsiTheme="minorHAnsi" w:cstheme="minorHAnsi"/>
          <w:sz w:val="22"/>
          <w:szCs w:val="22"/>
        </w:rPr>
        <w:tab/>
      </w:r>
      <w:r w:rsidRPr="005963E4">
        <w:rPr>
          <w:rFonts w:asciiTheme="minorHAnsi" w:hAnsiTheme="minorHAnsi" w:cstheme="minorHAnsi"/>
          <w:sz w:val="22"/>
          <w:szCs w:val="22"/>
        </w:rPr>
        <w:tab/>
      </w:r>
    </w:p>
    <w:p w:rsidR="00D93D9A" w:rsidRPr="005963E4" w:rsidRDefault="00D93D9A" w:rsidP="00364E8D">
      <w:pPr>
        <w:pStyle w:val="NormalBold"/>
        <w:keepNext/>
        <w:rPr>
          <w:rFonts w:asciiTheme="minorHAnsi" w:hAnsiTheme="minorHAnsi" w:cstheme="minorHAnsi"/>
          <w:sz w:val="22"/>
          <w:szCs w:val="22"/>
        </w:rPr>
      </w:pPr>
      <w:r w:rsidRPr="005963E4">
        <w:rPr>
          <w:rFonts w:asciiTheme="minorHAnsi" w:hAnsiTheme="minorHAnsi" w:cstheme="minorHAnsi"/>
          <w:sz w:val="22"/>
          <w:szCs w:val="22"/>
        </w:rPr>
        <w:t>Proposal for a regulation</w:t>
      </w:r>
    </w:p>
    <w:p w:rsidR="00D93D9A" w:rsidRPr="005963E4" w:rsidRDefault="00D93D9A" w:rsidP="00364E8D">
      <w:pPr>
        <w:pStyle w:val="NormalBold"/>
        <w:rPr>
          <w:rFonts w:asciiTheme="minorHAnsi" w:hAnsiTheme="minorHAnsi" w:cstheme="minorHAnsi"/>
          <w:sz w:val="22"/>
          <w:szCs w:val="22"/>
        </w:rPr>
      </w:pPr>
      <w:r w:rsidRPr="005963E4">
        <w:rPr>
          <w:rFonts w:asciiTheme="minorHAnsi" w:hAnsiTheme="minorHAnsi" w:cstheme="minorHAnsi"/>
          <w:sz w:val="22"/>
          <w:szCs w:val="22"/>
        </w:rPr>
        <w:t>Recital 83 a (new)</w:t>
      </w:r>
    </w:p>
    <w:p w:rsidR="00DF7A68" w:rsidRPr="005963E4" w:rsidRDefault="00DF7A68" w:rsidP="00364E8D">
      <w:pPr>
        <w:pStyle w:val="NormalBold"/>
        <w:rPr>
          <w:rFonts w:asciiTheme="minorHAnsi" w:hAnsiTheme="minorHAnsi" w:cstheme="minorHAnsi"/>
          <w:sz w:val="22"/>
          <w:szCs w:val="22"/>
        </w:rPr>
      </w:pPr>
    </w:p>
    <w:tbl>
      <w:tblPr>
        <w:tblW w:w="0" w:type="auto"/>
        <w:jc w:val="center"/>
        <w:tblLayout w:type="fixed"/>
        <w:tblCellMar>
          <w:left w:w="340" w:type="dxa"/>
          <w:right w:w="340" w:type="dxa"/>
        </w:tblCellMar>
        <w:tblLook w:val="0000" w:firstRow="0" w:lastRow="0" w:firstColumn="0" w:lastColumn="0" w:noHBand="0" w:noVBand="0"/>
      </w:tblPr>
      <w:tblGrid>
        <w:gridCol w:w="4876"/>
        <w:gridCol w:w="4785"/>
      </w:tblGrid>
      <w:tr w:rsidR="00D93D9A" w:rsidRPr="005963E4" w:rsidTr="006E5EBD">
        <w:trPr>
          <w:jc w:val="center"/>
        </w:trPr>
        <w:tc>
          <w:tcPr>
            <w:tcW w:w="4876" w:type="dxa"/>
          </w:tcPr>
          <w:p w:rsidR="00D93D9A" w:rsidRPr="005963E4" w:rsidRDefault="00D93D9A" w:rsidP="00364E8D">
            <w:pPr>
              <w:pStyle w:val="ColumnHeading"/>
              <w:keepNext/>
              <w:spacing w:after="0"/>
              <w:rPr>
                <w:rFonts w:asciiTheme="minorHAnsi" w:hAnsiTheme="minorHAnsi" w:cstheme="minorHAnsi"/>
                <w:sz w:val="22"/>
                <w:szCs w:val="22"/>
              </w:rPr>
            </w:pPr>
            <w:r w:rsidRPr="005963E4">
              <w:rPr>
                <w:rFonts w:asciiTheme="minorHAnsi" w:hAnsiTheme="minorHAnsi" w:cstheme="minorHAnsi"/>
                <w:sz w:val="22"/>
                <w:szCs w:val="22"/>
              </w:rPr>
              <w:t>Text proposed by the Commission</w:t>
            </w:r>
          </w:p>
          <w:p w:rsidR="00D93D9A" w:rsidRPr="005963E4" w:rsidRDefault="00D93D9A" w:rsidP="00364E8D">
            <w:pPr>
              <w:pStyle w:val="ColumnHeading"/>
              <w:keepNext/>
              <w:spacing w:after="0"/>
              <w:rPr>
                <w:rFonts w:asciiTheme="minorHAnsi" w:hAnsiTheme="minorHAnsi" w:cstheme="minorHAnsi"/>
                <w:sz w:val="22"/>
                <w:szCs w:val="22"/>
              </w:rPr>
            </w:pPr>
          </w:p>
        </w:tc>
        <w:tc>
          <w:tcPr>
            <w:tcW w:w="4785" w:type="dxa"/>
          </w:tcPr>
          <w:p w:rsidR="00D93D9A" w:rsidRPr="005963E4" w:rsidRDefault="00D93D9A" w:rsidP="00364E8D">
            <w:pPr>
              <w:pStyle w:val="ColumnHeading"/>
              <w:keepNext/>
              <w:spacing w:after="0"/>
              <w:ind w:left="360" w:hanging="360"/>
              <w:rPr>
                <w:rFonts w:asciiTheme="minorHAnsi" w:hAnsiTheme="minorHAnsi" w:cstheme="minorHAnsi"/>
                <w:sz w:val="22"/>
                <w:szCs w:val="22"/>
              </w:rPr>
            </w:pPr>
            <w:r w:rsidRPr="005963E4">
              <w:rPr>
                <w:rFonts w:asciiTheme="minorHAnsi" w:hAnsiTheme="minorHAnsi" w:cstheme="minorHAnsi"/>
                <w:sz w:val="22"/>
                <w:szCs w:val="22"/>
              </w:rPr>
              <w:t>Amendment</w:t>
            </w:r>
          </w:p>
        </w:tc>
      </w:tr>
      <w:tr w:rsidR="00D93D9A" w:rsidRPr="005963E4" w:rsidTr="006E5EBD">
        <w:trPr>
          <w:jc w:val="center"/>
        </w:trPr>
        <w:tc>
          <w:tcPr>
            <w:tcW w:w="4876" w:type="dxa"/>
          </w:tcPr>
          <w:p w:rsidR="00D93D9A" w:rsidRPr="005963E4" w:rsidRDefault="00D93D9A" w:rsidP="00364E8D">
            <w:pPr>
              <w:spacing w:line="240" w:lineRule="auto"/>
              <w:rPr>
                <w:rFonts w:cstheme="minorHAnsi"/>
                <w:lang w:val="en-GB"/>
              </w:rPr>
            </w:pPr>
          </w:p>
        </w:tc>
        <w:tc>
          <w:tcPr>
            <w:tcW w:w="4785" w:type="dxa"/>
          </w:tcPr>
          <w:p w:rsidR="00D93D9A" w:rsidRPr="005963E4" w:rsidRDefault="00D93D9A" w:rsidP="00364E8D">
            <w:pPr>
              <w:spacing w:after="0" w:line="240" w:lineRule="auto"/>
              <w:ind w:left="397"/>
              <w:jc w:val="both"/>
              <w:rPr>
                <w:rFonts w:cstheme="minorHAnsi"/>
                <w:lang w:val="en-GB"/>
              </w:rPr>
            </w:pPr>
            <w:r w:rsidRPr="005963E4">
              <w:rPr>
                <w:rFonts w:cstheme="minorHAnsi"/>
                <w:b/>
                <w:i/>
                <w:lang w:val="en-GB"/>
              </w:rPr>
              <w:t xml:space="preserve">(83a) </w:t>
            </w:r>
            <w:r w:rsidR="00DF7A68" w:rsidRPr="005963E4">
              <w:rPr>
                <w:rFonts w:cstheme="minorHAnsi"/>
                <w:b/>
                <w:i/>
                <w:lang w:val="en-GB"/>
              </w:rPr>
              <w:t xml:space="preserve"> </w:t>
            </w:r>
            <w:r w:rsidRPr="005963E4">
              <w:rPr>
                <w:rFonts w:cstheme="minorHAnsi"/>
                <w:b/>
                <w:i/>
                <w:lang w:val="en-GB"/>
              </w:rPr>
              <w:t xml:space="preserve">In light of increasing cross-border flows of personal data, controllers and processors should be encouraged to offer robust safeguards for data subjects where personal data is transferred to third countries.  Controllers and processors will often have pragmatic experience that demonstrates a need for additional, specific protections to reflect the particular circumstances or requirements of data subjects. </w:t>
            </w:r>
            <w:r w:rsidR="00DF7A68" w:rsidRPr="005963E4">
              <w:rPr>
                <w:rFonts w:cstheme="minorHAnsi"/>
                <w:b/>
                <w:i/>
                <w:lang w:val="en-GB"/>
              </w:rPr>
              <w:t xml:space="preserve"> </w:t>
            </w:r>
            <w:r w:rsidRPr="005963E4">
              <w:rPr>
                <w:rFonts w:cstheme="minorHAnsi"/>
                <w:b/>
                <w:i/>
                <w:lang w:val="en-GB"/>
              </w:rPr>
              <w:t>In such cases, controllers and processors should be encouraged to adopt additional measures to supplement the safeguards for data transfer set out in the Regulation.</w:t>
            </w:r>
            <w:r w:rsidR="00DF7A68" w:rsidRPr="005963E4">
              <w:rPr>
                <w:rFonts w:cstheme="minorHAnsi"/>
                <w:b/>
                <w:i/>
                <w:lang w:val="en-GB"/>
              </w:rPr>
              <w:t xml:space="preserve"> </w:t>
            </w:r>
            <w:r w:rsidRPr="005963E4">
              <w:rPr>
                <w:rFonts w:cstheme="minorHAnsi"/>
                <w:b/>
                <w:i/>
                <w:lang w:val="en-GB"/>
              </w:rPr>
              <w:t xml:space="preserve"> Member States and supervisory authorities should recognise those controllers and processors that adopt such additional protections[, which may, for example, include supplemental, legally binding commitments that apply in addition to standard data protection clauses].  Such recognition may take the form of data protection seals or marks at the European level. </w:t>
            </w:r>
            <w:r w:rsidRPr="005963E4">
              <w:rPr>
                <w:rFonts w:cstheme="minorHAnsi"/>
                <w:lang w:val="en-GB"/>
              </w:rPr>
              <w:t xml:space="preserve"> </w:t>
            </w:r>
          </w:p>
        </w:tc>
      </w:tr>
      <w:tr w:rsidR="00DC0ED6" w:rsidRPr="005963E4" w:rsidTr="006E5EBD">
        <w:trPr>
          <w:jc w:val="center"/>
        </w:trPr>
        <w:tc>
          <w:tcPr>
            <w:tcW w:w="4876" w:type="dxa"/>
          </w:tcPr>
          <w:p w:rsidR="00DC0ED6" w:rsidRPr="005963E4" w:rsidRDefault="00DC0ED6" w:rsidP="00364E8D">
            <w:pPr>
              <w:spacing w:after="0" w:line="240" w:lineRule="auto"/>
              <w:rPr>
                <w:rFonts w:cstheme="minorHAnsi"/>
                <w:lang w:val="en-GB"/>
              </w:rPr>
            </w:pPr>
          </w:p>
        </w:tc>
        <w:tc>
          <w:tcPr>
            <w:tcW w:w="4785" w:type="dxa"/>
          </w:tcPr>
          <w:p w:rsidR="00DC0ED6" w:rsidRPr="005963E4" w:rsidRDefault="00DC0ED6" w:rsidP="00364E8D">
            <w:pPr>
              <w:spacing w:after="0" w:line="240" w:lineRule="auto"/>
              <w:ind w:left="360" w:hanging="360"/>
              <w:rPr>
                <w:rFonts w:cstheme="minorHAnsi"/>
                <w:b/>
                <w:i/>
                <w:lang w:val="en-GB"/>
              </w:rPr>
            </w:pPr>
          </w:p>
        </w:tc>
      </w:tr>
    </w:tbl>
    <w:p w:rsidR="00D93D9A" w:rsidRPr="005963E4" w:rsidRDefault="00D93D9A" w:rsidP="00364E8D">
      <w:pPr>
        <w:pStyle w:val="AMNumberTabs"/>
        <w:keepNext/>
        <w:rPr>
          <w:rFonts w:asciiTheme="minorHAnsi" w:hAnsiTheme="minorHAnsi" w:cstheme="minorHAnsi"/>
          <w:sz w:val="22"/>
          <w:szCs w:val="22"/>
        </w:rPr>
      </w:pPr>
      <w:r w:rsidRPr="005963E4">
        <w:rPr>
          <w:rFonts w:asciiTheme="minorHAnsi" w:hAnsiTheme="minorHAnsi" w:cstheme="minorHAnsi"/>
          <w:sz w:val="22"/>
          <w:szCs w:val="22"/>
        </w:rPr>
        <w:t>Amendment</w:t>
      </w:r>
      <w:r w:rsidRPr="005963E4">
        <w:rPr>
          <w:rFonts w:asciiTheme="minorHAnsi" w:hAnsiTheme="minorHAnsi" w:cstheme="minorHAnsi"/>
          <w:sz w:val="22"/>
          <w:szCs w:val="22"/>
        </w:rPr>
        <w:tab/>
      </w:r>
      <w:r w:rsidRPr="005963E4">
        <w:rPr>
          <w:rFonts w:asciiTheme="minorHAnsi" w:hAnsiTheme="minorHAnsi" w:cstheme="minorHAnsi"/>
          <w:sz w:val="22"/>
          <w:szCs w:val="22"/>
        </w:rPr>
        <w:tab/>
      </w:r>
    </w:p>
    <w:p w:rsidR="00D93D9A" w:rsidRPr="005963E4" w:rsidRDefault="00D93D9A" w:rsidP="00364E8D">
      <w:pPr>
        <w:pStyle w:val="NormalBold"/>
        <w:keepNext/>
        <w:rPr>
          <w:rFonts w:asciiTheme="minorHAnsi" w:hAnsiTheme="minorHAnsi" w:cstheme="minorHAnsi"/>
          <w:sz w:val="22"/>
          <w:szCs w:val="22"/>
        </w:rPr>
      </w:pPr>
      <w:r w:rsidRPr="005963E4">
        <w:rPr>
          <w:rFonts w:asciiTheme="minorHAnsi" w:hAnsiTheme="minorHAnsi" w:cstheme="minorHAnsi"/>
          <w:sz w:val="22"/>
          <w:szCs w:val="22"/>
        </w:rPr>
        <w:t>Proposal for a regulation</w:t>
      </w:r>
    </w:p>
    <w:p w:rsidR="00D93D9A" w:rsidRPr="005963E4" w:rsidRDefault="00D93D9A" w:rsidP="00364E8D">
      <w:pPr>
        <w:pStyle w:val="NormalBold"/>
        <w:rPr>
          <w:rFonts w:asciiTheme="minorHAnsi" w:hAnsiTheme="minorHAnsi" w:cstheme="minorHAnsi"/>
          <w:sz w:val="22"/>
          <w:szCs w:val="22"/>
        </w:rPr>
      </w:pPr>
      <w:r w:rsidRPr="005963E4">
        <w:rPr>
          <w:rFonts w:asciiTheme="minorHAnsi" w:hAnsiTheme="minorHAnsi" w:cstheme="minorHAnsi"/>
          <w:sz w:val="22"/>
          <w:szCs w:val="22"/>
        </w:rPr>
        <w:t>Article 42 – paragraph 4 a (new)</w:t>
      </w:r>
    </w:p>
    <w:tbl>
      <w:tblPr>
        <w:tblW w:w="0" w:type="auto"/>
        <w:jc w:val="center"/>
        <w:tblLayout w:type="fixed"/>
        <w:tblCellMar>
          <w:left w:w="340" w:type="dxa"/>
          <w:right w:w="340" w:type="dxa"/>
        </w:tblCellMar>
        <w:tblLook w:val="0000" w:firstRow="0" w:lastRow="0" w:firstColumn="0" w:lastColumn="0" w:noHBand="0" w:noVBand="0"/>
      </w:tblPr>
      <w:tblGrid>
        <w:gridCol w:w="9752"/>
      </w:tblGrid>
      <w:tr w:rsidR="00D93D9A" w:rsidRPr="005963E4" w:rsidTr="0083293F">
        <w:trPr>
          <w:jc w:val="center"/>
        </w:trPr>
        <w:tc>
          <w:tcPr>
            <w:tcW w:w="9752" w:type="dxa"/>
          </w:tcPr>
          <w:p w:rsidR="00D93D9A" w:rsidRPr="005963E4" w:rsidRDefault="00D93D9A" w:rsidP="00364E8D">
            <w:pPr>
              <w:spacing w:after="0" w:line="240" w:lineRule="auto"/>
              <w:rPr>
                <w:rFonts w:cstheme="minorHAnsi"/>
                <w:lang w:val="en-GB"/>
              </w:rPr>
            </w:pPr>
          </w:p>
          <w:tbl>
            <w:tblPr>
              <w:tblW w:w="9752" w:type="dxa"/>
              <w:jc w:val="center"/>
              <w:tblLayout w:type="fixed"/>
              <w:tblCellMar>
                <w:left w:w="340" w:type="dxa"/>
                <w:right w:w="340" w:type="dxa"/>
              </w:tblCellMar>
              <w:tblLook w:val="0000" w:firstRow="0" w:lastRow="0" w:firstColumn="0" w:lastColumn="0" w:noHBand="0" w:noVBand="0"/>
            </w:tblPr>
            <w:tblGrid>
              <w:gridCol w:w="4922"/>
              <w:gridCol w:w="4830"/>
            </w:tblGrid>
            <w:tr w:rsidR="00D93D9A" w:rsidRPr="005963E4" w:rsidTr="006E5EBD">
              <w:trPr>
                <w:jc w:val="center"/>
              </w:trPr>
              <w:tc>
                <w:tcPr>
                  <w:tcW w:w="4876" w:type="dxa"/>
                </w:tcPr>
                <w:p w:rsidR="00D93D9A" w:rsidRPr="005963E4" w:rsidRDefault="00D93D9A" w:rsidP="00364E8D">
                  <w:pPr>
                    <w:pStyle w:val="ColumnHeading"/>
                    <w:keepNext/>
                    <w:spacing w:after="0"/>
                    <w:rPr>
                      <w:rFonts w:asciiTheme="minorHAnsi" w:hAnsiTheme="minorHAnsi" w:cstheme="minorHAnsi"/>
                      <w:sz w:val="22"/>
                      <w:szCs w:val="22"/>
                    </w:rPr>
                  </w:pPr>
                  <w:r w:rsidRPr="005963E4">
                    <w:rPr>
                      <w:rFonts w:asciiTheme="minorHAnsi" w:hAnsiTheme="minorHAnsi" w:cstheme="minorHAnsi"/>
                      <w:sz w:val="22"/>
                      <w:szCs w:val="22"/>
                    </w:rPr>
                    <w:t>Text proposed by the Commission</w:t>
                  </w:r>
                </w:p>
                <w:p w:rsidR="00D93D9A" w:rsidRPr="005963E4" w:rsidRDefault="00D93D9A" w:rsidP="00364E8D">
                  <w:pPr>
                    <w:pStyle w:val="ColumnHeading"/>
                    <w:keepNext/>
                    <w:spacing w:after="0"/>
                    <w:rPr>
                      <w:rFonts w:asciiTheme="minorHAnsi" w:hAnsiTheme="minorHAnsi" w:cstheme="minorHAnsi"/>
                      <w:sz w:val="22"/>
                      <w:szCs w:val="22"/>
                    </w:rPr>
                  </w:pPr>
                </w:p>
              </w:tc>
              <w:tc>
                <w:tcPr>
                  <w:tcW w:w="4785" w:type="dxa"/>
                </w:tcPr>
                <w:p w:rsidR="00D93D9A" w:rsidRPr="005963E4" w:rsidRDefault="00D93D9A" w:rsidP="00364E8D">
                  <w:pPr>
                    <w:pStyle w:val="ColumnHeading"/>
                    <w:keepNext/>
                    <w:spacing w:after="0"/>
                    <w:rPr>
                      <w:rFonts w:asciiTheme="minorHAnsi" w:hAnsiTheme="minorHAnsi" w:cstheme="minorHAnsi"/>
                      <w:sz w:val="22"/>
                      <w:szCs w:val="22"/>
                    </w:rPr>
                  </w:pPr>
                  <w:r w:rsidRPr="005963E4">
                    <w:rPr>
                      <w:rFonts w:asciiTheme="minorHAnsi" w:hAnsiTheme="minorHAnsi" w:cstheme="minorHAnsi"/>
                      <w:sz w:val="22"/>
                      <w:szCs w:val="22"/>
                    </w:rPr>
                    <w:t>Amendment</w:t>
                  </w:r>
                </w:p>
              </w:tc>
            </w:tr>
            <w:tr w:rsidR="00D93D9A" w:rsidRPr="005963E4" w:rsidTr="006E5EBD">
              <w:trPr>
                <w:jc w:val="center"/>
              </w:trPr>
              <w:tc>
                <w:tcPr>
                  <w:tcW w:w="4876" w:type="dxa"/>
                </w:tcPr>
                <w:p w:rsidR="00D93D9A" w:rsidRPr="005963E4" w:rsidRDefault="00D93D9A" w:rsidP="00364E8D">
                  <w:pPr>
                    <w:spacing w:after="0" w:line="240" w:lineRule="auto"/>
                    <w:rPr>
                      <w:rFonts w:cstheme="minorHAnsi"/>
                      <w:lang w:val="en-GB"/>
                    </w:rPr>
                  </w:pPr>
                </w:p>
              </w:tc>
              <w:tc>
                <w:tcPr>
                  <w:tcW w:w="4785" w:type="dxa"/>
                </w:tcPr>
                <w:p w:rsidR="00D93D9A" w:rsidRPr="005963E4" w:rsidRDefault="00D93D9A" w:rsidP="00364E8D">
                  <w:pPr>
                    <w:spacing w:after="0" w:line="240" w:lineRule="auto"/>
                    <w:ind w:left="397"/>
                    <w:jc w:val="both"/>
                    <w:rPr>
                      <w:rFonts w:cstheme="minorHAnsi"/>
                      <w:b/>
                      <w:i/>
                      <w:lang w:val="en-GB"/>
                    </w:rPr>
                  </w:pPr>
                  <w:r w:rsidRPr="005963E4">
                    <w:rPr>
                      <w:rFonts w:cstheme="minorHAnsi"/>
                      <w:b/>
                      <w:i/>
                      <w:lang w:val="en-GB"/>
                    </w:rPr>
                    <w:t xml:space="preserve">4a. </w:t>
                  </w:r>
                  <w:r w:rsidR="00DF7A68" w:rsidRPr="005963E4">
                    <w:rPr>
                      <w:rFonts w:cstheme="minorHAnsi"/>
                      <w:b/>
                      <w:i/>
                      <w:lang w:val="en-GB"/>
                    </w:rPr>
                    <w:t xml:space="preserve"> </w:t>
                  </w:r>
                  <w:r w:rsidRPr="005963E4">
                    <w:rPr>
                      <w:rFonts w:cstheme="minorHAnsi"/>
                      <w:b/>
                      <w:i/>
                      <w:lang w:val="en-GB"/>
                    </w:rPr>
                    <w:t xml:space="preserve">A controller or processor may choose to base transfers on standard data protection clauses as referred to in points (b) and (c) of paragraph 2 of this Article, and to offer in addition to these </w:t>
                  </w:r>
                  <w:r w:rsidRPr="005963E4">
                    <w:rPr>
                      <w:rFonts w:cstheme="minorHAnsi"/>
                      <w:b/>
                      <w:i/>
                      <w:lang w:val="en-GB"/>
                    </w:rPr>
                    <w:lastRenderedPageBreak/>
                    <w:t xml:space="preserve">standard clauses supplemental, legally binding commitments that apply to transferred data.  In such cases, these additional commitments shall be subject to prior consultation with the competent supervisory authority and shall supplement and not contradict, directly or indirectly, the standard clauses.  Member States, supervisory authorities and the Commission shall encourage the use of supplemental and legally binding commitments by offering a data protection seal, mark or mechanism, </w:t>
                  </w:r>
                  <w:proofErr w:type="gramStart"/>
                  <w:r w:rsidRPr="005963E4">
                    <w:rPr>
                      <w:rFonts w:cstheme="minorHAnsi"/>
                      <w:b/>
                      <w:i/>
                      <w:lang w:val="en-GB"/>
                    </w:rPr>
                    <w:t>adopted</w:t>
                  </w:r>
                  <w:proofErr w:type="gramEnd"/>
                  <w:r w:rsidRPr="005963E4">
                    <w:rPr>
                      <w:rFonts w:cstheme="minorHAnsi"/>
                      <w:b/>
                      <w:i/>
                      <w:lang w:val="en-GB"/>
                    </w:rPr>
                    <w:t xml:space="preserve"> pursuant to Article 39, to controllers and processors who adopt these heightened safeguards.</w:t>
                  </w:r>
                </w:p>
                <w:p w:rsidR="00D93D9A" w:rsidRPr="005963E4" w:rsidRDefault="00D93D9A" w:rsidP="00364E8D">
                  <w:pPr>
                    <w:spacing w:after="0" w:line="240" w:lineRule="auto"/>
                    <w:rPr>
                      <w:rFonts w:cstheme="minorHAnsi"/>
                      <w:lang w:val="en-GB"/>
                    </w:rPr>
                  </w:pPr>
                </w:p>
              </w:tc>
            </w:tr>
          </w:tbl>
          <w:p w:rsidR="00D93D9A" w:rsidRPr="005963E4" w:rsidRDefault="00D93D9A" w:rsidP="00364E8D">
            <w:pPr>
              <w:keepNext/>
              <w:spacing w:after="0" w:line="240" w:lineRule="auto"/>
              <w:rPr>
                <w:rFonts w:cstheme="minorHAnsi"/>
                <w:lang w:val="en-GB"/>
              </w:rPr>
            </w:pPr>
          </w:p>
        </w:tc>
      </w:tr>
    </w:tbl>
    <w:p w:rsidR="009F1E3D" w:rsidRPr="005963E4" w:rsidRDefault="009F1E3D" w:rsidP="00364E8D">
      <w:pPr>
        <w:pStyle w:val="AMNumberTabs"/>
        <w:keepNext/>
        <w:spacing w:before="0"/>
        <w:jc w:val="center"/>
        <w:rPr>
          <w:rFonts w:asciiTheme="minorHAnsi" w:hAnsiTheme="minorHAnsi" w:cstheme="minorHAnsi"/>
          <w:b w:val="0"/>
          <w:i/>
          <w:sz w:val="22"/>
          <w:szCs w:val="22"/>
        </w:rPr>
      </w:pPr>
    </w:p>
    <w:p w:rsidR="00D93D9A" w:rsidRPr="005963E4" w:rsidRDefault="00D93D9A" w:rsidP="00364E8D">
      <w:pPr>
        <w:pStyle w:val="AMNumberTabs"/>
        <w:keepNext/>
        <w:spacing w:before="0"/>
        <w:jc w:val="center"/>
        <w:rPr>
          <w:rFonts w:asciiTheme="minorHAnsi" w:hAnsiTheme="minorHAnsi" w:cstheme="minorHAnsi"/>
          <w:b w:val="0"/>
          <w:i/>
          <w:sz w:val="22"/>
          <w:szCs w:val="22"/>
        </w:rPr>
      </w:pPr>
      <w:r w:rsidRPr="005963E4">
        <w:rPr>
          <w:rFonts w:asciiTheme="minorHAnsi" w:hAnsiTheme="minorHAnsi" w:cstheme="minorHAnsi"/>
          <w:b w:val="0"/>
          <w:i/>
          <w:sz w:val="22"/>
          <w:szCs w:val="22"/>
        </w:rPr>
        <w:t>Justification</w:t>
      </w:r>
    </w:p>
    <w:p w:rsidR="00D93D9A" w:rsidRPr="005963E4" w:rsidRDefault="00D93D9A" w:rsidP="00364E8D">
      <w:pPr>
        <w:spacing w:after="0" w:line="240" w:lineRule="auto"/>
        <w:rPr>
          <w:rFonts w:cstheme="minorHAnsi"/>
          <w:i/>
          <w:lang w:val="en-GB"/>
        </w:rPr>
      </w:pPr>
    </w:p>
    <w:p w:rsidR="00D93D9A" w:rsidRPr="005963E4" w:rsidRDefault="00D93D9A" w:rsidP="00364E8D">
      <w:pPr>
        <w:spacing w:line="240" w:lineRule="auto"/>
        <w:jc w:val="both"/>
        <w:rPr>
          <w:rFonts w:cstheme="minorHAnsi"/>
          <w:i/>
          <w:lang w:val="en-GB"/>
        </w:rPr>
      </w:pPr>
      <w:r w:rsidRPr="005963E4">
        <w:rPr>
          <w:rFonts w:cstheme="minorHAnsi"/>
          <w:i/>
          <w:lang w:val="en-GB"/>
        </w:rPr>
        <w:t>With the increasing globalisation of business and the evolution of computing models like the cloud, cross-border flows of personal data have become routine.  In this environment, it is critical that controllers and processors apply strong safeguards to personal data regardless of where that data is located.  Users will only have confidence in cloud computing if they know that their data is safe in the cloud.</w:t>
      </w:r>
    </w:p>
    <w:p w:rsidR="00D93D9A" w:rsidRPr="005963E4" w:rsidRDefault="00D93D9A" w:rsidP="00364E8D">
      <w:pPr>
        <w:spacing w:line="240" w:lineRule="auto"/>
        <w:jc w:val="both"/>
        <w:rPr>
          <w:rFonts w:cstheme="minorHAnsi"/>
          <w:i/>
          <w:lang w:val="en-GB"/>
        </w:rPr>
      </w:pPr>
      <w:r w:rsidRPr="005963E4">
        <w:rPr>
          <w:rFonts w:cstheme="minorHAnsi"/>
          <w:i/>
          <w:lang w:val="en-GB"/>
        </w:rPr>
        <w:t>Helpfully, the Regulation already requires that transfers of personal data to third countries may only be carried out in full compliance with the Regulation.  This is an important principle.  But controllers and processors should be incentivised to go beyond the Regulation in some cases.  Indeed, controllers and processors will often have direct and practical experience that demonstrates that additional safeguards -- i.e., safeguards that supplement those in the Regulation -- may be appropriate in relation to the personal data they are transferring.  The Regulation should encourage these controllers and processors to offer supplemental safeguards where these are appropriate.</w:t>
      </w:r>
    </w:p>
    <w:p w:rsidR="00D93D9A" w:rsidRPr="005963E4" w:rsidRDefault="00FE25F8" w:rsidP="00364E8D">
      <w:pPr>
        <w:spacing w:line="240" w:lineRule="auto"/>
        <w:jc w:val="both"/>
        <w:rPr>
          <w:rFonts w:cstheme="minorHAnsi"/>
          <w:i/>
          <w:lang w:val="en-GB"/>
        </w:rPr>
      </w:pPr>
      <w:r w:rsidRPr="005963E4">
        <w:rPr>
          <w:rFonts w:cstheme="minorHAnsi"/>
          <w:i/>
          <w:lang w:val="en-GB"/>
        </w:rPr>
        <w:t xml:space="preserve">The amendment proposed above would help to </w:t>
      </w:r>
      <w:r w:rsidR="00D93D9A" w:rsidRPr="005963E4">
        <w:rPr>
          <w:rFonts w:cstheme="minorHAnsi"/>
          <w:i/>
          <w:lang w:val="en-GB"/>
        </w:rPr>
        <w:t>achieve this is by allowing controllers and processors that base data transfers on standard data protection clauses under Articles 42(2</w:t>
      </w:r>
      <w:proofErr w:type="gramStart"/>
      <w:r w:rsidR="00D93D9A" w:rsidRPr="005963E4">
        <w:rPr>
          <w:rFonts w:cstheme="minorHAnsi"/>
          <w:i/>
          <w:lang w:val="en-GB"/>
        </w:rPr>
        <w:t>)(</w:t>
      </w:r>
      <w:proofErr w:type="gramEnd"/>
      <w:r w:rsidR="00D93D9A" w:rsidRPr="005963E4">
        <w:rPr>
          <w:rFonts w:cstheme="minorHAnsi"/>
          <w:i/>
          <w:lang w:val="en-GB"/>
        </w:rPr>
        <w:t>b) and 42(2)(c) of the Regulation to also offer additional protections to customers in the form of legally binding contractual commitments (e.g., data processing agreements) that expand on the standard clauses.  In this way, controllers and processors can offer additional protections that reflect the ways in which they will be processing data and particular safeguards appropriate to that processing.  Of course, these supplemental commitments should not contradict the standard clauses.</w:t>
      </w:r>
    </w:p>
    <w:p w:rsidR="00D93D9A" w:rsidRPr="005963E4" w:rsidRDefault="00D93D9A" w:rsidP="00364E8D">
      <w:pPr>
        <w:spacing w:line="240" w:lineRule="auto"/>
        <w:jc w:val="both"/>
        <w:rPr>
          <w:rFonts w:cstheme="minorHAnsi"/>
          <w:i/>
          <w:lang w:val="en-GB"/>
        </w:rPr>
      </w:pPr>
      <w:r w:rsidRPr="005963E4">
        <w:rPr>
          <w:rFonts w:cstheme="minorHAnsi"/>
          <w:i/>
          <w:lang w:val="en-GB"/>
        </w:rPr>
        <w:t xml:space="preserve">To encourage controllers and processors to adopt these heightened commitments, Member States and supervisory authorities should offer recognition in the form of a data protection seal or mark.  These measures could be adopted pursuant to Article 39 of the Regulation.  (We propose a corresponding amendment to Article 39 below.)  </w:t>
      </w:r>
    </w:p>
    <w:p w:rsidR="00D93D9A" w:rsidRPr="005963E4" w:rsidRDefault="00D93D9A" w:rsidP="00364E8D">
      <w:pPr>
        <w:pStyle w:val="AMNumberTabs"/>
        <w:keepNext/>
        <w:spacing w:before="0"/>
        <w:rPr>
          <w:rFonts w:asciiTheme="minorHAnsi" w:hAnsiTheme="minorHAnsi" w:cstheme="minorHAnsi"/>
          <w:sz w:val="22"/>
          <w:szCs w:val="22"/>
        </w:rPr>
      </w:pPr>
      <w:r w:rsidRPr="005963E4">
        <w:rPr>
          <w:rFonts w:asciiTheme="minorHAnsi" w:hAnsiTheme="minorHAnsi" w:cstheme="minorHAnsi"/>
          <w:sz w:val="22"/>
          <w:szCs w:val="22"/>
        </w:rPr>
        <w:t>Amendment</w:t>
      </w:r>
      <w:r w:rsidRPr="005963E4">
        <w:rPr>
          <w:rFonts w:asciiTheme="minorHAnsi" w:hAnsiTheme="minorHAnsi" w:cstheme="minorHAnsi"/>
          <w:sz w:val="22"/>
          <w:szCs w:val="22"/>
        </w:rPr>
        <w:tab/>
      </w:r>
      <w:r w:rsidRPr="005963E4">
        <w:rPr>
          <w:rFonts w:asciiTheme="minorHAnsi" w:hAnsiTheme="minorHAnsi" w:cstheme="minorHAnsi"/>
          <w:sz w:val="22"/>
          <w:szCs w:val="22"/>
        </w:rPr>
        <w:tab/>
      </w:r>
    </w:p>
    <w:p w:rsidR="00D93D9A" w:rsidRPr="005963E4" w:rsidRDefault="00D93D9A" w:rsidP="00364E8D">
      <w:pPr>
        <w:pStyle w:val="NormalBold"/>
        <w:keepNext/>
        <w:rPr>
          <w:rFonts w:asciiTheme="minorHAnsi" w:hAnsiTheme="minorHAnsi" w:cstheme="minorHAnsi"/>
          <w:sz w:val="22"/>
          <w:szCs w:val="22"/>
        </w:rPr>
      </w:pPr>
      <w:r w:rsidRPr="005963E4">
        <w:rPr>
          <w:rFonts w:asciiTheme="minorHAnsi" w:hAnsiTheme="minorHAnsi" w:cstheme="minorHAnsi"/>
          <w:sz w:val="22"/>
          <w:szCs w:val="22"/>
        </w:rPr>
        <w:t>Proposal for a regulation</w:t>
      </w:r>
    </w:p>
    <w:p w:rsidR="00D93D9A" w:rsidRPr="005963E4" w:rsidRDefault="00D93D9A" w:rsidP="00364E8D">
      <w:pPr>
        <w:spacing w:after="0" w:line="240" w:lineRule="auto"/>
        <w:rPr>
          <w:rFonts w:cstheme="minorHAnsi"/>
          <w:lang w:val="en-GB"/>
        </w:rPr>
      </w:pPr>
      <w:r w:rsidRPr="005963E4">
        <w:rPr>
          <w:rFonts w:cstheme="minorHAnsi"/>
          <w:b/>
          <w:lang w:val="en-GB"/>
        </w:rPr>
        <w:t>Article 39 – paragraph 1</w:t>
      </w:r>
    </w:p>
    <w:p w:rsidR="00D93D9A" w:rsidRPr="005963E4" w:rsidRDefault="00D93D9A" w:rsidP="00364E8D">
      <w:pPr>
        <w:spacing w:after="0" w:line="240" w:lineRule="auto"/>
        <w:rPr>
          <w:rFonts w:cstheme="minorHAnsi"/>
          <w:lang w:val="en-GB"/>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B11BF" w:rsidRPr="005963E4" w:rsidTr="003D0B6F">
        <w:tc>
          <w:tcPr>
            <w:tcW w:w="4788" w:type="dxa"/>
          </w:tcPr>
          <w:p w:rsidR="00CB11BF" w:rsidRPr="005963E4" w:rsidRDefault="00CB11BF" w:rsidP="00364E8D">
            <w:pPr>
              <w:jc w:val="center"/>
              <w:rPr>
                <w:rFonts w:eastAsia="Times New Roman" w:cstheme="minorHAnsi"/>
                <w:i/>
                <w:sz w:val="22"/>
                <w:szCs w:val="22"/>
                <w:lang w:val="en-GB"/>
              </w:rPr>
            </w:pPr>
            <w:r w:rsidRPr="005963E4">
              <w:rPr>
                <w:rFonts w:eastAsia="Times New Roman" w:cstheme="minorHAnsi"/>
                <w:i/>
                <w:sz w:val="22"/>
                <w:szCs w:val="22"/>
                <w:lang w:val="en-GB"/>
              </w:rPr>
              <w:t>Text proposed by the Commission</w:t>
            </w:r>
          </w:p>
          <w:p w:rsidR="00CB11BF" w:rsidRPr="005963E4" w:rsidRDefault="00CB11BF" w:rsidP="00364E8D">
            <w:pPr>
              <w:jc w:val="center"/>
              <w:rPr>
                <w:rFonts w:eastAsia="Times New Roman" w:cstheme="minorHAnsi"/>
                <w:i/>
                <w:sz w:val="22"/>
                <w:szCs w:val="22"/>
                <w:lang w:val="en-GB"/>
              </w:rPr>
            </w:pPr>
          </w:p>
        </w:tc>
        <w:tc>
          <w:tcPr>
            <w:tcW w:w="4788" w:type="dxa"/>
          </w:tcPr>
          <w:p w:rsidR="00CB11BF" w:rsidRPr="005963E4" w:rsidRDefault="00CB11BF" w:rsidP="00364E8D">
            <w:pPr>
              <w:jc w:val="center"/>
              <w:rPr>
                <w:rFonts w:eastAsia="Times New Roman" w:cstheme="minorHAnsi"/>
                <w:sz w:val="22"/>
                <w:szCs w:val="22"/>
                <w:lang w:val="en-GB"/>
              </w:rPr>
            </w:pPr>
            <w:r w:rsidRPr="005963E4">
              <w:rPr>
                <w:rFonts w:eastAsia="Times New Roman" w:cstheme="minorHAnsi"/>
                <w:i/>
                <w:sz w:val="22"/>
                <w:szCs w:val="22"/>
                <w:lang w:val="en-GB"/>
              </w:rPr>
              <w:t>Amendment</w:t>
            </w:r>
          </w:p>
        </w:tc>
      </w:tr>
      <w:tr w:rsidR="00CB11BF" w:rsidRPr="005963E4" w:rsidTr="003D0B6F">
        <w:tc>
          <w:tcPr>
            <w:tcW w:w="4788" w:type="dxa"/>
          </w:tcPr>
          <w:p w:rsidR="00CB11BF" w:rsidRPr="005963E4" w:rsidRDefault="00CB11BF" w:rsidP="00364E8D">
            <w:pPr>
              <w:ind w:right="461"/>
              <w:jc w:val="both"/>
              <w:rPr>
                <w:rFonts w:eastAsia="Times New Roman" w:cstheme="minorHAnsi"/>
                <w:sz w:val="22"/>
                <w:szCs w:val="22"/>
                <w:lang w:val="en-GB"/>
              </w:rPr>
            </w:pPr>
            <w:r w:rsidRPr="005963E4">
              <w:rPr>
                <w:rFonts w:eastAsia="Times New Roman" w:cstheme="minorHAnsi"/>
                <w:sz w:val="22"/>
                <w:szCs w:val="22"/>
                <w:lang w:val="en-GB"/>
              </w:rPr>
              <w:t>1.  The Member States and the Commission shall encourage, in particular at European level, the establishment of data protection certification mechanisms and of data protection seals and marks, allowing data subjects to quickly assess the level of data protection provided by controllers and processors.  The data protection certifications mechanisms shall contribute to the proper application of this Regulation, taking</w:t>
            </w:r>
            <w:r w:rsidR="00B23CBE" w:rsidRPr="005963E4">
              <w:rPr>
                <w:rFonts w:eastAsia="Times New Roman" w:cstheme="minorHAnsi"/>
                <w:sz w:val="22"/>
                <w:szCs w:val="22"/>
                <w:lang w:val="en-GB"/>
              </w:rPr>
              <w:t xml:space="preserve"> </w:t>
            </w:r>
            <w:r w:rsidRPr="005963E4">
              <w:rPr>
                <w:rFonts w:eastAsia="Times New Roman" w:cstheme="minorHAnsi"/>
                <w:sz w:val="22"/>
                <w:szCs w:val="22"/>
                <w:lang w:val="en-GB"/>
              </w:rPr>
              <w:t>account of the specific features of the various sectors and different processing</w:t>
            </w:r>
            <w:r w:rsidR="00B23CBE" w:rsidRPr="005963E4">
              <w:rPr>
                <w:rFonts w:eastAsia="Times New Roman" w:cstheme="minorHAnsi"/>
                <w:sz w:val="22"/>
                <w:szCs w:val="22"/>
                <w:lang w:val="en-GB"/>
              </w:rPr>
              <w:t xml:space="preserve"> </w:t>
            </w:r>
            <w:r w:rsidRPr="005963E4">
              <w:rPr>
                <w:rFonts w:eastAsia="Times New Roman" w:cstheme="minorHAnsi"/>
                <w:sz w:val="22"/>
                <w:szCs w:val="22"/>
                <w:lang w:val="en-GB"/>
              </w:rPr>
              <w:t>operations.</w:t>
            </w:r>
          </w:p>
        </w:tc>
        <w:tc>
          <w:tcPr>
            <w:tcW w:w="4788" w:type="dxa"/>
          </w:tcPr>
          <w:p w:rsidR="00CB11BF" w:rsidRPr="005963E4" w:rsidRDefault="00CB11BF" w:rsidP="00364E8D">
            <w:pPr>
              <w:ind w:left="397" w:right="288"/>
              <w:jc w:val="both"/>
              <w:rPr>
                <w:rFonts w:eastAsia="Times New Roman" w:cstheme="minorHAnsi"/>
                <w:sz w:val="22"/>
                <w:szCs w:val="22"/>
                <w:lang w:val="en-GB"/>
              </w:rPr>
            </w:pPr>
            <w:r w:rsidRPr="005963E4">
              <w:rPr>
                <w:rFonts w:eastAsia="Times New Roman" w:cstheme="minorHAnsi"/>
                <w:sz w:val="22"/>
                <w:szCs w:val="22"/>
                <w:lang w:val="en-GB"/>
              </w:rPr>
              <w:t>1.  The Member States and the Commission shall encourage, in particular at European</w:t>
            </w:r>
            <w:r w:rsidR="006E5EBD" w:rsidRPr="005963E4">
              <w:rPr>
                <w:rFonts w:eastAsia="Times New Roman" w:cstheme="minorHAnsi"/>
                <w:sz w:val="22"/>
                <w:szCs w:val="22"/>
                <w:lang w:val="en-GB"/>
              </w:rPr>
              <w:t xml:space="preserve"> </w:t>
            </w:r>
            <w:r w:rsidRPr="005963E4">
              <w:rPr>
                <w:rFonts w:eastAsia="Times New Roman" w:cstheme="minorHAnsi"/>
                <w:sz w:val="22"/>
                <w:szCs w:val="22"/>
                <w:lang w:val="en-GB"/>
              </w:rPr>
              <w:t>level, the establishment of data protection certification mechanisms and of data</w:t>
            </w:r>
            <w:r w:rsidR="006E5EBD" w:rsidRPr="005963E4">
              <w:rPr>
                <w:rFonts w:eastAsia="Times New Roman" w:cstheme="minorHAnsi"/>
                <w:sz w:val="22"/>
                <w:szCs w:val="22"/>
                <w:lang w:val="en-GB"/>
              </w:rPr>
              <w:t xml:space="preserve"> </w:t>
            </w:r>
            <w:r w:rsidRPr="005963E4">
              <w:rPr>
                <w:rFonts w:eastAsia="Times New Roman" w:cstheme="minorHAnsi"/>
                <w:sz w:val="22"/>
                <w:szCs w:val="22"/>
                <w:lang w:val="en-GB"/>
              </w:rPr>
              <w:t>protection seals and marks, allowing data subjects to quickly assess the level of data</w:t>
            </w:r>
            <w:r w:rsidR="006E5EBD" w:rsidRPr="005963E4">
              <w:rPr>
                <w:rFonts w:eastAsia="Times New Roman" w:cstheme="minorHAnsi"/>
                <w:sz w:val="22"/>
                <w:szCs w:val="22"/>
                <w:lang w:val="en-GB"/>
              </w:rPr>
              <w:t xml:space="preserve"> </w:t>
            </w:r>
            <w:r w:rsidRPr="005963E4">
              <w:rPr>
                <w:rFonts w:eastAsia="Times New Roman" w:cstheme="minorHAnsi"/>
                <w:sz w:val="22"/>
                <w:szCs w:val="22"/>
                <w:lang w:val="en-GB"/>
              </w:rPr>
              <w:t xml:space="preserve">protection provided by controllers and processors. </w:t>
            </w:r>
            <w:r w:rsidR="00B23CBE" w:rsidRPr="005963E4">
              <w:rPr>
                <w:rFonts w:eastAsia="Times New Roman" w:cstheme="minorHAnsi"/>
                <w:sz w:val="22"/>
                <w:szCs w:val="22"/>
                <w:lang w:val="en-GB"/>
              </w:rPr>
              <w:t xml:space="preserve"> </w:t>
            </w:r>
            <w:r w:rsidRPr="005963E4">
              <w:rPr>
                <w:rFonts w:eastAsia="Times New Roman" w:cstheme="minorHAnsi"/>
                <w:sz w:val="22"/>
                <w:szCs w:val="22"/>
                <w:lang w:val="en-GB"/>
              </w:rPr>
              <w:t xml:space="preserve">The data protection certifications mechanisms shall </w:t>
            </w:r>
            <w:r w:rsidRPr="005963E4">
              <w:rPr>
                <w:rFonts w:eastAsia="Times New Roman" w:cstheme="minorHAnsi"/>
                <w:b/>
                <w:i/>
                <w:sz w:val="22"/>
                <w:szCs w:val="22"/>
                <w:lang w:val="en-GB"/>
              </w:rPr>
              <w:t xml:space="preserve">be voluntary, capable of global application and affordable.  These mechanisms shall also be technology neutral and shall </w:t>
            </w:r>
            <w:r w:rsidRPr="005963E4">
              <w:rPr>
                <w:rFonts w:eastAsia="Times New Roman" w:cstheme="minorHAnsi"/>
                <w:sz w:val="22"/>
                <w:szCs w:val="22"/>
                <w:lang w:val="en-GB"/>
              </w:rPr>
              <w:t>contribute to the proper application of this Regulation, taking account of the specific features of the various sectors and different processing operations.</w:t>
            </w:r>
          </w:p>
        </w:tc>
      </w:tr>
    </w:tbl>
    <w:p w:rsidR="00B23CBE" w:rsidRPr="005963E4" w:rsidRDefault="00B23CBE" w:rsidP="00364E8D">
      <w:pPr>
        <w:spacing w:after="0" w:line="240" w:lineRule="auto"/>
        <w:rPr>
          <w:rFonts w:cstheme="minorHAnsi"/>
          <w:lang w:val="en-GB"/>
        </w:rPr>
      </w:pPr>
    </w:p>
    <w:p w:rsidR="00B23CBE" w:rsidRPr="005963E4" w:rsidRDefault="00D93D9A" w:rsidP="00364E8D">
      <w:pPr>
        <w:spacing w:after="0" w:line="240" w:lineRule="auto"/>
        <w:jc w:val="center"/>
        <w:rPr>
          <w:rFonts w:cstheme="minorHAnsi"/>
          <w:i/>
          <w:lang w:val="en-GB"/>
        </w:rPr>
      </w:pPr>
      <w:r w:rsidRPr="005963E4">
        <w:rPr>
          <w:rFonts w:cstheme="minorHAnsi"/>
          <w:i/>
          <w:lang w:val="en-GB"/>
        </w:rPr>
        <w:t>Justification</w:t>
      </w:r>
    </w:p>
    <w:p w:rsidR="00B23CBE" w:rsidRPr="005963E4" w:rsidRDefault="00B23CBE" w:rsidP="00364E8D">
      <w:pPr>
        <w:spacing w:after="0" w:line="240" w:lineRule="auto"/>
        <w:jc w:val="center"/>
        <w:rPr>
          <w:rFonts w:cstheme="minorHAnsi"/>
          <w:i/>
          <w:lang w:val="en-GB"/>
        </w:rPr>
      </w:pPr>
    </w:p>
    <w:p w:rsidR="00D93D9A" w:rsidRPr="005963E4" w:rsidRDefault="00D93D9A" w:rsidP="00364E8D">
      <w:pPr>
        <w:spacing w:after="0" w:line="240" w:lineRule="auto"/>
        <w:jc w:val="both"/>
        <w:rPr>
          <w:rFonts w:cstheme="minorHAnsi"/>
          <w:i/>
          <w:lang w:val="en-GB"/>
        </w:rPr>
      </w:pPr>
      <w:r w:rsidRPr="005963E4">
        <w:rPr>
          <w:rFonts w:cstheme="minorHAnsi"/>
          <w:i/>
          <w:lang w:val="en-GB"/>
        </w:rPr>
        <w:t xml:space="preserve">As described above, a certification scheme may help to encourage organisations to provide additional safeguards -- beyond standard clauses -- to personal data transferred out of the Union.  If the Parliament chooses to move forward with such a certification scheme, it should do so in a way that promotes the broadest possible participation.  Indeed, any certification regime should be structured so as to avoid unduly burdening companies (particularly SMEs) with costly and bureaucratic obligations that discourage participation. </w:t>
      </w:r>
    </w:p>
    <w:p w:rsidR="00B23CBE" w:rsidRPr="005963E4" w:rsidRDefault="00B23CBE" w:rsidP="00364E8D">
      <w:pPr>
        <w:spacing w:after="0" w:line="240" w:lineRule="auto"/>
        <w:jc w:val="both"/>
        <w:rPr>
          <w:rFonts w:cstheme="minorHAnsi"/>
          <w:i/>
          <w:lang w:val="en-GB"/>
        </w:rPr>
      </w:pPr>
    </w:p>
    <w:p w:rsidR="00D93D9A" w:rsidRPr="005963E4" w:rsidRDefault="00D93D9A" w:rsidP="00364E8D">
      <w:pPr>
        <w:spacing w:after="0" w:line="240" w:lineRule="auto"/>
        <w:jc w:val="both"/>
        <w:rPr>
          <w:rFonts w:cstheme="minorHAnsi"/>
          <w:i/>
          <w:lang w:val="en-GB"/>
        </w:rPr>
      </w:pPr>
      <w:r w:rsidRPr="005963E4">
        <w:rPr>
          <w:rFonts w:cstheme="minorHAnsi"/>
          <w:i/>
          <w:lang w:val="en-GB"/>
        </w:rPr>
        <w:t xml:space="preserve">The amendment proposed above to Article 39 would introduce important conditions on certification schemes that would ensure they are widely usable </w:t>
      </w:r>
      <w:r w:rsidR="00B23CBE" w:rsidRPr="005963E4">
        <w:rPr>
          <w:rFonts w:cstheme="minorHAnsi"/>
          <w:i/>
          <w:lang w:val="en-GB"/>
        </w:rPr>
        <w:t xml:space="preserve">by </w:t>
      </w:r>
      <w:r w:rsidRPr="005963E4">
        <w:rPr>
          <w:rFonts w:cstheme="minorHAnsi"/>
          <w:i/>
          <w:lang w:val="en-GB"/>
        </w:rPr>
        <w:t>controllers and processors large and small.  Specifically, certification schemes would need to:</w:t>
      </w:r>
    </w:p>
    <w:p w:rsidR="00B23CBE" w:rsidRPr="005963E4" w:rsidRDefault="00B23CBE" w:rsidP="00364E8D">
      <w:pPr>
        <w:spacing w:after="0" w:line="240" w:lineRule="auto"/>
        <w:jc w:val="both"/>
        <w:rPr>
          <w:rFonts w:cstheme="minorHAnsi"/>
          <w:i/>
          <w:lang w:val="en-GB"/>
        </w:rPr>
      </w:pPr>
    </w:p>
    <w:p w:rsidR="00D93D9A" w:rsidRPr="005963E4" w:rsidRDefault="00D93D9A" w:rsidP="00364E8D">
      <w:pPr>
        <w:pStyle w:val="ListParagraph"/>
        <w:widowControl w:val="0"/>
        <w:numPr>
          <w:ilvl w:val="0"/>
          <w:numId w:val="3"/>
        </w:numPr>
        <w:jc w:val="both"/>
        <w:rPr>
          <w:rFonts w:asciiTheme="minorHAnsi" w:hAnsiTheme="minorHAnsi" w:cstheme="minorHAnsi"/>
          <w:i/>
          <w:sz w:val="22"/>
          <w:szCs w:val="22"/>
          <w:lang w:val="en-GB"/>
        </w:rPr>
      </w:pPr>
      <w:r w:rsidRPr="005963E4">
        <w:rPr>
          <w:rFonts w:asciiTheme="minorHAnsi" w:hAnsiTheme="minorHAnsi" w:cstheme="minorHAnsi"/>
          <w:i/>
          <w:sz w:val="22"/>
          <w:szCs w:val="22"/>
          <w:lang w:val="en-GB"/>
        </w:rPr>
        <w:t>Be voluntary.</w:t>
      </w:r>
      <w:r w:rsidR="00B23CBE" w:rsidRPr="005963E4">
        <w:rPr>
          <w:rFonts w:asciiTheme="minorHAnsi" w:hAnsiTheme="minorHAnsi" w:cstheme="minorHAnsi"/>
          <w:i/>
          <w:sz w:val="22"/>
          <w:szCs w:val="22"/>
          <w:lang w:val="en-GB"/>
        </w:rPr>
        <w:t xml:space="preserve"> </w:t>
      </w:r>
      <w:r w:rsidRPr="005963E4">
        <w:rPr>
          <w:rFonts w:asciiTheme="minorHAnsi" w:hAnsiTheme="minorHAnsi" w:cstheme="minorHAnsi"/>
          <w:i/>
          <w:sz w:val="22"/>
          <w:szCs w:val="22"/>
          <w:lang w:val="en-GB"/>
        </w:rPr>
        <w:t xml:space="preserve"> Mandatory certification schemes can chill innovation and deter competition in the development of enhanced privacy protections – just at a time when we are seeing an acceleration of innovation and competition in the privacy sphere.  </w:t>
      </w:r>
    </w:p>
    <w:p w:rsidR="00D93D9A" w:rsidRPr="005963E4" w:rsidRDefault="00D93D9A" w:rsidP="00364E8D">
      <w:pPr>
        <w:pStyle w:val="ListParagraph"/>
        <w:widowControl w:val="0"/>
        <w:numPr>
          <w:ilvl w:val="0"/>
          <w:numId w:val="3"/>
        </w:numPr>
        <w:jc w:val="both"/>
        <w:rPr>
          <w:rFonts w:asciiTheme="minorHAnsi" w:hAnsiTheme="minorHAnsi" w:cstheme="minorHAnsi"/>
          <w:i/>
          <w:sz w:val="22"/>
          <w:szCs w:val="22"/>
          <w:lang w:val="en-GB"/>
        </w:rPr>
      </w:pPr>
      <w:r w:rsidRPr="005963E4">
        <w:rPr>
          <w:rFonts w:asciiTheme="minorHAnsi" w:hAnsiTheme="minorHAnsi" w:cstheme="minorHAnsi"/>
          <w:i/>
          <w:sz w:val="22"/>
          <w:szCs w:val="22"/>
          <w:lang w:val="en-GB"/>
        </w:rPr>
        <w:t>Be affordable.</w:t>
      </w:r>
      <w:r w:rsidR="00B23CBE" w:rsidRPr="005963E4">
        <w:rPr>
          <w:rFonts w:asciiTheme="minorHAnsi" w:hAnsiTheme="minorHAnsi" w:cstheme="minorHAnsi"/>
          <w:i/>
          <w:sz w:val="22"/>
          <w:szCs w:val="22"/>
          <w:lang w:val="en-GB"/>
        </w:rPr>
        <w:t xml:space="preserve"> </w:t>
      </w:r>
      <w:r w:rsidRPr="005963E4">
        <w:rPr>
          <w:rFonts w:asciiTheme="minorHAnsi" w:hAnsiTheme="minorHAnsi" w:cstheme="minorHAnsi"/>
          <w:i/>
          <w:sz w:val="22"/>
          <w:szCs w:val="22"/>
          <w:lang w:val="en-GB"/>
        </w:rPr>
        <w:t xml:space="preserve"> Some privacy certification regimes involve costs of upwards of €150,000 simply to certify one feature of a product or service.</w:t>
      </w:r>
      <w:r w:rsidR="00B23CBE" w:rsidRPr="005963E4">
        <w:rPr>
          <w:rFonts w:asciiTheme="minorHAnsi" w:hAnsiTheme="minorHAnsi" w:cstheme="minorHAnsi"/>
          <w:i/>
          <w:sz w:val="22"/>
          <w:szCs w:val="22"/>
          <w:lang w:val="en-GB"/>
        </w:rPr>
        <w:t xml:space="preserve"> </w:t>
      </w:r>
      <w:r w:rsidRPr="005963E4">
        <w:rPr>
          <w:rFonts w:asciiTheme="minorHAnsi" w:hAnsiTheme="minorHAnsi" w:cstheme="minorHAnsi"/>
          <w:i/>
          <w:sz w:val="22"/>
          <w:szCs w:val="22"/>
          <w:lang w:val="en-GB"/>
        </w:rPr>
        <w:t xml:space="preserve"> These costs create barriers to entry for all but the largest service providers, and discourage wide-scale use of the regime. </w:t>
      </w:r>
    </w:p>
    <w:p w:rsidR="00D93D9A" w:rsidRPr="005963E4" w:rsidRDefault="00D93D9A" w:rsidP="00364E8D">
      <w:pPr>
        <w:pStyle w:val="ListParagraph"/>
        <w:widowControl w:val="0"/>
        <w:numPr>
          <w:ilvl w:val="0"/>
          <w:numId w:val="3"/>
        </w:numPr>
        <w:jc w:val="both"/>
        <w:rPr>
          <w:rFonts w:asciiTheme="minorHAnsi" w:hAnsiTheme="minorHAnsi" w:cstheme="minorHAnsi"/>
          <w:i/>
          <w:sz w:val="22"/>
          <w:szCs w:val="22"/>
          <w:lang w:val="en-GB"/>
        </w:rPr>
      </w:pPr>
      <w:r w:rsidRPr="005963E4">
        <w:rPr>
          <w:rFonts w:asciiTheme="minorHAnsi" w:hAnsiTheme="minorHAnsi" w:cstheme="minorHAnsi"/>
          <w:i/>
          <w:sz w:val="22"/>
          <w:szCs w:val="22"/>
          <w:lang w:val="en-GB"/>
        </w:rPr>
        <w:t xml:space="preserve"> Be capable of being rolled-out and recognised globally. </w:t>
      </w:r>
      <w:r w:rsidR="00B23CBE" w:rsidRPr="005963E4">
        <w:rPr>
          <w:rFonts w:asciiTheme="minorHAnsi" w:hAnsiTheme="minorHAnsi" w:cstheme="minorHAnsi"/>
          <w:i/>
          <w:sz w:val="22"/>
          <w:szCs w:val="22"/>
          <w:lang w:val="en-GB"/>
        </w:rPr>
        <w:t xml:space="preserve"> </w:t>
      </w:r>
      <w:r w:rsidRPr="005963E4">
        <w:rPr>
          <w:rFonts w:asciiTheme="minorHAnsi" w:hAnsiTheme="minorHAnsi" w:cstheme="minorHAnsi"/>
          <w:i/>
          <w:sz w:val="22"/>
          <w:szCs w:val="22"/>
          <w:lang w:val="en-GB"/>
        </w:rPr>
        <w:t xml:space="preserve">To help reduce the compliance burden on providers, any certification scheme should be capable of being endorsed by regulators in third countries as well as by those in the Union.  </w:t>
      </w:r>
    </w:p>
    <w:p w:rsidR="00D93D9A" w:rsidRPr="005963E4" w:rsidRDefault="00D93D9A" w:rsidP="00364E8D">
      <w:pPr>
        <w:pStyle w:val="ListParagraph"/>
        <w:widowControl w:val="0"/>
        <w:numPr>
          <w:ilvl w:val="0"/>
          <w:numId w:val="3"/>
        </w:numPr>
        <w:jc w:val="both"/>
        <w:rPr>
          <w:rFonts w:asciiTheme="minorHAnsi" w:hAnsiTheme="minorHAnsi" w:cstheme="minorHAnsi"/>
          <w:lang w:val="en-GB"/>
        </w:rPr>
      </w:pPr>
      <w:r w:rsidRPr="005963E4">
        <w:rPr>
          <w:rFonts w:asciiTheme="minorHAnsi" w:hAnsiTheme="minorHAnsi" w:cstheme="minorHAnsi"/>
          <w:i/>
          <w:sz w:val="22"/>
          <w:szCs w:val="22"/>
          <w:lang w:val="en-GB"/>
        </w:rPr>
        <w:t>Be neutral as to system, service or technology.</w:t>
      </w:r>
      <w:r w:rsidR="00B23CBE" w:rsidRPr="005963E4">
        <w:rPr>
          <w:rFonts w:asciiTheme="minorHAnsi" w:hAnsiTheme="minorHAnsi" w:cstheme="minorHAnsi"/>
          <w:i/>
          <w:sz w:val="22"/>
          <w:szCs w:val="22"/>
          <w:lang w:val="en-GB"/>
        </w:rPr>
        <w:t xml:space="preserve"> </w:t>
      </w:r>
      <w:r w:rsidRPr="005963E4">
        <w:rPr>
          <w:rFonts w:asciiTheme="minorHAnsi" w:hAnsiTheme="minorHAnsi" w:cstheme="minorHAnsi"/>
          <w:i/>
          <w:sz w:val="22"/>
          <w:szCs w:val="22"/>
          <w:lang w:val="en-GB"/>
        </w:rPr>
        <w:t xml:space="preserve"> Similarly situated services and products should be subject to the same assessment criteria. </w:t>
      </w:r>
      <w:r w:rsidR="00B23CBE" w:rsidRPr="005963E4">
        <w:rPr>
          <w:rFonts w:asciiTheme="minorHAnsi" w:hAnsiTheme="minorHAnsi" w:cstheme="minorHAnsi"/>
          <w:i/>
          <w:sz w:val="22"/>
          <w:szCs w:val="22"/>
          <w:lang w:val="en-GB"/>
        </w:rPr>
        <w:t xml:space="preserve"> </w:t>
      </w:r>
      <w:r w:rsidRPr="005963E4">
        <w:rPr>
          <w:rFonts w:asciiTheme="minorHAnsi" w:hAnsiTheme="minorHAnsi" w:cstheme="minorHAnsi"/>
          <w:i/>
          <w:sz w:val="22"/>
          <w:szCs w:val="22"/>
          <w:lang w:val="en-GB"/>
        </w:rPr>
        <w:t>Favouring some solutions over others creates market distortions and hinders innovation.</w:t>
      </w:r>
      <w:r w:rsidRPr="005963E4">
        <w:rPr>
          <w:rFonts w:asciiTheme="minorHAnsi" w:eastAsiaTheme="minorHAnsi" w:hAnsiTheme="minorHAnsi" w:cstheme="minorHAnsi"/>
          <w:sz w:val="22"/>
          <w:szCs w:val="22"/>
          <w:lang w:val="en-GB"/>
        </w:rPr>
        <w:br w:type="page"/>
      </w:r>
    </w:p>
    <w:p w:rsidR="00D93D9A" w:rsidRPr="005963E4" w:rsidRDefault="00D93D9A" w:rsidP="00364E8D">
      <w:pPr>
        <w:spacing w:line="240" w:lineRule="auto"/>
        <w:jc w:val="center"/>
        <w:rPr>
          <w:rFonts w:cstheme="minorHAnsi"/>
          <w:b/>
          <w:u w:val="single"/>
          <w:lang w:val="en-GB"/>
        </w:rPr>
      </w:pPr>
      <w:r w:rsidRPr="005963E4">
        <w:rPr>
          <w:rFonts w:cstheme="minorHAnsi"/>
          <w:b/>
          <w:u w:val="single"/>
          <w:lang w:val="en-GB"/>
        </w:rPr>
        <w:lastRenderedPageBreak/>
        <w:t>Controllers/Processors</w:t>
      </w:r>
    </w:p>
    <w:p w:rsidR="00D93D9A" w:rsidRPr="005963E4" w:rsidRDefault="00D93D9A" w:rsidP="00364E8D">
      <w:pPr>
        <w:pStyle w:val="AMNumberTabs"/>
        <w:keepNext/>
        <w:rPr>
          <w:rFonts w:asciiTheme="minorHAnsi" w:hAnsiTheme="minorHAnsi" w:cstheme="minorHAnsi"/>
          <w:sz w:val="22"/>
          <w:szCs w:val="22"/>
        </w:rPr>
      </w:pPr>
      <w:r w:rsidRPr="005963E4">
        <w:rPr>
          <w:rFonts w:asciiTheme="minorHAnsi" w:hAnsiTheme="minorHAnsi" w:cstheme="minorHAnsi"/>
          <w:sz w:val="22"/>
          <w:szCs w:val="22"/>
        </w:rPr>
        <w:t>Amendment</w:t>
      </w:r>
      <w:r w:rsidRPr="005963E4">
        <w:rPr>
          <w:rFonts w:asciiTheme="minorHAnsi" w:hAnsiTheme="minorHAnsi" w:cstheme="minorHAnsi"/>
          <w:sz w:val="22"/>
          <w:szCs w:val="22"/>
        </w:rPr>
        <w:tab/>
      </w:r>
      <w:r w:rsidRPr="005963E4">
        <w:rPr>
          <w:rFonts w:asciiTheme="minorHAnsi" w:hAnsiTheme="minorHAnsi" w:cstheme="minorHAnsi"/>
          <w:sz w:val="22"/>
          <w:szCs w:val="22"/>
        </w:rPr>
        <w:tab/>
      </w:r>
    </w:p>
    <w:p w:rsidR="00D93D9A" w:rsidRPr="005963E4" w:rsidRDefault="00D93D9A" w:rsidP="00364E8D">
      <w:pPr>
        <w:pStyle w:val="NormalBold"/>
        <w:keepNext/>
        <w:rPr>
          <w:rFonts w:asciiTheme="minorHAnsi" w:hAnsiTheme="minorHAnsi" w:cstheme="minorHAnsi"/>
          <w:sz w:val="22"/>
          <w:szCs w:val="22"/>
        </w:rPr>
      </w:pPr>
      <w:r w:rsidRPr="005963E4">
        <w:rPr>
          <w:rFonts w:asciiTheme="minorHAnsi" w:hAnsiTheme="minorHAnsi" w:cstheme="minorHAnsi"/>
          <w:sz w:val="22"/>
          <w:szCs w:val="22"/>
        </w:rPr>
        <w:t>Proposal for a regulation</w:t>
      </w:r>
    </w:p>
    <w:p w:rsidR="00D93D9A" w:rsidRPr="005963E4" w:rsidRDefault="00D93D9A" w:rsidP="00364E8D">
      <w:pPr>
        <w:pStyle w:val="NormalBold"/>
        <w:rPr>
          <w:rFonts w:asciiTheme="minorHAnsi" w:hAnsiTheme="minorHAnsi" w:cstheme="minorHAnsi"/>
          <w:sz w:val="22"/>
          <w:szCs w:val="22"/>
        </w:rPr>
      </w:pPr>
      <w:r w:rsidRPr="005963E4">
        <w:rPr>
          <w:rFonts w:asciiTheme="minorHAnsi" w:hAnsiTheme="minorHAnsi" w:cstheme="minorHAnsi"/>
          <w:sz w:val="22"/>
          <w:szCs w:val="22"/>
        </w:rPr>
        <w:t>Article 4 – point 5</w:t>
      </w:r>
    </w:p>
    <w:p w:rsidR="0083293F" w:rsidRPr="005963E4" w:rsidRDefault="0083293F" w:rsidP="00364E8D">
      <w:pPr>
        <w:pStyle w:val="NormalBold"/>
        <w:rPr>
          <w:rFonts w:asciiTheme="minorHAnsi" w:hAnsiTheme="minorHAnsi" w:cstheme="minorHAnsi"/>
          <w:sz w:val="22"/>
          <w:szCs w:val="22"/>
        </w:rPr>
      </w:pPr>
    </w:p>
    <w:tbl>
      <w:tblPr>
        <w:tblW w:w="0" w:type="auto"/>
        <w:jc w:val="center"/>
        <w:tblLayout w:type="fixed"/>
        <w:tblCellMar>
          <w:left w:w="340" w:type="dxa"/>
          <w:right w:w="340" w:type="dxa"/>
        </w:tblCellMar>
        <w:tblLook w:val="0000" w:firstRow="0" w:lastRow="0" w:firstColumn="0" w:lastColumn="0" w:noHBand="0" w:noVBand="0"/>
      </w:tblPr>
      <w:tblGrid>
        <w:gridCol w:w="4856"/>
        <w:gridCol w:w="4785"/>
      </w:tblGrid>
      <w:tr w:rsidR="0083293F" w:rsidRPr="005963E4" w:rsidTr="003D0B6F">
        <w:trPr>
          <w:trHeight w:val="471"/>
          <w:jc w:val="center"/>
        </w:trPr>
        <w:tc>
          <w:tcPr>
            <w:tcW w:w="4856" w:type="dxa"/>
          </w:tcPr>
          <w:p w:rsidR="0083293F" w:rsidRPr="005963E4" w:rsidRDefault="0083293F" w:rsidP="00364E8D">
            <w:pPr>
              <w:keepNext/>
              <w:widowControl w:val="0"/>
              <w:spacing w:after="0" w:line="240" w:lineRule="auto"/>
              <w:jc w:val="center"/>
              <w:rPr>
                <w:rFonts w:eastAsia="Times New Roman" w:cstheme="minorHAnsi"/>
                <w:i/>
                <w:lang w:val="en-GB" w:eastAsia="en-GB"/>
              </w:rPr>
            </w:pPr>
            <w:r w:rsidRPr="005963E4">
              <w:rPr>
                <w:rFonts w:eastAsia="Times New Roman" w:cstheme="minorHAnsi"/>
                <w:i/>
                <w:lang w:val="en-GB" w:eastAsia="en-GB"/>
              </w:rPr>
              <w:t>Text proposed by the Commission</w:t>
            </w:r>
          </w:p>
          <w:p w:rsidR="0083293F" w:rsidRPr="005963E4" w:rsidRDefault="0083293F" w:rsidP="00364E8D">
            <w:pPr>
              <w:keepNext/>
              <w:widowControl w:val="0"/>
              <w:spacing w:after="0" w:line="240" w:lineRule="auto"/>
              <w:jc w:val="center"/>
              <w:rPr>
                <w:rFonts w:eastAsia="Times New Roman" w:cstheme="minorHAnsi"/>
                <w:i/>
                <w:lang w:val="en-GB" w:eastAsia="en-GB"/>
              </w:rPr>
            </w:pPr>
          </w:p>
        </w:tc>
        <w:tc>
          <w:tcPr>
            <w:tcW w:w="4785" w:type="dxa"/>
          </w:tcPr>
          <w:p w:rsidR="0083293F" w:rsidRPr="005963E4" w:rsidRDefault="0083293F" w:rsidP="00364E8D">
            <w:pPr>
              <w:keepNext/>
              <w:widowControl w:val="0"/>
              <w:spacing w:after="0" w:line="240" w:lineRule="auto"/>
              <w:ind w:left="360" w:hanging="360"/>
              <w:jc w:val="center"/>
              <w:rPr>
                <w:rFonts w:eastAsia="Times New Roman" w:cstheme="minorHAnsi"/>
                <w:i/>
                <w:lang w:val="en-GB" w:eastAsia="en-GB"/>
              </w:rPr>
            </w:pPr>
            <w:r w:rsidRPr="005963E4">
              <w:rPr>
                <w:rFonts w:eastAsia="Times New Roman" w:cstheme="minorHAnsi"/>
                <w:i/>
                <w:lang w:val="en-GB" w:eastAsia="en-GB"/>
              </w:rPr>
              <w:t>Amendment</w:t>
            </w:r>
          </w:p>
        </w:tc>
      </w:tr>
      <w:tr w:rsidR="0083293F" w:rsidRPr="005963E4" w:rsidTr="003D0B6F">
        <w:trPr>
          <w:trHeight w:val="7653"/>
          <w:jc w:val="center"/>
        </w:trPr>
        <w:tc>
          <w:tcPr>
            <w:tcW w:w="4856" w:type="dxa"/>
          </w:tcPr>
          <w:p w:rsidR="0083293F" w:rsidRPr="005963E4" w:rsidRDefault="0083293F" w:rsidP="00364E8D">
            <w:pPr>
              <w:spacing w:after="0" w:line="240" w:lineRule="auto"/>
              <w:jc w:val="both"/>
              <w:rPr>
                <w:rFonts w:eastAsia="Times New Roman" w:cstheme="minorHAnsi"/>
                <w:lang w:val="en-GB"/>
              </w:rPr>
            </w:pPr>
            <w:r w:rsidRPr="005963E4">
              <w:rPr>
                <w:rFonts w:eastAsia="Times New Roman" w:cstheme="minorHAnsi"/>
                <w:lang w:val="en-GB"/>
              </w:rPr>
              <w:t>(5) 'controller' means the natural or legal person, public authority, agency or any other body which alone or jointly with others determines the purposes</w:t>
            </w:r>
            <w:r w:rsidRPr="005963E4">
              <w:rPr>
                <w:rFonts w:eastAsia="Times New Roman" w:cstheme="minorHAnsi"/>
                <w:b/>
                <w:i/>
                <w:lang w:val="en-GB"/>
              </w:rPr>
              <w:t>, conditions and means</w:t>
            </w:r>
            <w:r w:rsidRPr="005963E4">
              <w:rPr>
                <w:rFonts w:eastAsia="Times New Roman" w:cstheme="minorHAnsi"/>
                <w:lang w:val="en-GB"/>
              </w:rPr>
              <w:t xml:space="preserve"> of the processing of personal data; where the purposes</w:t>
            </w:r>
            <w:r w:rsidRPr="005963E4">
              <w:rPr>
                <w:rFonts w:eastAsia="Times New Roman" w:cstheme="minorHAnsi"/>
                <w:b/>
                <w:i/>
                <w:lang w:val="en-GB"/>
              </w:rPr>
              <w:t>, conditions and means</w:t>
            </w:r>
            <w:r w:rsidRPr="005963E4">
              <w:rPr>
                <w:rFonts w:eastAsia="Times New Roman" w:cstheme="minorHAnsi"/>
                <w:lang w:val="en-GB"/>
              </w:rPr>
              <w:t xml:space="preserve"> of processing are determined by Union law or Member State law, the controller or the specific criteria for his nomination may be designated by Union law or by Member State law;</w:t>
            </w:r>
          </w:p>
          <w:p w:rsidR="0083293F" w:rsidRPr="005963E4" w:rsidRDefault="0083293F" w:rsidP="00364E8D">
            <w:pPr>
              <w:keepNext/>
              <w:widowControl w:val="0"/>
              <w:tabs>
                <w:tab w:val="left" w:pos="879"/>
                <w:tab w:val="left" w:pos="936"/>
                <w:tab w:val="left" w:pos="1021"/>
                <w:tab w:val="left" w:pos="1077"/>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2070"/>
                <w:tab w:val="left" w:pos="2126"/>
                <w:tab w:val="left" w:pos="3374"/>
                <w:tab w:val="left" w:pos="3430"/>
              </w:tabs>
              <w:spacing w:before="240" w:after="0" w:line="240" w:lineRule="auto"/>
              <w:rPr>
                <w:rFonts w:eastAsia="Times New Roman" w:cstheme="minorHAnsi"/>
                <w:b/>
                <w:lang w:val="en-GB" w:eastAsia="en-GB"/>
              </w:rPr>
            </w:pPr>
          </w:p>
          <w:p w:rsidR="0083293F" w:rsidRPr="005963E4" w:rsidRDefault="0083293F" w:rsidP="00364E8D">
            <w:pPr>
              <w:keepNext/>
              <w:widowControl w:val="0"/>
              <w:tabs>
                <w:tab w:val="left" w:pos="879"/>
                <w:tab w:val="left" w:pos="936"/>
                <w:tab w:val="left" w:pos="1021"/>
                <w:tab w:val="left" w:pos="1077"/>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2070"/>
                <w:tab w:val="left" w:pos="2126"/>
                <w:tab w:val="left" w:pos="3374"/>
                <w:tab w:val="left" w:pos="3430"/>
              </w:tabs>
              <w:spacing w:before="240" w:after="0" w:line="240" w:lineRule="auto"/>
              <w:rPr>
                <w:rFonts w:eastAsia="Times New Roman" w:cstheme="minorHAnsi"/>
                <w:b/>
                <w:lang w:val="en-GB" w:eastAsia="en-GB"/>
              </w:rPr>
            </w:pPr>
            <w:r w:rsidRPr="005963E4">
              <w:rPr>
                <w:rFonts w:eastAsia="Times New Roman" w:cstheme="minorHAnsi"/>
                <w:b/>
                <w:lang w:val="en-GB" w:eastAsia="en-GB"/>
              </w:rPr>
              <w:t>Amendment</w:t>
            </w:r>
            <w:r w:rsidRPr="005963E4">
              <w:rPr>
                <w:rFonts w:eastAsia="Times New Roman" w:cstheme="minorHAnsi"/>
                <w:b/>
                <w:lang w:val="en-GB" w:eastAsia="en-GB"/>
              </w:rPr>
              <w:tab/>
            </w:r>
            <w:r w:rsidRPr="005963E4">
              <w:rPr>
                <w:rFonts w:eastAsia="Times New Roman" w:cstheme="minorHAnsi"/>
                <w:b/>
                <w:lang w:val="en-GB" w:eastAsia="en-GB"/>
              </w:rPr>
              <w:tab/>
            </w:r>
          </w:p>
          <w:p w:rsidR="0083293F" w:rsidRPr="005963E4" w:rsidRDefault="0083293F" w:rsidP="00364E8D">
            <w:pPr>
              <w:keepNext/>
              <w:widowControl w:val="0"/>
              <w:spacing w:after="0" w:line="240" w:lineRule="auto"/>
              <w:rPr>
                <w:rFonts w:eastAsia="Times New Roman" w:cstheme="minorHAnsi"/>
                <w:b/>
                <w:lang w:val="en-GB" w:eastAsia="en-GB"/>
              </w:rPr>
            </w:pPr>
            <w:r w:rsidRPr="005963E4">
              <w:rPr>
                <w:rFonts w:eastAsia="Times New Roman" w:cstheme="minorHAnsi"/>
                <w:b/>
                <w:lang w:val="en-GB" w:eastAsia="en-GB"/>
              </w:rPr>
              <w:t>Proposal for a regulation</w:t>
            </w:r>
          </w:p>
          <w:p w:rsidR="0083293F" w:rsidRPr="005963E4" w:rsidRDefault="0083293F" w:rsidP="00364E8D">
            <w:pPr>
              <w:spacing w:after="0" w:line="240" w:lineRule="auto"/>
              <w:rPr>
                <w:rFonts w:eastAsia="Times New Roman" w:cstheme="minorHAnsi"/>
                <w:b/>
                <w:lang w:val="en-GB"/>
              </w:rPr>
            </w:pPr>
            <w:r w:rsidRPr="005963E4">
              <w:rPr>
                <w:rFonts w:eastAsia="Times New Roman" w:cstheme="minorHAnsi"/>
                <w:b/>
                <w:lang w:val="en-GB"/>
              </w:rPr>
              <w:t xml:space="preserve">Article 24 </w:t>
            </w:r>
          </w:p>
          <w:p w:rsidR="0083293F" w:rsidRPr="005963E4" w:rsidRDefault="0083293F" w:rsidP="00364E8D">
            <w:pPr>
              <w:spacing w:after="0" w:line="240" w:lineRule="auto"/>
              <w:rPr>
                <w:rFonts w:eastAsia="Times New Roman" w:cstheme="minorHAnsi"/>
                <w:lang w:val="en-GB"/>
              </w:rPr>
            </w:pPr>
          </w:p>
          <w:p w:rsidR="0083293F" w:rsidRPr="005963E4" w:rsidRDefault="0083293F" w:rsidP="00364E8D">
            <w:pPr>
              <w:spacing w:after="0" w:line="240" w:lineRule="auto"/>
              <w:jc w:val="center"/>
              <w:rPr>
                <w:rFonts w:eastAsia="Times New Roman" w:cstheme="minorHAnsi"/>
                <w:i/>
                <w:lang w:val="en-GB"/>
              </w:rPr>
            </w:pPr>
            <w:r w:rsidRPr="005963E4">
              <w:rPr>
                <w:rFonts w:eastAsia="Times New Roman" w:cstheme="minorHAnsi"/>
                <w:i/>
                <w:lang w:val="en-GB"/>
              </w:rPr>
              <w:t>Text proposed by the Commission</w:t>
            </w:r>
          </w:p>
          <w:p w:rsidR="0083293F" w:rsidRPr="005963E4" w:rsidRDefault="0083293F" w:rsidP="00364E8D">
            <w:pPr>
              <w:spacing w:after="0" w:line="240" w:lineRule="auto"/>
              <w:rPr>
                <w:rFonts w:eastAsia="Times New Roman" w:cstheme="minorHAnsi"/>
                <w:lang w:val="en-GB"/>
              </w:rPr>
            </w:pPr>
          </w:p>
          <w:p w:rsidR="0083293F" w:rsidRPr="005963E4" w:rsidRDefault="0083293F" w:rsidP="00364E8D">
            <w:pPr>
              <w:spacing w:after="0" w:line="240" w:lineRule="auto"/>
              <w:jc w:val="both"/>
              <w:rPr>
                <w:rFonts w:eastAsia="Times New Roman" w:cstheme="minorHAnsi"/>
                <w:lang w:val="en-GB"/>
              </w:rPr>
            </w:pPr>
            <w:r w:rsidRPr="005963E4">
              <w:rPr>
                <w:rFonts w:eastAsia="Times New Roman" w:cstheme="minorHAnsi"/>
                <w:lang w:val="en-GB"/>
              </w:rPr>
              <w:t>Where a controller determines the purposes</w:t>
            </w:r>
            <w:r w:rsidRPr="005963E4">
              <w:rPr>
                <w:rFonts w:eastAsia="Times New Roman" w:cstheme="minorHAnsi"/>
                <w:b/>
                <w:i/>
                <w:lang w:val="en-GB"/>
              </w:rPr>
              <w:t>, conditions and means</w:t>
            </w:r>
            <w:r w:rsidRPr="005963E4">
              <w:rPr>
                <w:rFonts w:eastAsia="Times New Roman" w:cstheme="minorHAnsi"/>
                <w:lang w:val="en-GB"/>
              </w:rPr>
              <w:t xml:space="preserve"> of the processing of personal data jointly with others, the joint controllers shall determine their respective responsibilities for compliance with the obligations under this Regulation, in particular as regards the procedures and mechanisms for exercising the rights of the data subject, by means of an arrangement between them.</w:t>
            </w:r>
          </w:p>
          <w:p w:rsidR="0083293F" w:rsidRPr="005963E4" w:rsidRDefault="0083293F" w:rsidP="00364E8D">
            <w:pPr>
              <w:spacing w:after="0" w:line="240" w:lineRule="auto"/>
              <w:rPr>
                <w:rFonts w:eastAsia="Times New Roman" w:cstheme="minorHAnsi"/>
                <w:lang w:val="en-GB"/>
              </w:rPr>
            </w:pPr>
          </w:p>
        </w:tc>
        <w:tc>
          <w:tcPr>
            <w:tcW w:w="4785" w:type="dxa"/>
          </w:tcPr>
          <w:p w:rsidR="0083293F" w:rsidRPr="005963E4" w:rsidRDefault="0083293F" w:rsidP="00364E8D">
            <w:pPr>
              <w:spacing w:after="0" w:line="240" w:lineRule="auto"/>
              <w:ind w:left="397"/>
              <w:jc w:val="both"/>
              <w:rPr>
                <w:rFonts w:eastAsia="Times New Roman" w:cstheme="minorHAnsi"/>
                <w:lang w:val="en-GB"/>
              </w:rPr>
            </w:pPr>
            <w:r w:rsidRPr="005963E4">
              <w:rPr>
                <w:rFonts w:eastAsia="Times New Roman" w:cstheme="minorHAnsi"/>
                <w:lang w:val="en-GB"/>
              </w:rPr>
              <w:t>(5) 'controller' means the natural or legal person, public authority, agency or any other body which alone or jointly with others determines the purposes of the processing of personal data; where the purposes of processing are determined by Union law or Member State law, the controller or the specific criteria for his nomination may be designated by Union law or by Member State law;</w:t>
            </w:r>
          </w:p>
          <w:p w:rsidR="0083293F" w:rsidRPr="005963E4" w:rsidRDefault="0083293F" w:rsidP="00364E8D">
            <w:pPr>
              <w:spacing w:after="0" w:line="240" w:lineRule="auto"/>
              <w:rPr>
                <w:rFonts w:eastAsia="Times New Roman" w:cstheme="minorHAnsi"/>
                <w:lang w:val="en-GB"/>
              </w:rPr>
            </w:pPr>
          </w:p>
          <w:p w:rsidR="0083293F" w:rsidRPr="005963E4" w:rsidRDefault="0083293F" w:rsidP="00364E8D">
            <w:pPr>
              <w:spacing w:after="0" w:line="240" w:lineRule="auto"/>
              <w:rPr>
                <w:rFonts w:eastAsia="Times New Roman" w:cstheme="minorHAnsi"/>
                <w:lang w:val="en-GB"/>
              </w:rPr>
            </w:pPr>
          </w:p>
          <w:p w:rsidR="0083293F" w:rsidRPr="005963E4" w:rsidRDefault="0083293F" w:rsidP="00364E8D">
            <w:pPr>
              <w:spacing w:after="0" w:line="240" w:lineRule="auto"/>
              <w:rPr>
                <w:rFonts w:eastAsia="Times New Roman" w:cstheme="minorHAnsi"/>
                <w:lang w:val="en-GB"/>
              </w:rPr>
            </w:pPr>
          </w:p>
          <w:p w:rsidR="0083293F" w:rsidRPr="005963E4" w:rsidRDefault="0083293F" w:rsidP="00364E8D">
            <w:pPr>
              <w:spacing w:after="0" w:line="240" w:lineRule="auto"/>
              <w:rPr>
                <w:rFonts w:eastAsia="Times New Roman" w:cstheme="minorHAnsi"/>
                <w:lang w:val="en-GB"/>
              </w:rPr>
            </w:pPr>
          </w:p>
          <w:p w:rsidR="0083293F" w:rsidRPr="005963E4" w:rsidRDefault="0083293F" w:rsidP="00364E8D">
            <w:pPr>
              <w:spacing w:after="0" w:line="240" w:lineRule="auto"/>
              <w:rPr>
                <w:rFonts w:eastAsia="Times New Roman" w:cstheme="minorHAnsi"/>
                <w:lang w:val="en-GB"/>
              </w:rPr>
            </w:pPr>
          </w:p>
          <w:p w:rsidR="0083293F" w:rsidRPr="005963E4" w:rsidRDefault="0083293F" w:rsidP="00364E8D">
            <w:pPr>
              <w:spacing w:after="0" w:line="240" w:lineRule="auto"/>
              <w:rPr>
                <w:rFonts w:eastAsia="Times New Roman" w:cstheme="minorHAnsi"/>
                <w:lang w:val="en-GB"/>
              </w:rPr>
            </w:pPr>
          </w:p>
          <w:p w:rsidR="0083293F" w:rsidRPr="005963E4" w:rsidRDefault="0083293F" w:rsidP="00364E8D">
            <w:pPr>
              <w:spacing w:after="0" w:line="240" w:lineRule="auto"/>
              <w:rPr>
                <w:rFonts w:eastAsia="Times New Roman" w:cstheme="minorHAnsi"/>
                <w:lang w:val="en-GB"/>
              </w:rPr>
            </w:pPr>
          </w:p>
          <w:p w:rsidR="0050668D" w:rsidRPr="005963E4" w:rsidRDefault="0050668D" w:rsidP="00364E8D">
            <w:pPr>
              <w:tabs>
                <w:tab w:val="left" w:pos="1501"/>
              </w:tabs>
              <w:spacing w:after="0" w:line="240" w:lineRule="auto"/>
              <w:rPr>
                <w:rFonts w:eastAsia="Times New Roman" w:cstheme="minorHAnsi"/>
                <w:lang w:val="en-GB"/>
              </w:rPr>
            </w:pPr>
          </w:p>
          <w:p w:rsidR="0083293F" w:rsidRPr="005963E4" w:rsidRDefault="0083293F" w:rsidP="00364E8D">
            <w:pPr>
              <w:spacing w:after="0" w:line="240" w:lineRule="auto"/>
              <w:jc w:val="center"/>
              <w:rPr>
                <w:rFonts w:eastAsia="Times New Roman" w:cstheme="minorHAnsi"/>
                <w:i/>
                <w:lang w:val="en-GB"/>
              </w:rPr>
            </w:pPr>
            <w:r w:rsidRPr="005963E4">
              <w:rPr>
                <w:rFonts w:eastAsia="Times New Roman" w:cstheme="minorHAnsi"/>
                <w:i/>
                <w:lang w:val="en-GB"/>
              </w:rPr>
              <w:t>Amendment</w:t>
            </w:r>
          </w:p>
          <w:p w:rsidR="0083293F" w:rsidRPr="005963E4" w:rsidRDefault="0083293F" w:rsidP="00364E8D">
            <w:pPr>
              <w:spacing w:after="0" w:line="240" w:lineRule="auto"/>
              <w:jc w:val="center"/>
              <w:rPr>
                <w:rFonts w:eastAsia="Times New Roman" w:cstheme="minorHAnsi"/>
                <w:lang w:val="en-GB"/>
              </w:rPr>
            </w:pPr>
          </w:p>
          <w:p w:rsidR="0083293F" w:rsidRPr="005963E4" w:rsidRDefault="0083293F" w:rsidP="00364E8D">
            <w:pPr>
              <w:spacing w:after="0" w:line="240" w:lineRule="auto"/>
              <w:ind w:left="397"/>
              <w:jc w:val="both"/>
              <w:rPr>
                <w:rFonts w:eastAsia="Times New Roman" w:cstheme="minorHAnsi"/>
                <w:lang w:val="en-GB"/>
              </w:rPr>
            </w:pPr>
            <w:r w:rsidRPr="005963E4">
              <w:rPr>
                <w:rFonts w:eastAsia="Times New Roman" w:cstheme="minorHAnsi"/>
                <w:lang w:val="en-GB"/>
              </w:rPr>
              <w:t>Where a controller determines the purposes of the processing of personal data jointly with others, the joint controllers shall determine their respective responsibilities for compliance with the obligations under this Regulation, in particular as regards the procedures and mechanisms for exercising the rights of the data subject, by means of an arrangement between them.</w:t>
            </w:r>
          </w:p>
          <w:p w:rsidR="0050668D" w:rsidRPr="005963E4" w:rsidRDefault="0050668D" w:rsidP="00364E8D">
            <w:pPr>
              <w:spacing w:after="0" w:line="240" w:lineRule="auto"/>
              <w:ind w:left="397"/>
              <w:rPr>
                <w:rFonts w:eastAsia="Times New Roman" w:cstheme="minorHAnsi"/>
                <w:lang w:val="en-GB"/>
              </w:rPr>
            </w:pPr>
          </w:p>
        </w:tc>
      </w:tr>
    </w:tbl>
    <w:p w:rsidR="009F1E3D" w:rsidRPr="005963E4" w:rsidRDefault="009F1E3D" w:rsidP="00364E8D">
      <w:pPr>
        <w:pStyle w:val="AMNumberTabs"/>
        <w:keepNext/>
        <w:spacing w:before="0"/>
        <w:jc w:val="center"/>
        <w:rPr>
          <w:rFonts w:asciiTheme="minorHAnsi" w:hAnsiTheme="minorHAnsi" w:cstheme="minorHAnsi"/>
          <w:b w:val="0"/>
          <w:i/>
          <w:sz w:val="22"/>
          <w:szCs w:val="22"/>
        </w:rPr>
      </w:pPr>
    </w:p>
    <w:p w:rsidR="00D93D9A" w:rsidRPr="005963E4" w:rsidRDefault="00D93D9A" w:rsidP="00364E8D">
      <w:pPr>
        <w:pStyle w:val="AMNumberTabs"/>
        <w:keepNext/>
        <w:spacing w:before="0"/>
        <w:jc w:val="center"/>
        <w:rPr>
          <w:rFonts w:asciiTheme="minorHAnsi" w:hAnsiTheme="minorHAnsi" w:cstheme="minorHAnsi"/>
          <w:b w:val="0"/>
          <w:i/>
          <w:sz w:val="22"/>
          <w:szCs w:val="22"/>
        </w:rPr>
      </w:pPr>
      <w:r w:rsidRPr="005963E4">
        <w:rPr>
          <w:rFonts w:asciiTheme="minorHAnsi" w:hAnsiTheme="minorHAnsi" w:cstheme="minorHAnsi"/>
          <w:b w:val="0"/>
          <w:i/>
          <w:sz w:val="22"/>
          <w:szCs w:val="22"/>
        </w:rPr>
        <w:t>Justification</w:t>
      </w:r>
    </w:p>
    <w:p w:rsidR="00D93D9A" w:rsidRPr="005963E4" w:rsidRDefault="00D93D9A" w:rsidP="00364E8D">
      <w:pPr>
        <w:spacing w:after="0" w:line="240" w:lineRule="auto"/>
        <w:rPr>
          <w:rFonts w:cstheme="minorHAnsi"/>
          <w:i/>
          <w:lang w:val="en-GB"/>
        </w:rPr>
      </w:pPr>
    </w:p>
    <w:p w:rsidR="00D93D9A" w:rsidRPr="005963E4" w:rsidRDefault="00D93D9A" w:rsidP="00364E8D">
      <w:pPr>
        <w:spacing w:after="0" w:line="240" w:lineRule="auto"/>
        <w:jc w:val="both"/>
        <w:rPr>
          <w:rFonts w:cstheme="minorHAnsi"/>
          <w:i/>
          <w:lang w:val="en-GB"/>
        </w:rPr>
      </w:pPr>
      <w:r w:rsidRPr="005963E4">
        <w:rPr>
          <w:rFonts w:cstheme="minorHAnsi"/>
          <w:i/>
          <w:lang w:val="en-GB"/>
        </w:rPr>
        <w:t xml:space="preserve">The EU’s data protection framework distinguishes between “data controllers” and “data processors,” with both groups subject to different obligations.  The proposed Regulation also follows this controller/processor structure to a degree.  As a result, in order for organisations to understand fully their obligations under the Regulation, they need to know when they are operating as controllers and when they are operating as processors.  </w:t>
      </w:r>
    </w:p>
    <w:p w:rsidR="0083293F" w:rsidRPr="005963E4" w:rsidRDefault="0083293F" w:rsidP="00364E8D">
      <w:pPr>
        <w:spacing w:after="0" w:line="240" w:lineRule="auto"/>
        <w:jc w:val="both"/>
        <w:rPr>
          <w:rFonts w:cstheme="minorHAnsi"/>
          <w:i/>
          <w:lang w:val="en-GB"/>
        </w:rPr>
      </w:pPr>
    </w:p>
    <w:p w:rsidR="00D93D9A" w:rsidRPr="005963E4" w:rsidRDefault="00D93D9A" w:rsidP="00364E8D">
      <w:pPr>
        <w:spacing w:after="0" w:line="240" w:lineRule="auto"/>
        <w:jc w:val="both"/>
        <w:rPr>
          <w:rFonts w:cstheme="minorHAnsi"/>
          <w:i/>
          <w:lang w:val="en-GB"/>
        </w:rPr>
      </w:pPr>
      <w:r w:rsidRPr="005963E4">
        <w:rPr>
          <w:rFonts w:cstheme="minorHAnsi"/>
          <w:i/>
          <w:lang w:val="en-GB"/>
        </w:rPr>
        <w:t xml:space="preserve">Today, however, there is increasing confusion about the distinction between the two roles.  The test proposed under the Regulation will not improve this situation.  Under the test proposed in the Regulation, controllers are deemed to be those organisations that make decisions about the “purposes, means and conditions” of processing data.  But as processors become more sophisticated and play a greater role in supplying the “means” and determining the “conditions” of processing, the lines between controllers and processors are beginning to blur.  We anticipate that these lines will continue to blur moving forward. </w:t>
      </w:r>
    </w:p>
    <w:p w:rsidR="0083293F" w:rsidRPr="005963E4" w:rsidRDefault="0083293F" w:rsidP="00364E8D">
      <w:pPr>
        <w:spacing w:after="0" w:line="240" w:lineRule="auto"/>
        <w:jc w:val="both"/>
        <w:rPr>
          <w:rFonts w:cstheme="minorHAnsi"/>
          <w:i/>
          <w:lang w:val="en-GB"/>
        </w:rPr>
      </w:pPr>
    </w:p>
    <w:p w:rsidR="00D93D9A" w:rsidRPr="005963E4" w:rsidRDefault="00D93D9A" w:rsidP="00364E8D">
      <w:pPr>
        <w:spacing w:after="0" w:line="240" w:lineRule="auto"/>
        <w:jc w:val="both"/>
        <w:rPr>
          <w:rFonts w:cstheme="minorHAnsi"/>
          <w:i/>
          <w:lang w:val="en-GB"/>
        </w:rPr>
      </w:pPr>
      <w:r w:rsidRPr="005963E4">
        <w:rPr>
          <w:rFonts w:cstheme="minorHAnsi"/>
          <w:i/>
          <w:lang w:val="en-GB"/>
        </w:rPr>
        <w:t xml:space="preserve">The above amendment would redefine the term “data controller” as the entity that determines the “purposes” of the processing.  This change recognises that controllers and processors today often have some degree of shared responsibility with regard to supplying the means and deciding the conditions of processing.  It also recognises that this shared responsibility should not be determinative for deciding when an organisation is a controller. </w:t>
      </w:r>
      <w:r w:rsidRPr="005963E4">
        <w:rPr>
          <w:rFonts w:cstheme="minorHAnsi"/>
          <w:lang w:val="en-GB"/>
        </w:rPr>
        <w:t xml:space="preserve"> </w:t>
      </w:r>
      <w:r w:rsidRPr="005963E4">
        <w:rPr>
          <w:rFonts w:cstheme="minorHAnsi"/>
          <w:i/>
          <w:lang w:val="en-GB"/>
        </w:rPr>
        <w:t xml:space="preserve">This change will help to clarify the divide between the important roles of controller and processor and create greater legal certainty.  </w:t>
      </w:r>
    </w:p>
    <w:p w:rsidR="0083293F" w:rsidRPr="005963E4" w:rsidRDefault="0083293F" w:rsidP="00364E8D">
      <w:pPr>
        <w:spacing w:after="0" w:line="240" w:lineRule="auto"/>
        <w:jc w:val="both"/>
        <w:rPr>
          <w:rFonts w:cstheme="minorHAnsi"/>
          <w:lang w:val="en-GB"/>
        </w:rPr>
      </w:pPr>
    </w:p>
    <w:p w:rsidR="00D93D9A" w:rsidRPr="005963E4" w:rsidRDefault="00D93D9A" w:rsidP="00364E8D">
      <w:pPr>
        <w:spacing w:after="0" w:line="240" w:lineRule="auto"/>
        <w:jc w:val="both"/>
        <w:rPr>
          <w:rFonts w:cstheme="minorHAnsi"/>
          <w:lang w:val="en-GB"/>
        </w:rPr>
      </w:pPr>
      <w:r w:rsidRPr="005963E4">
        <w:rPr>
          <w:rFonts w:cstheme="minorHAnsi"/>
          <w:i/>
          <w:lang w:val="en-GB"/>
        </w:rPr>
        <w:t>This amendment would also make corresponding changes to Articles 24 (on “Joint Controllers”) to reflect the change to the definition in Article 4.</w:t>
      </w:r>
    </w:p>
    <w:p w:rsidR="00D93D9A" w:rsidRPr="005963E4" w:rsidRDefault="00D93D9A" w:rsidP="00364E8D">
      <w:pPr>
        <w:pStyle w:val="AMNumberTabs"/>
        <w:keepNext/>
        <w:rPr>
          <w:rFonts w:asciiTheme="minorHAnsi" w:hAnsiTheme="minorHAnsi" w:cstheme="minorHAnsi"/>
          <w:sz w:val="22"/>
          <w:szCs w:val="22"/>
        </w:rPr>
      </w:pPr>
      <w:r w:rsidRPr="005963E4">
        <w:rPr>
          <w:rFonts w:asciiTheme="minorHAnsi" w:hAnsiTheme="minorHAnsi" w:cstheme="minorHAnsi"/>
          <w:sz w:val="22"/>
          <w:szCs w:val="22"/>
        </w:rPr>
        <w:t>Amendment</w:t>
      </w:r>
      <w:r w:rsidRPr="005963E4">
        <w:rPr>
          <w:rFonts w:asciiTheme="minorHAnsi" w:hAnsiTheme="minorHAnsi" w:cstheme="minorHAnsi"/>
          <w:sz w:val="22"/>
          <w:szCs w:val="22"/>
        </w:rPr>
        <w:tab/>
      </w:r>
      <w:r w:rsidRPr="005963E4">
        <w:rPr>
          <w:rFonts w:asciiTheme="minorHAnsi" w:hAnsiTheme="minorHAnsi" w:cstheme="minorHAnsi"/>
          <w:sz w:val="22"/>
          <w:szCs w:val="22"/>
        </w:rPr>
        <w:tab/>
      </w:r>
    </w:p>
    <w:p w:rsidR="00D93D9A" w:rsidRPr="005963E4" w:rsidRDefault="00D93D9A" w:rsidP="00364E8D">
      <w:pPr>
        <w:pStyle w:val="NormalBold"/>
        <w:keepNext/>
        <w:rPr>
          <w:rFonts w:asciiTheme="minorHAnsi" w:hAnsiTheme="minorHAnsi" w:cstheme="minorHAnsi"/>
          <w:sz w:val="22"/>
          <w:szCs w:val="22"/>
        </w:rPr>
      </w:pPr>
      <w:r w:rsidRPr="005963E4">
        <w:rPr>
          <w:rFonts w:asciiTheme="minorHAnsi" w:hAnsiTheme="minorHAnsi" w:cstheme="minorHAnsi"/>
          <w:sz w:val="22"/>
          <w:szCs w:val="22"/>
        </w:rPr>
        <w:t>Proposal for a regulation</w:t>
      </w:r>
    </w:p>
    <w:p w:rsidR="00D93D9A" w:rsidRPr="005963E4" w:rsidRDefault="00D93D9A" w:rsidP="00364E8D">
      <w:pPr>
        <w:pStyle w:val="NormalBold"/>
        <w:rPr>
          <w:rFonts w:asciiTheme="minorHAnsi" w:hAnsiTheme="minorHAnsi" w:cstheme="minorHAnsi"/>
          <w:sz w:val="22"/>
          <w:szCs w:val="22"/>
        </w:rPr>
      </w:pPr>
      <w:r w:rsidRPr="005963E4">
        <w:rPr>
          <w:rFonts w:asciiTheme="minorHAnsi" w:hAnsiTheme="minorHAnsi" w:cstheme="minorHAnsi"/>
          <w:sz w:val="22"/>
          <w:szCs w:val="22"/>
        </w:rPr>
        <w:t>Article 26 – paragraph 5</w:t>
      </w:r>
    </w:p>
    <w:p w:rsidR="0050668D" w:rsidRPr="005963E4" w:rsidRDefault="0050668D" w:rsidP="00364E8D">
      <w:pPr>
        <w:pStyle w:val="NormalBold"/>
        <w:rPr>
          <w:rFonts w:asciiTheme="minorHAnsi" w:hAnsiTheme="minorHAnsi" w:cstheme="minorHAnsi"/>
          <w:sz w:val="22"/>
          <w:szCs w:val="22"/>
        </w:rPr>
      </w:pPr>
    </w:p>
    <w:tbl>
      <w:tblPr>
        <w:tblW w:w="0" w:type="auto"/>
        <w:jc w:val="center"/>
        <w:tblLayout w:type="fixed"/>
        <w:tblCellMar>
          <w:left w:w="340" w:type="dxa"/>
          <w:right w:w="340" w:type="dxa"/>
        </w:tblCellMar>
        <w:tblLook w:val="0000" w:firstRow="0" w:lastRow="0" w:firstColumn="0" w:lastColumn="0" w:noHBand="0" w:noVBand="0"/>
      </w:tblPr>
      <w:tblGrid>
        <w:gridCol w:w="4876"/>
        <w:gridCol w:w="4785"/>
      </w:tblGrid>
      <w:tr w:rsidR="00D93D9A" w:rsidRPr="005963E4" w:rsidTr="002538BE">
        <w:trPr>
          <w:jc w:val="center"/>
        </w:trPr>
        <w:tc>
          <w:tcPr>
            <w:tcW w:w="4876" w:type="dxa"/>
          </w:tcPr>
          <w:p w:rsidR="00D93D9A" w:rsidRPr="005963E4" w:rsidRDefault="00D93D9A" w:rsidP="00364E8D">
            <w:pPr>
              <w:pStyle w:val="ColumnHeading"/>
              <w:keepNext/>
              <w:spacing w:after="0"/>
              <w:rPr>
                <w:rFonts w:asciiTheme="minorHAnsi" w:hAnsiTheme="minorHAnsi" w:cstheme="minorHAnsi"/>
                <w:sz w:val="22"/>
                <w:szCs w:val="22"/>
              </w:rPr>
            </w:pPr>
            <w:r w:rsidRPr="005963E4">
              <w:rPr>
                <w:rFonts w:asciiTheme="minorHAnsi" w:hAnsiTheme="minorHAnsi" w:cstheme="minorHAnsi"/>
                <w:sz w:val="22"/>
                <w:szCs w:val="22"/>
              </w:rPr>
              <w:t>Text proposed by the Commission</w:t>
            </w:r>
          </w:p>
          <w:p w:rsidR="00D93D9A" w:rsidRPr="005963E4" w:rsidRDefault="00D93D9A" w:rsidP="00364E8D">
            <w:pPr>
              <w:pStyle w:val="ColumnHeading"/>
              <w:keepNext/>
              <w:spacing w:after="0"/>
              <w:rPr>
                <w:rFonts w:asciiTheme="minorHAnsi" w:hAnsiTheme="minorHAnsi" w:cstheme="minorHAnsi"/>
                <w:sz w:val="22"/>
                <w:szCs w:val="22"/>
              </w:rPr>
            </w:pPr>
          </w:p>
        </w:tc>
        <w:tc>
          <w:tcPr>
            <w:tcW w:w="4785" w:type="dxa"/>
          </w:tcPr>
          <w:p w:rsidR="00D93D9A" w:rsidRPr="005963E4" w:rsidRDefault="00D93D9A" w:rsidP="00364E8D">
            <w:pPr>
              <w:pStyle w:val="ColumnHeading"/>
              <w:keepNext/>
              <w:spacing w:after="0"/>
              <w:ind w:left="360" w:hanging="360"/>
              <w:rPr>
                <w:rFonts w:asciiTheme="minorHAnsi" w:hAnsiTheme="minorHAnsi" w:cstheme="minorHAnsi"/>
                <w:sz w:val="22"/>
                <w:szCs w:val="22"/>
              </w:rPr>
            </w:pPr>
            <w:r w:rsidRPr="005963E4">
              <w:rPr>
                <w:rFonts w:asciiTheme="minorHAnsi" w:hAnsiTheme="minorHAnsi" w:cstheme="minorHAnsi"/>
                <w:sz w:val="22"/>
                <w:szCs w:val="22"/>
              </w:rPr>
              <w:t>Amendment</w:t>
            </w:r>
          </w:p>
        </w:tc>
      </w:tr>
      <w:tr w:rsidR="00D93D9A" w:rsidRPr="005963E4" w:rsidTr="002538BE">
        <w:trPr>
          <w:jc w:val="center"/>
        </w:trPr>
        <w:tc>
          <w:tcPr>
            <w:tcW w:w="4876" w:type="dxa"/>
          </w:tcPr>
          <w:p w:rsidR="00D93D9A" w:rsidRPr="005963E4" w:rsidRDefault="00D93D9A" w:rsidP="00364E8D">
            <w:pPr>
              <w:spacing w:line="240" w:lineRule="auto"/>
              <w:jc w:val="both"/>
              <w:rPr>
                <w:rFonts w:cstheme="minorHAnsi"/>
                <w:lang w:val="en-GB"/>
              </w:rPr>
            </w:pPr>
            <w:r w:rsidRPr="005963E4">
              <w:rPr>
                <w:rFonts w:cstheme="minorHAnsi"/>
                <w:b/>
                <w:i/>
                <w:lang w:val="en-GB"/>
              </w:rPr>
              <w:t>5. The Commission shall be empowered to adopt delegated acts in accordance with Article 86 for the purpose of further specifying the criteria and requirements for the responsibilities, duties and tasks in relation to a processor in line with paragraph 1, and conditions which allow facilitating the processing of personal data within a group of undertakings, in particular for the purposes of control and reporting.</w:t>
            </w:r>
          </w:p>
        </w:tc>
        <w:tc>
          <w:tcPr>
            <w:tcW w:w="4785" w:type="dxa"/>
          </w:tcPr>
          <w:p w:rsidR="00D93D9A" w:rsidRPr="005963E4" w:rsidRDefault="00F0476F" w:rsidP="00364E8D">
            <w:pPr>
              <w:spacing w:after="240" w:line="240" w:lineRule="auto"/>
              <w:ind w:left="397"/>
              <w:rPr>
                <w:rFonts w:cstheme="minorHAnsi"/>
                <w:b/>
                <w:i/>
                <w:lang w:val="en-GB"/>
              </w:rPr>
            </w:pPr>
            <w:r w:rsidRPr="005963E4">
              <w:rPr>
                <w:rFonts w:cstheme="minorHAnsi"/>
                <w:b/>
                <w:i/>
                <w:lang w:val="en-GB"/>
              </w:rPr>
              <w:t>d</w:t>
            </w:r>
            <w:r w:rsidR="00D93D9A" w:rsidRPr="005963E4">
              <w:rPr>
                <w:rFonts w:cstheme="minorHAnsi"/>
                <w:b/>
                <w:i/>
                <w:lang w:val="en-GB"/>
              </w:rPr>
              <w:t>eleted</w:t>
            </w:r>
          </w:p>
        </w:tc>
      </w:tr>
    </w:tbl>
    <w:p w:rsidR="009F1E3D" w:rsidRPr="005963E4" w:rsidRDefault="009F1E3D" w:rsidP="00364E8D">
      <w:pPr>
        <w:pStyle w:val="AMNumberTabs"/>
        <w:keepNext/>
        <w:spacing w:before="0"/>
        <w:jc w:val="center"/>
        <w:rPr>
          <w:rFonts w:asciiTheme="minorHAnsi" w:hAnsiTheme="minorHAnsi" w:cstheme="minorHAnsi"/>
          <w:b w:val="0"/>
          <w:i/>
          <w:sz w:val="22"/>
          <w:szCs w:val="22"/>
        </w:rPr>
      </w:pPr>
    </w:p>
    <w:p w:rsidR="00D93D9A" w:rsidRPr="005963E4" w:rsidRDefault="00D93D9A" w:rsidP="00364E8D">
      <w:pPr>
        <w:pStyle w:val="AMNumberTabs"/>
        <w:keepNext/>
        <w:spacing w:before="0"/>
        <w:jc w:val="center"/>
        <w:rPr>
          <w:rFonts w:asciiTheme="minorHAnsi" w:hAnsiTheme="minorHAnsi" w:cstheme="minorHAnsi"/>
          <w:b w:val="0"/>
          <w:i/>
          <w:sz w:val="22"/>
          <w:szCs w:val="22"/>
        </w:rPr>
      </w:pPr>
      <w:r w:rsidRPr="005963E4">
        <w:rPr>
          <w:rFonts w:asciiTheme="minorHAnsi" w:hAnsiTheme="minorHAnsi" w:cstheme="minorHAnsi"/>
          <w:b w:val="0"/>
          <w:i/>
          <w:sz w:val="22"/>
          <w:szCs w:val="22"/>
        </w:rPr>
        <w:t>Justification</w:t>
      </w:r>
    </w:p>
    <w:p w:rsidR="00587C3F" w:rsidRPr="005963E4" w:rsidRDefault="00587C3F" w:rsidP="00364E8D">
      <w:pPr>
        <w:spacing w:after="0" w:line="240" w:lineRule="auto"/>
        <w:rPr>
          <w:rFonts w:cstheme="minorHAnsi"/>
          <w:i/>
          <w:lang w:val="en-GB"/>
        </w:rPr>
      </w:pPr>
    </w:p>
    <w:p w:rsidR="00D93D9A" w:rsidRPr="005963E4" w:rsidRDefault="00D93D9A" w:rsidP="00364E8D">
      <w:pPr>
        <w:spacing w:after="0" w:line="240" w:lineRule="auto"/>
        <w:jc w:val="both"/>
        <w:rPr>
          <w:rFonts w:cstheme="minorHAnsi"/>
          <w:i/>
          <w:lang w:val="en-GB"/>
        </w:rPr>
      </w:pPr>
      <w:r w:rsidRPr="005963E4">
        <w:rPr>
          <w:rFonts w:cstheme="minorHAnsi"/>
          <w:i/>
          <w:lang w:val="en-GB"/>
        </w:rPr>
        <w:t xml:space="preserve">The Lisbon Treaty makes clear that delegated acts are meant to be used to “supplement or amend certain non-essential elements” of a law.  In the context of the proposed Regulation, however, the Commission often appears to be using delegated acts to determine the scope and applicability of core aspects of the law -- including with regard to fundamental issues such as the obligations of processors (Article 26(5)). </w:t>
      </w:r>
    </w:p>
    <w:p w:rsidR="0050668D" w:rsidRPr="005963E4" w:rsidRDefault="0050668D" w:rsidP="00364E8D">
      <w:pPr>
        <w:spacing w:after="0" w:line="240" w:lineRule="auto"/>
        <w:jc w:val="both"/>
        <w:rPr>
          <w:rFonts w:cstheme="minorHAnsi"/>
          <w:i/>
          <w:lang w:val="en-GB"/>
        </w:rPr>
      </w:pPr>
    </w:p>
    <w:p w:rsidR="00D93D9A" w:rsidRPr="005963E4" w:rsidRDefault="00D93D9A" w:rsidP="00364E8D">
      <w:pPr>
        <w:spacing w:after="0" w:line="240" w:lineRule="auto"/>
        <w:jc w:val="both"/>
        <w:rPr>
          <w:rFonts w:cstheme="minorHAnsi"/>
          <w:lang w:val="en-GB"/>
        </w:rPr>
      </w:pPr>
      <w:r w:rsidRPr="005963E4">
        <w:rPr>
          <w:rFonts w:cstheme="minorHAnsi"/>
          <w:i/>
          <w:lang w:val="en-GB"/>
        </w:rPr>
        <w:t xml:space="preserve">The obligations of processors should be clearly defined in the Regulation itself.  Europe’s processors -- and the controllers and data subjects they serve -- should not be required to wait for secondary </w:t>
      </w:r>
      <w:r w:rsidRPr="005963E4">
        <w:rPr>
          <w:rFonts w:cstheme="minorHAnsi"/>
          <w:i/>
          <w:lang w:val="en-GB"/>
        </w:rPr>
        <w:lastRenderedPageBreak/>
        <w:t xml:space="preserve">legislation to be adopted in order to understand the responsibilities, duties and tasks that apply to processors.  For this reason, Article 26(5) should be deleted.  </w:t>
      </w:r>
      <w:r w:rsidRPr="005963E4">
        <w:rPr>
          <w:rFonts w:cstheme="minorHAnsi"/>
          <w:lang w:val="en-GB"/>
        </w:rPr>
        <w:br w:type="page"/>
      </w:r>
    </w:p>
    <w:p w:rsidR="00D93D9A" w:rsidRPr="005963E4" w:rsidRDefault="00D93D9A" w:rsidP="00364E8D">
      <w:pPr>
        <w:pStyle w:val="AMNumberTabs"/>
        <w:keepNext/>
        <w:spacing w:before="0"/>
        <w:jc w:val="center"/>
        <w:rPr>
          <w:rFonts w:asciiTheme="minorHAnsi" w:hAnsiTheme="minorHAnsi" w:cstheme="minorHAnsi"/>
          <w:sz w:val="22"/>
          <w:szCs w:val="22"/>
        </w:rPr>
      </w:pPr>
      <w:r w:rsidRPr="005963E4">
        <w:rPr>
          <w:rFonts w:asciiTheme="minorHAnsi" w:hAnsiTheme="minorHAnsi" w:cstheme="minorHAnsi"/>
          <w:sz w:val="22"/>
          <w:szCs w:val="22"/>
          <w:u w:val="single"/>
        </w:rPr>
        <w:lastRenderedPageBreak/>
        <w:t>One-Stop-Shop / “Main Establishment”</w:t>
      </w:r>
    </w:p>
    <w:p w:rsidR="00D93D9A" w:rsidRPr="005963E4" w:rsidRDefault="00D93D9A" w:rsidP="00364E8D">
      <w:pPr>
        <w:pStyle w:val="AMNumberTabs"/>
        <w:keepNext/>
        <w:spacing w:before="0"/>
        <w:rPr>
          <w:rFonts w:asciiTheme="minorHAnsi" w:hAnsiTheme="minorHAnsi" w:cstheme="minorHAnsi"/>
          <w:sz w:val="22"/>
          <w:szCs w:val="22"/>
        </w:rPr>
      </w:pPr>
    </w:p>
    <w:p w:rsidR="00D93D9A" w:rsidRPr="005963E4" w:rsidRDefault="00D93D9A" w:rsidP="00364E8D">
      <w:pPr>
        <w:pStyle w:val="AMNumberTabs"/>
        <w:keepNext/>
        <w:spacing w:before="0"/>
        <w:rPr>
          <w:rFonts w:asciiTheme="minorHAnsi" w:hAnsiTheme="minorHAnsi" w:cstheme="minorHAnsi"/>
          <w:sz w:val="22"/>
          <w:szCs w:val="22"/>
        </w:rPr>
      </w:pPr>
      <w:r w:rsidRPr="005963E4">
        <w:rPr>
          <w:rFonts w:asciiTheme="minorHAnsi" w:hAnsiTheme="minorHAnsi" w:cstheme="minorHAnsi"/>
          <w:sz w:val="22"/>
          <w:szCs w:val="22"/>
        </w:rPr>
        <w:t>Amendment</w:t>
      </w:r>
      <w:r w:rsidRPr="005963E4">
        <w:rPr>
          <w:rFonts w:asciiTheme="minorHAnsi" w:hAnsiTheme="minorHAnsi" w:cstheme="minorHAnsi"/>
          <w:sz w:val="22"/>
          <w:szCs w:val="22"/>
        </w:rPr>
        <w:tab/>
      </w:r>
      <w:r w:rsidRPr="005963E4">
        <w:rPr>
          <w:rFonts w:asciiTheme="minorHAnsi" w:hAnsiTheme="minorHAnsi" w:cstheme="minorHAnsi"/>
          <w:sz w:val="22"/>
          <w:szCs w:val="22"/>
        </w:rPr>
        <w:tab/>
      </w:r>
    </w:p>
    <w:p w:rsidR="00D93D9A" w:rsidRPr="005963E4" w:rsidRDefault="00D93D9A" w:rsidP="00364E8D">
      <w:pPr>
        <w:pStyle w:val="NormalBold"/>
        <w:keepNext/>
        <w:rPr>
          <w:rFonts w:asciiTheme="minorHAnsi" w:hAnsiTheme="minorHAnsi" w:cstheme="minorHAnsi"/>
          <w:sz w:val="22"/>
          <w:szCs w:val="22"/>
        </w:rPr>
      </w:pPr>
      <w:r w:rsidRPr="005963E4">
        <w:rPr>
          <w:rFonts w:asciiTheme="minorHAnsi" w:hAnsiTheme="minorHAnsi" w:cstheme="minorHAnsi"/>
          <w:sz w:val="22"/>
          <w:szCs w:val="22"/>
        </w:rPr>
        <w:t>Proposal for a regulation</w:t>
      </w:r>
    </w:p>
    <w:p w:rsidR="00D93D9A" w:rsidRPr="005963E4" w:rsidRDefault="00D93D9A" w:rsidP="00364E8D">
      <w:pPr>
        <w:pStyle w:val="NormalBold"/>
        <w:rPr>
          <w:rFonts w:asciiTheme="minorHAnsi" w:hAnsiTheme="minorHAnsi" w:cstheme="minorHAnsi"/>
          <w:sz w:val="22"/>
          <w:szCs w:val="22"/>
        </w:rPr>
      </w:pPr>
      <w:r w:rsidRPr="005963E4">
        <w:rPr>
          <w:rFonts w:asciiTheme="minorHAnsi" w:hAnsiTheme="minorHAnsi" w:cstheme="minorHAnsi"/>
          <w:sz w:val="22"/>
          <w:szCs w:val="22"/>
        </w:rPr>
        <w:t>Article 4 – point 13</w:t>
      </w:r>
    </w:p>
    <w:p w:rsidR="00D93D9A" w:rsidRPr="005963E4" w:rsidRDefault="00D93D9A" w:rsidP="00364E8D">
      <w:pPr>
        <w:spacing w:after="0" w:line="240" w:lineRule="auto"/>
        <w:rPr>
          <w:rFonts w:cstheme="minorHAnsi"/>
          <w:i/>
          <w:lang w:val="en-GB"/>
        </w:rPr>
      </w:pPr>
    </w:p>
    <w:tbl>
      <w:tblPr>
        <w:tblW w:w="0" w:type="auto"/>
        <w:jc w:val="center"/>
        <w:tblLayout w:type="fixed"/>
        <w:tblCellMar>
          <w:left w:w="340" w:type="dxa"/>
          <w:right w:w="340" w:type="dxa"/>
        </w:tblCellMar>
        <w:tblLook w:val="0000" w:firstRow="0" w:lastRow="0" w:firstColumn="0" w:lastColumn="0" w:noHBand="0" w:noVBand="0"/>
      </w:tblPr>
      <w:tblGrid>
        <w:gridCol w:w="4876"/>
        <w:gridCol w:w="4785"/>
      </w:tblGrid>
      <w:tr w:rsidR="00E175F9" w:rsidRPr="005963E4" w:rsidTr="002538BE">
        <w:trPr>
          <w:jc w:val="center"/>
        </w:trPr>
        <w:tc>
          <w:tcPr>
            <w:tcW w:w="4876" w:type="dxa"/>
          </w:tcPr>
          <w:p w:rsidR="00E175F9" w:rsidRPr="005963E4" w:rsidRDefault="00E175F9" w:rsidP="00364E8D">
            <w:pPr>
              <w:keepNext/>
              <w:widowControl w:val="0"/>
              <w:spacing w:after="0" w:line="240" w:lineRule="auto"/>
              <w:jc w:val="center"/>
              <w:rPr>
                <w:rFonts w:eastAsia="Times New Roman" w:cstheme="minorHAnsi"/>
                <w:i/>
                <w:lang w:val="en-GB" w:eastAsia="en-GB"/>
              </w:rPr>
            </w:pPr>
            <w:r w:rsidRPr="005963E4">
              <w:rPr>
                <w:rFonts w:eastAsia="Times New Roman" w:cstheme="minorHAnsi"/>
                <w:i/>
                <w:lang w:val="en-GB" w:eastAsia="en-GB"/>
              </w:rPr>
              <w:t>Text proposed by the Commission</w:t>
            </w:r>
          </w:p>
          <w:p w:rsidR="00E175F9" w:rsidRPr="005963E4" w:rsidRDefault="00E175F9" w:rsidP="00364E8D">
            <w:pPr>
              <w:keepNext/>
              <w:widowControl w:val="0"/>
              <w:spacing w:after="0" w:line="240" w:lineRule="auto"/>
              <w:jc w:val="center"/>
              <w:rPr>
                <w:rFonts w:eastAsia="Times New Roman" w:cstheme="minorHAnsi"/>
                <w:i/>
                <w:lang w:val="en-GB" w:eastAsia="en-GB"/>
              </w:rPr>
            </w:pPr>
          </w:p>
        </w:tc>
        <w:tc>
          <w:tcPr>
            <w:tcW w:w="4785" w:type="dxa"/>
          </w:tcPr>
          <w:p w:rsidR="00E175F9" w:rsidRPr="005963E4" w:rsidRDefault="00E175F9" w:rsidP="00364E8D">
            <w:pPr>
              <w:keepNext/>
              <w:widowControl w:val="0"/>
              <w:spacing w:after="0" w:line="240" w:lineRule="auto"/>
              <w:ind w:left="360" w:hanging="360"/>
              <w:jc w:val="center"/>
              <w:rPr>
                <w:rFonts w:eastAsia="Times New Roman" w:cstheme="minorHAnsi"/>
                <w:i/>
                <w:lang w:val="en-GB" w:eastAsia="en-GB"/>
              </w:rPr>
            </w:pPr>
            <w:r w:rsidRPr="005963E4">
              <w:rPr>
                <w:rFonts w:eastAsia="Times New Roman" w:cstheme="minorHAnsi"/>
                <w:i/>
                <w:lang w:val="en-GB" w:eastAsia="en-GB"/>
              </w:rPr>
              <w:t>Amendment</w:t>
            </w:r>
          </w:p>
        </w:tc>
      </w:tr>
      <w:tr w:rsidR="00E175F9" w:rsidRPr="005963E4" w:rsidTr="002538BE">
        <w:trPr>
          <w:jc w:val="center"/>
        </w:trPr>
        <w:tc>
          <w:tcPr>
            <w:tcW w:w="4876" w:type="dxa"/>
          </w:tcPr>
          <w:p w:rsidR="00E175F9" w:rsidRPr="005963E4" w:rsidRDefault="00E175F9" w:rsidP="00364E8D">
            <w:pPr>
              <w:spacing w:after="0" w:line="240" w:lineRule="auto"/>
              <w:jc w:val="both"/>
              <w:rPr>
                <w:rFonts w:eastAsia="Times New Roman" w:cstheme="minorHAnsi"/>
                <w:lang w:val="en-GB"/>
              </w:rPr>
            </w:pPr>
            <w:r w:rsidRPr="005963E4">
              <w:rPr>
                <w:rFonts w:eastAsia="Times New Roman" w:cstheme="minorHAnsi"/>
                <w:lang w:val="en-GB"/>
              </w:rPr>
              <w:t>(13) ‘main establishment’ means as regards the controller,</w:t>
            </w:r>
            <w:r w:rsidRPr="005963E4">
              <w:rPr>
                <w:rFonts w:eastAsia="Times New Roman" w:cstheme="minorHAnsi"/>
                <w:b/>
                <w:i/>
                <w:lang w:val="en-GB"/>
              </w:rPr>
              <w:t xml:space="preserve"> </w:t>
            </w:r>
            <w:r w:rsidRPr="005963E4">
              <w:rPr>
                <w:rFonts w:eastAsia="Times New Roman" w:cstheme="minorHAnsi"/>
                <w:lang w:val="en-GB"/>
              </w:rPr>
              <w:t>the place of its establishment in the Union where the main decisions as to the purposes, conditions and means of the processing of personal data are taken; if no decisions as to the purposes, conditions and means of the processing of personal data are taken in the Union, the main establishment is the place where the main processing activities in the context of the activities of an establishment of a controller in the Union take place.</w:t>
            </w:r>
            <w:r w:rsidR="00176B6E" w:rsidRPr="005963E4">
              <w:rPr>
                <w:rFonts w:eastAsia="Times New Roman" w:cstheme="minorHAnsi"/>
                <w:lang w:val="en-GB"/>
              </w:rPr>
              <w:t xml:space="preserve"> </w:t>
            </w:r>
            <w:r w:rsidRPr="005963E4">
              <w:rPr>
                <w:rFonts w:eastAsia="Times New Roman" w:cstheme="minorHAnsi"/>
                <w:lang w:val="en-GB"/>
              </w:rPr>
              <w:t xml:space="preserve"> As regards the processor, 'main establishment' means the place of its central administration in the Union;</w:t>
            </w:r>
          </w:p>
        </w:tc>
        <w:tc>
          <w:tcPr>
            <w:tcW w:w="4785" w:type="dxa"/>
          </w:tcPr>
          <w:p w:rsidR="00E175F9" w:rsidRPr="005963E4" w:rsidRDefault="00E175F9" w:rsidP="00364E8D">
            <w:pPr>
              <w:spacing w:after="0" w:line="240" w:lineRule="auto"/>
              <w:ind w:left="397"/>
              <w:jc w:val="both"/>
              <w:rPr>
                <w:rFonts w:eastAsia="Times New Roman" w:cstheme="minorHAnsi"/>
                <w:lang w:val="en-GB"/>
              </w:rPr>
            </w:pPr>
            <w:r w:rsidRPr="005963E4">
              <w:rPr>
                <w:rFonts w:eastAsia="Times New Roman" w:cstheme="minorHAnsi"/>
                <w:lang w:val="en-GB"/>
              </w:rPr>
              <w:t xml:space="preserve">(13) ‘main establishment’ means as regards the controller, </w:t>
            </w:r>
            <w:r w:rsidRPr="005963E4">
              <w:rPr>
                <w:rFonts w:eastAsia="Times New Roman" w:cstheme="minorHAnsi"/>
                <w:b/>
                <w:i/>
                <w:lang w:val="en-GB"/>
              </w:rPr>
              <w:t>including a controller that is also a processor,</w:t>
            </w:r>
            <w:r w:rsidRPr="005963E4">
              <w:rPr>
                <w:rFonts w:eastAsia="Times New Roman" w:cstheme="minorHAnsi"/>
                <w:lang w:val="en-GB"/>
              </w:rPr>
              <w:t xml:space="preserve"> the place of its establishment in the Union where the main decisions as to the purposes, conditions and means of the processing of personal data are taken; if no decisions as to the purposes, conditions and means of the processing of personal data are taken in the Union, the main establishment is the place where the main processing activities in the context of the activities of an establishment of a controller in the Union take place. </w:t>
            </w:r>
            <w:r w:rsidR="00176B6E" w:rsidRPr="005963E4">
              <w:rPr>
                <w:rFonts w:eastAsia="Times New Roman" w:cstheme="minorHAnsi"/>
                <w:lang w:val="en-GB"/>
              </w:rPr>
              <w:t xml:space="preserve"> </w:t>
            </w:r>
            <w:r w:rsidRPr="005963E4">
              <w:rPr>
                <w:rFonts w:eastAsia="Times New Roman" w:cstheme="minorHAnsi"/>
                <w:lang w:val="en-GB"/>
              </w:rPr>
              <w:t xml:space="preserve">As regards the processor </w:t>
            </w:r>
            <w:r w:rsidRPr="005963E4">
              <w:rPr>
                <w:rFonts w:eastAsia="Times New Roman" w:cstheme="minorHAnsi"/>
                <w:b/>
                <w:i/>
                <w:lang w:val="en-GB"/>
              </w:rPr>
              <w:t>that is not also a controller,</w:t>
            </w:r>
            <w:r w:rsidRPr="005963E4">
              <w:rPr>
                <w:rFonts w:eastAsia="Times New Roman" w:cstheme="minorHAnsi"/>
                <w:lang w:val="en-GB"/>
              </w:rPr>
              <w:t xml:space="preserve"> 'main establishment' means the place of its central administration in the Union;</w:t>
            </w:r>
          </w:p>
        </w:tc>
      </w:tr>
    </w:tbl>
    <w:p w:rsidR="00D93D9A" w:rsidRPr="005963E4" w:rsidRDefault="00D93D9A" w:rsidP="00364E8D">
      <w:pPr>
        <w:spacing w:after="0" w:line="240" w:lineRule="auto"/>
        <w:rPr>
          <w:rFonts w:cstheme="minorHAnsi"/>
          <w:b/>
          <w:i/>
          <w:lang w:val="en-GB"/>
        </w:rPr>
      </w:pPr>
    </w:p>
    <w:p w:rsidR="00D93D9A" w:rsidRPr="005963E4" w:rsidRDefault="00D93D9A" w:rsidP="00364E8D">
      <w:pPr>
        <w:pStyle w:val="AMNumberTabs"/>
        <w:keepNext/>
        <w:rPr>
          <w:rFonts w:asciiTheme="minorHAnsi" w:hAnsiTheme="minorHAnsi" w:cstheme="minorHAnsi"/>
          <w:sz w:val="22"/>
          <w:szCs w:val="22"/>
        </w:rPr>
      </w:pPr>
      <w:r w:rsidRPr="005963E4">
        <w:rPr>
          <w:rFonts w:asciiTheme="minorHAnsi" w:hAnsiTheme="minorHAnsi" w:cstheme="minorHAnsi"/>
          <w:sz w:val="22"/>
          <w:szCs w:val="22"/>
        </w:rPr>
        <w:t>Amendment</w:t>
      </w:r>
      <w:r w:rsidRPr="005963E4">
        <w:rPr>
          <w:rFonts w:asciiTheme="minorHAnsi" w:hAnsiTheme="minorHAnsi" w:cstheme="minorHAnsi"/>
          <w:sz w:val="22"/>
          <w:szCs w:val="22"/>
        </w:rPr>
        <w:tab/>
      </w:r>
      <w:r w:rsidRPr="005963E4">
        <w:rPr>
          <w:rFonts w:asciiTheme="minorHAnsi" w:hAnsiTheme="minorHAnsi" w:cstheme="minorHAnsi"/>
          <w:sz w:val="22"/>
          <w:szCs w:val="22"/>
        </w:rPr>
        <w:tab/>
      </w:r>
    </w:p>
    <w:p w:rsidR="00D93D9A" w:rsidRPr="005963E4" w:rsidRDefault="00D93D9A" w:rsidP="00364E8D">
      <w:pPr>
        <w:pStyle w:val="NormalBold"/>
        <w:keepNext/>
        <w:rPr>
          <w:rFonts w:asciiTheme="minorHAnsi" w:hAnsiTheme="minorHAnsi" w:cstheme="minorHAnsi"/>
          <w:sz w:val="22"/>
          <w:szCs w:val="22"/>
        </w:rPr>
      </w:pPr>
      <w:r w:rsidRPr="005963E4">
        <w:rPr>
          <w:rFonts w:asciiTheme="minorHAnsi" w:hAnsiTheme="minorHAnsi" w:cstheme="minorHAnsi"/>
          <w:sz w:val="22"/>
          <w:szCs w:val="22"/>
        </w:rPr>
        <w:t>Proposal for a regulation</w:t>
      </w:r>
    </w:p>
    <w:p w:rsidR="00D93D9A" w:rsidRPr="005963E4" w:rsidRDefault="00D93D9A" w:rsidP="00364E8D">
      <w:pPr>
        <w:spacing w:after="0" w:line="240" w:lineRule="auto"/>
        <w:rPr>
          <w:rFonts w:cstheme="minorHAnsi"/>
          <w:b/>
          <w:lang w:val="en-GB"/>
        </w:rPr>
      </w:pPr>
      <w:r w:rsidRPr="005963E4">
        <w:rPr>
          <w:rFonts w:cstheme="minorHAnsi"/>
          <w:b/>
          <w:lang w:val="en-GB"/>
        </w:rPr>
        <w:t>Recital 27</w:t>
      </w:r>
    </w:p>
    <w:p w:rsidR="00176B6E" w:rsidRPr="005963E4" w:rsidRDefault="00176B6E" w:rsidP="00364E8D">
      <w:pPr>
        <w:spacing w:after="0" w:line="240" w:lineRule="auto"/>
        <w:rPr>
          <w:rFonts w:cstheme="minorHAnsi"/>
          <w:b/>
          <w:lang w:val="en-GB"/>
        </w:rPr>
      </w:pPr>
    </w:p>
    <w:tbl>
      <w:tblPr>
        <w:tblW w:w="0" w:type="auto"/>
        <w:jc w:val="center"/>
        <w:tblLayout w:type="fixed"/>
        <w:tblCellMar>
          <w:left w:w="340" w:type="dxa"/>
          <w:right w:w="340" w:type="dxa"/>
        </w:tblCellMar>
        <w:tblLook w:val="0000" w:firstRow="0" w:lastRow="0" w:firstColumn="0" w:lastColumn="0" w:noHBand="0" w:noVBand="0"/>
      </w:tblPr>
      <w:tblGrid>
        <w:gridCol w:w="4876"/>
        <w:gridCol w:w="4785"/>
      </w:tblGrid>
      <w:tr w:rsidR="00176B6E" w:rsidRPr="005963E4" w:rsidTr="002538BE">
        <w:trPr>
          <w:jc w:val="center"/>
        </w:trPr>
        <w:tc>
          <w:tcPr>
            <w:tcW w:w="4876" w:type="dxa"/>
          </w:tcPr>
          <w:p w:rsidR="00176B6E" w:rsidRPr="005963E4" w:rsidRDefault="00176B6E" w:rsidP="00364E8D">
            <w:pPr>
              <w:keepNext/>
              <w:widowControl w:val="0"/>
              <w:spacing w:after="0" w:line="240" w:lineRule="auto"/>
              <w:jc w:val="center"/>
              <w:rPr>
                <w:rFonts w:eastAsia="Times New Roman" w:cstheme="minorHAnsi"/>
                <w:i/>
                <w:lang w:val="en-GB" w:eastAsia="en-GB"/>
              </w:rPr>
            </w:pPr>
            <w:r w:rsidRPr="005963E4">
              <w:rPr>
                <w:rFonts w:eastAsia="Times New Roman" w:cstheme="minorHAnsi"/>
                <w:i/>
                <w:lang w:val="en-GB" w:eastAsia="en-GB"/>
              </w:rPr>
              <w:t>Text proposed by the Commission</w:t>
            </w:r>
          </w:p>
          <w:p w:rsidR="00176B6E" w:rsidRPr="005963E4" w:rsidRDefault="00176B6E" w:rsidP="00364E8D">
            <w:pPr>
              <w:keepNext/>
              <w:widowControl w:val="0"/>
              <w:spacing w:after="0" w:line="240" w:lineRule="auto"/>
              <w:jc w:val="center"/>
              <w:rPr>
                <w:rFonts w:eastAsia="Times New Roman" w:cstheme="minorHAnsi"/>
                <w:i/>
                <w:lang w:val="en-GB" w:eastAsia="en-GB"/>
              </w:rPr>
            </w:pPr>
          </w:p>
        </w:tc>
        <w:tc>
          <w:tcPr>
            <w:tcW w:w="4785" w:type="dxa"/>
          </w:tcPr>
          <w:p w:rsidR="00176B6E" w:rsidRPr="005963E4" w:rsidRDefault="00176B6E" w:rsidP="00364E8D">
            <w:pPr>
              <w:keepNext/>
              <w:widowControl w:val="0"/>
              <w:spacing w:after="0" w:line="240" w:lineRule="auto"/>
              <w:ind w:left="360" w:hanging="360"/>
              <w:jc w:val="center"/>
              <w:rPr>
                <w:rFonts w:eastAsia="Times New Roman" w:cstheme="minorHAnsi"/>
                <w:i/>
                <w:lang w:val="en-GB" w:eastAsia="en-GB"/>
              </w:rPr>
            </w:pPr>
            <w:r w:rsidRPr="005963E4">
              <w:rPr>
                <w:rFonts w:eastAsia="Times New Roman" w:cstheme="minorHAnsi"/>
                <w:i/>
                <w:lang w:val="en-GB" w:eastAsia="en-GB"/>
              </w:rPr>
              <w:t>Amendment</w:t>
            </w:r>
          </w:p>
        </w:tc>
      </w:tr>
      <w:tr w:rsidR="00176B6E" w:rsidRPr="005963E4" w:rsidTr="002538BE">
        <w:trPr>
          <w:jc w:val="center"/>
        </w:trPr>
        <w:tc>
          <w:tcPr>
            <w:tcW w:w="4876" w:type="dxa"/>
          </w:tcPr>
          <w:p w:rsidR="00176B6E" w:rsidRPr="005963E4" w:rsidRDefault="00176B6E" w:rsidP="00364E8D">
            <w:pPr>
              <w:spacing w:after="0" w:line="240" w:lineRule="auto"/>
              <w:jc w:val="both"/>
              <w:rPr>
                <w:rFonts w:eastAsia="Times New Roman" w:cstheme="minorHAnsi"/>
                <w:lang w:val="en-GB"/>
              </w:rPr>
            </w:pPr>
            <w:r w:rsidRPr="005963E4">
              <w:rPr>
                <w:rFonts w:eastAsia="Times New Roman" w:cstheme="minorHAnsi"/>
                <w:lang w:val="en-GB"/>
              </w:rPr>
              <w:t xml:space="preserve">(27) The main establishment of a controller in the Union should be determined according to objective criteria and should imply the effective and real exercise of management activities determining the main decisions as to the purposes, conditions and means of processing through stable arrangements.  This criterion should not depend whether the processing of personal data is actually carried out at that location; the presence and use of technical means and technologies for processing personal data or processing activities do not, in themselves, constitute such main establishment and are therefore no </w:t>
            </w:r>
            <w:r w:rsidRPr="005963E4">
              <w:rPr>
                <w:rFonts w:eastAsia="Times New Roman" w:cstheme="minorHAnsi"/>
                <w:lang w:val="en-GB"/>
              </w:rPr>
              <w:lastRenderedPageBreak/>
              <w:t>determining criteria for a main establishment.  The main establishment of the processor should be the place of its central administration in the Union.</w:t>
            </w:r>
          </w:p>
        </w:tc>
        <w:tc>
          <w:tcPr>
            <w:tcW w:w="4785" w:type="dxa"/>
          </w:tcPr>
          <w:p w:rsidR="00176B6E" w:rsidRPr="005963E4" w:rsidRDefault="00176B6E" w:rsidP="00364E8D">
            <w:pPr>
              <w:spacing w:after="0" w:line="240" w:lineRule="auto"/>
              <w:ind w:left="397"/>
              <w:jc w:val="both"/>
              <w:rPr>
                <w:rFonts w:eastAsia="Times New Roman" w:cstheme="minorHAnsi"/>
                <w:lang w:val="en-GB"/>
              </w:rPr>
            </w:pPr>
            <w:r w:rsidRPr="005963E4">
              <w:rPr>
                <w:rFonts w:eastAsia="Times New Roman" w:cstheme="minorHAnsi"/>
                <w:lang w:val="en-GB"/>
              </w:rPr>
              <w:lastRenderedPageBreak/>
              <w:t xml:space="preserve">(27) The main establishment of a controller in the Union, </w:t>
            </w:r>
            <w:r w:rsidRPr="005963E4">
              <w:rPr>
                <w:rFonts w:eastAsia="Times New Roman" w:cstheme="minorHAnsi"/>
                <w:b/>
                <w:i/>
                <w:lang w:val="en-GB"/>
              </w:rPr>
              <w:t>including a controller that is also a processor,</w:t>
            </w:r>
            <w:r w:rsidRPr="005963E4">
              <w:rPr>
                <w:rFonts w:eastAsia="Times New Roman" w:cstheme="minorHAnsi"/>
                <w:lang w:val="en-GB"/>
              </w:rPr>
              <w:t xml:space="preserve"> should be determined according to objective criteria and should imply the effective and real exercise of management activities determining the main decisions as to the purposes, conditions and means of processing through stable arrangements.  This criterion should not depend whether the processing of personal data is actually carried out at that location; the presence and use of technical means and </w:t>
            </w:r>
            <w:r w:rsidRPr="005963E4">
              <w:rPr>
                <w:rFonts w:eastAsia="Times New Roman" w:cstheme="minorHAnsi"/>
                <w:lang w:val="en-GB"/>
              </w:rPr>
              <w:lastRenderedPageBreak/>
              <w:t xml:space="preserve">technologies for processing personal data or processing activities do not, in themselves, constitute such main establishment and are therefore no determining criteria for a main establishment.  The main establishment of the processor </w:t>
            </w:r>
            <w:r w:rsidRPr="005963E4">
              <w:rPr>
                <w:rFonts w:eastAsia="Times New Roman" w:cstheme="minorHAnsi"/>
                <w:b/>
                <w:i/>
                <w:lang w:val="en-GB"/>
              </w:rPr>
              <w:t xml:space="preserve">that is not also a controller </w:t>
            </w:r>
            <w:r w:rsidRPr="005963E4">
              <w:rPr>
                <w:rFonts w:eastAsia="Times New Roman" w:cstheme="minorHAnsi"/>
                <w:lang w:val="en-GB"/>
              </w:rPr>
              <w:t>should be the place of its central administration in the Union.</w:t>
            </w:r>
          </w:p>
        </w:tc>
      </w:tr>
    </w:tbl>
    <w:p w:rsidR="00176B6E" w:rsidRPr="005963E4" w:rsidRDefault="00176B6E" w:rsidP="00364E8D">
      <w:pPr>
        <w:spacing w:after="0" w:line="240" w:lineRule="auto"/>
        <w:rPr>
          <w:rFonts w:cstheme="minorHAnsi"/>
          <w:b/>
          <w:lang w:val="en-GB"/>
        </w:rPr>
      </w:pPr>
    </w:p>
    <w:p w:rsidR="00D93D9A" w:rsidRPr="005963E4" w:rsidRDefault="00D93D9A" w:rsidP="00364E8D">
      <w:pPr>
        <w:pStyle w:val="AMNumberTabs"/>
        <w:keepNext/>
        <w:spacing w:before="0"/>
        <w:jc w:val="center"/>
        <w:rPr>
          <w:rFonts w:asciiTheme="minorHAnsi" w:hAnsiTheme="minorHAnsi" w:cstheme="minorHAnsi"/>
          <w:b w:val="0"/>
          <w:i/>
          <w:sz w:val="22"/>
          <w:szCs w:val="22"/>
        </w:rPr>
      </w:pPr>
      <w:r w:rsidRPr="005963E4">
        <w:rPr>
          <w:rFonts w:asciiTheme="minorHAnsi" w:hAnsiTheme="minorHAnsi" w:cstheme="minorHAnsi"/>
          <w:b w:val="0"/>
          <w:i/>
          <w:sz w:val="22"/>
          <w:szCs w:val="22"/>
        </w:rPr>
        <w:t>Justification</w:t>
      </w:r>
    </w:p>
    <w:p w:rsidR="00D93D9A" w:rsidRPr="005963E4" w:rsidRDefault="00D93D9A" w:rsidP="00364E8D">
      <w:pPr>
        <w:spacing w:after="0" w:line="240" w:lineRule="auto"/>
        <w:rPr>
          <w:rFonts w:cstheme="minorHAnsi"/>
          <w:i/>
          <w:lang w:val="en-GB"/>
        </w:rPr>
      </w:pPr>
    </w:p>
    <w:p w:rsidR="00D93D9A" w:rsidRPr="005963E4" w:rsidRDefault="00D93D9A" w:rsidP="00364E8D">
      <w:pPr>
        <w:spacing w:after="0" w:line="240" w:lineRule="auto"/>
        <w:jc w:val="both"/>
        <w:rPr>
          <w:rFonts w:cstheme="minorHAnsi"/>
          <w:i/>
          <w:lang w:val="en-GB"/>
        </w:rPr>
      </w:pPr>
      <w:r w:rsidRPr="005963E4">
        <w:rPr>
          <w:rFonts w:cstheme="minorHAnsi"/>
          <w:i/>
          <w:lang w:val="en-GB"/>
        </w:rPr>
        <w:t xml:space="preserve">Today, enterprises operating across the Union find themselves required to comply with multiple and often diverging national data protection regimes.  This situation creates legal uncertainty and impedes the free flow of data in the Union.  </w:t>
      </w:r>
    </w:p>
    <w:p w:rsidR="00176B6E" w:rsidRPr="005963E4" w:rsidRDefault="00176B6E" w:rsidP="00364E8D">
      <w:pPr>
        <w:spacing w:after="0" w:line="240" w:lineRule="auto"/>
        <w:jc w:val="both"/>
        <w:rPr>
          <w:rFonts w:cstheme="minorHAnsi"/>
          <w:i/>
          <w:lang w:val="en-GB"/>
        </w:rPr>
      </w:pPr>
    </w:p>
    <w:p w:rsidR="00D93D9A" w:rsidRPr="005963E4" w:rsidRDefault="00D93D9A" w:rsidP="00364E8D">
      <w:pPr>
        <w:spacing w:after="0" w:line="240" w:lineRule="auto"/>
        <w:jc w:val="both"/>
        <w:rPr>
          <w:rFonts w:cstheme="minorHAnsi"/>
          <w:i/>
          <w:lang w:val="en-GB"/>
        </w:rPr>
      </w:pPr>
      <w:r w:rsidRPr="005963E4">
        <w:rPr>
          <w:rFonts w:cstheme="minorHAnsi"/>
          <w:i/>
          <w:lang w:val="en-GB"/>
        </w:rPr>
        <w:t xml:space="preserve">The proposed Regulation seeks to improve this situation by subjecting enterprises that are processing data in the Union to a single law and a single supervisory authority in the country of “main establishment” (the so-called “one-stop-shop”).  This is a significant step forward.  Greater harmonisation will dramatically reduce the compliance burdens on European organisations while at the same time ensuring a high level of protection for data subjects.  </w:t>
      </w:r>
    </w:p>
    <w:p w:rsidR="00176B6E" w:rsidRPr="005963E4" w:rsidRDefault="00176B6E" w:rsidP="00364E8D">
      <w:pPr>
        <w:spacing w:after="0" w:line="240" w:lineRule="auto"/>
        <w:jc w:val="both"/>
        <w:rPr>
          <w:rFonts w:cstheme="minorHAnsi"/>
          <w:i/>
          <w:lang w:val="en-GB"/>
        </w:rPr>
      </w:pPr>
    </w:p>
    <w:p w:rsidR="00176B6E" w:rsidRPr="005963E4" w:rsidRDefault="00D93D9A" w:rsidP="00364E8D">
      <w:pPr>
        <w:spacing w:after="0" w:line="240" w:lineRule="auto"/>
        <w:jc w:val="both"/>
        <w:rPr>
          <w:rFonts w:cstheme="minorHAnsi"/>
          <w:i/>
          <w:lang w:val="en-GB"/>
        </w:rPr>
      </w:pPr>
      <w:r w:rsidRPr="005963E4">
        <w:rPr>
          <w:rFonts w:cstheme="minorHAnsi"/>
          <w:i/>
          <w:lang w:val="en-GB"/>
        </w:rPr>
        <w:t xml:space="preserve">Less helpfully, however, in determining the location of an organisation’s “main establishment,” the Regulation applies a different test for controllers and processors.  This approach ignores the fact that some controllers are also processors.  In these cases, it makes little sense to apply different tests.  Doing so will result in these controllers once again faced with the need to comply with multiple regimes.  </w:t>
      </w:r>
    </w:p>
    <w:p w:rsidR="00D93D9A" w:rsidRPr="005963E4" w:rsidRDefault="00D93D9A" w:rsidP="00364E8D">
      <w:pPr>
        <w:spacing w:after="0" w:line="240" w:lineRule="auto"/>
        <w:jc w:val="both"/>
        <w:rPr>
          <w:rFonts w:cstheme="minorHAnsi"/>
          <w:i/>
          <w:lang w:val="en-GB"/>
        </w:rPr>
      </w:pPr>
    </w:p>
    <w:p w:rsidR="00D93D9A" w:rsidRPr="005963E4" w:rsidRDefault="004733E4" w:rsidP="00364E8D">
      <w:pPr>
        <w:spacing w:after="0" w:line="240" w:lineRule="auto"/>
        <w:jc w:val="both"/>
        <w:rPr>
          <w:rFonts w:cstheme="minorHAnsi"/>
          <w:i/>
          <w:lang w:val="en-GB"/>
        </w:rPr>
      </w:pPr>
      <w:r w:rsidRPr="005963E4">
        <w:rPr>
          <w:rFonts w:cstheme="minorHAnsi"/>
          <w:i/>
          <w:lang w:val="en-GB"/>
        </w:rPr>
        <w:t xml:space="preserve">The amendment above takes a </w:t>
      </w:r>
      <w:r w:rsidR="00D93D9A" w:rsidRPr="005963E4">
        <w:rPr>
          <w:rFonts w:cstheme="minorHAnsi"/>
          <w:i/>
          <w:lang w:val="en-GB"/>
        </w:rPr>
        <w:t>more sensible approach</w:t>
      </w:r>
      <w:r w:rsidRPr="005963E4">
        <w:rPr>
          <w:rFonts w:cstheme="minorHAnsi"/>
          <w:i/>
          <w:lang w:val="en-GB"/>
        </w:rPr>
        <w:t>, and applies</w:t>
      </w:r>
      <w:r w:rsidR="00D93D9A" w:rsidRPr="005963E4">
        <w:rPr>
          <w:rFonts w:cstheme="minorHAnsi"/>
          <w:i/>
          <w:lang w:val="en-GB"/>
        </w:rPr>
        <w:t xml:space="preserve"> the same test to controllers and processors in those cases where the controller is also acting as a processor.  This approach ensures that such controllers are fully able to benefit from the one-stop-shop that is the centrepiece of the proposed Regulation.</w:t>
      </w:r>
    </w:p>
    <w:p w:rsidR="00D93D9A" w:rsidRPr="005963E4" w:rsidRDefault="00D93D9A" w:rsidP="00364E8D">
      <w:pPr>
        <w:spacing w:line="240" w:lineRule="auto"/>
        <w:jc w:val="both"/>
        <w:rPr>
          <w:rFonts w:cstheme="minorHAnsi"/>
          <w:lang w:val="en-GB"/>
        </w:rPr>
      </w:pPr>
    </w:p>
    <w:p w:rsidR="00D93D9A" w:rsidRPr="005963E4" w:rsidRDefault="00D93D9A" w:rsidP="00364E8D">
      <w:pPr>
        <w:spacing w:line="240" w:lineRule="auto"/>
        <w:rPr>
          <w:rFonts w:cstheme="minorHAnsi"/>
          <w:lang w:val="en-GB"/>
        </w:rPr>
      </w:pPr>
    </w:p>
    <w:p w:rsidR="00D93D9A" w:rsidRPr="005963E4" w:rsidRDefault="00D93D9A" w:rsidP="00364E8D">
      <w:pPr>
        <w:spacing w:line="240" w:lineRule="auto"/>
        <w:rPr>
          <w:rFonts w:cstheme="minorHAnsi"/>
          <w:lang w:val="en-GB"/>
        </w:rPr>
      </w:pPr>
      <w:r w:rsidRPr="005963E4">
        <w:rPr>
          <w:rFonts w:cstheme="minorHAnsi"/>
          <w:lang w:val="en-GB"/>
        </w:rPr>
        <w:br w:type="page"/>
      </w:r>
    </w:p>
    <w:p w:rsidR="00D93D9A" w:rsidRPr="005963E4" w:rsidRDefault="00D93D9A" w:rsidP="00364E8D">
      <w:pPr>
        <w:pStyle w:val="AMNumberTabs"/>
        <w:keepNext/>
        <w:spacing w:before="0"/>
        <w:jc w:val="center"/>
        <w:rPr>
          <w:rFonts w:asciiTheme="minorHAnsi" w:hAnsiTheme="minorHAnsi" w:cstheme="minorHAnsi"/>
          <w:sz w:val="22"/>
          <w:szCs w:val="22"/>
          <w:u w:val="single"/>
        </w:rPr>
      </w:pPr>
      <w:r w:rsidRPr="005963E4">
        <w:rPr>
          <w:rFonts w:asciiTheme="minorHAnsi" w:hAnsiTheme="minorHAnsi" w:cstheme="minorHAnsi"/>
          <w:sz w:val="22"/>
          <w:szCs w:val="22"/>
          <w:u w:val="single"/>
        </w:rPr>
        <w:lastRenderedPageBreak/>
        <w:t>Delegated Acts</w:t>
      </w:r>
    </w:p>
    <w:p w:rsidR="00B4089A" w:rsidRPr="005963E4" w:rsidRDefault="00B4089A" w:rsidP="00364E8D">
      <w:pPr>
        <w:pStyle w:val="AMNumberTabs"/>
        <w:keepNext/>
        <w:spacing w:before="0"/>
        <w:rPr>
          <w:rFonts w:asciiTheme="minorHAnsi" w:hAnsiTheme="minorHAnsi" w:cstheme="minorHAnsi"/>
          <w:sz w:val="22"/>
          <w:szCs w:val="22"/>
        </w:rPr>
      </w:pPr>
    </w:p>
    <w:p w:rsidR="00D93D9A" w:rsidRPr="005963E4" w:rsidRDefault="00D93D9A" w:rsidP="00364E8D">
      <w:pPr>
        <w:pStyle w:val="AMNumberTabs"/>
        <w:keepNext/>
        <w:spacing w:before="0"/>
        <w:rPr>
          <w:rFonts w:asciiTheme="minorHAnsi" w:hAnsiTheme="minorHAnsi" w:cstheme="minorHAnsi"/>
          <w:sz w:val="22"/>
          <w:szCs w:val="22"/>
        </w:rPr>
      </w:pPr>
      <w:r w:rsidRPr="005963E4">
        <w:rPr>
          <w:rFonts w:asciiTheme="minorHAnsi" w:hAnsiTheme="minorHAnsi" w:cstheme="minorHAnsi"/>
          <w:sz w:val="22"/>
          <w:szCs w:val="22"/>
        </w:rPr>
        <w:t>Amendment</w:t>
      </w:r>
      <w:r w:rsidRPr="005963E4">
        <w:rPr>
          <w:rFonts w:asciiTheme="minorHAnsi" w:hAnsiTheme="minorHAnsi" w:cstheme="minorHAnsi"/>
          <w:sz w:val="22"/>
          <w:szCs w:val="22"/>
        </w:rPr>
        <w:tab/>
      </w:r>
      <w:r w:rsidRPr="005963E4">
        <w:rPr>
          <w:rFonts w:asciiTheme="minorHAnsi" w:hAnsiTheme="minorHAnsi" w:cstheme="minorHAnsi"/>
          <w:sz w:val="22"/>
          <w:szCs w:val="22"/>
        </w:rPr>
        <w:tab/>
      </w:r>
    </w:p>
    <w:p w:rsidR="00D93D9A" w:rsidRPr="005963E4" w:rsidRDefault="00D93D9A" w:rsidP="00364E8D">
      <w:pPr>
        <w:pStyle w:val="NormalBold"/>
        <w:keepNext/>
        <w:rPr>
          <w:rFonts w:asciiTheme="minorHAnsi" w:hAnsiTheme="minorHAnsi" w:cstheme="minorHAnsi"/>
          <w:sz w:val="22"/>
          <w:szCs w:val="22"/>
        </w:rPr>
      </w:pPr>
      <w:r w:rsidRPr="005963E4">
        <w:rPr>
          <w:rFonts w:asciiTheme="minorHAnsi" w:hAnsiTheme="minorHAnsi" w:cstheme="minorHAnsi"/>
          <w:sz w:val="22"/>
          <w:szCs w:val="22"/>
        </w:rPr>
        <w:t>Proposal for a regulation</w:t>
      </w:r>
    </w:p>
    <w:p w:rsidR="00D93D9A" w:rsidRPr="005963E4" w:rsidRDefault="00D93D9A" w:rsidP="00364E8D">
      <w:pPr>
        <w:pStyle w:val="NormalBold"/>
        <w:rPr>
          <w:rFonts w:asciiTheme="minorHAnsi" w:hAnsiTheme="minorHAnsi" w:cstheme="minorHAnsi"/>
          <w:sz w:val="22"/>
          <w:szCs w:val="22"/>
        </w:rPr>
      </w:pPr>
      <w:r w:rsidRPr="005963E4">
        <w:rPr>
          <w:rFonts w:asciiTheme="minorHAnsi" w:hAnsiTheme="minorHAnsi" w:cstheme="minorHAnsi"/>
          <w:sz w:val="22"/>
          <w:szCs w:val="22"/>
        </w:rPr>
        <w:t>Article 86 – paragraph 2</w:t>
      </w:r>
    </w:p>
    <w:p w:rsidR="00C21E81" w:rsidRPr="005963E4" w:rsidRDefault="00C21E81" w:rsidP="00364E8D">
      <w:pPr>
        <w:pStyle w:val="NormalBold"/>
        <w:rPr>
          <w:rFonts w:asciiTheme="minorHAnsi" w:hAnsiTheme="minorHAnsi" w:cstheme="minorHAnsi"/>
          <w:sz w:val="22"/>
          <w:szCs w:val="22"/>
        </w:rPr>
      </w:pPr>
    </w:p>
    <w:tbl>
      <w:tblPr>
        <w:tblW w:w="0" w:type="auto"/>
        <w:jc w:val="center"/>
        <w:tblLayout w:type="fixed"/>
        <w:tblCellMar>
          <w:left w:w="340" w:type="dxa"/>
          <w:right w:w="340" w:type="dxa"/>
        </w:tblCellMar>
        <w:tblLook w:val="0000" w:firstRow="0" w:lastRow="0" w:firstColumn="0" w:lastColumn="0" w:noHBand="0" w:noVBand="0"/>
      </w:tblPr>
      <w:tblGrid>
        <w:gridCol w:w="4876"/>
        <w:gridCol w:w="4785"/>
      </w:tblGrid>
      <w:tr w:rsidR="00D93D9A" w:rsidRPr="005963E4" w:rsidTr="002538BE">
        <w:trPr>
          <w:jc w:val="center"/>
        </w:trPr>
        <w:tc>
          <w:tcPr>
            <w:tcW w:w="4876" w:type="dxa"/>
          </w:tcPr>
          <w:p w:rsidR="00D93D9A" w:rsidRPr="005963E4" w:rsidRDefault="00D93D9A" w:rsidP="00364E8D">
            <w:pPr>
              <w:pStyle w:val="ColumnHeading"/>
              <w:keepNext/>
              <w:spacing w:after="0"/>
              <w:rPr>
                <w:rFonts w:asciiTheme="minorHAnsi" w:hAnsiTheme="minorHAnsi" w:cstheme="minorHAnsi"/>
                <w:sz w:val="22"/>
                <w:szCs w:val="22"/>
              </w:rPr>
            </w:pPr>
            <w:r w:rsidRPr="005963E4">
              <w:rPr>
                <w:rFonts w:asciiTheme="minorHAnsi" w:hAnsiTheme="minorHAnsi" w:cstheme="minorHAnsi"/>
                <w:sz w:val="22"/>
                <w:szCs w:val="22"/>
              </w:rPr>
              <w:t>Text proposed by the Commission</w:t>
            </w:r>
          </w:p>
          <w:p w:rsidR="00D93D9A" w:rsidRPr="005963E4" w:rsidRDefault="00D93D9A" w:rsidP="00364E8D">
            <w:pPr>
              <w:pStyle w:val="ColumnHeading"/>
              <w:keepNext/>
              <w:spacing w:after="0"/>
              <w:rPr>
                <w:rFonts w:asciiTheme="minorHAnsi" w:hAnsiTheme="minorHAnsi" w:cstheme="minorHAnsi"/>
                <w:sz w:val="22"/>
                <w:szCs w:val="22"/>
              </w:rPr>
            </w:pPr>
          </w:p>
        </w:tc>
        <w:tc>
          <w:tcPr>
            <w:tcW w:w="4785" w:type="dxa"/>
          </w:tcPr>
          <w:p w:rsidR="00D93D9A" w:rsidRPr="005963E4" w:rsidRDefault="00D93D9A" w:rsidP="00364E8D">
            <w:pPr>
              <w:pStyle w:val="ColumnHeading"/>
              <w:keepNext/>
              <w:spacing w:after="0"/>
              <w:ind w:left="360" w:hanging="360"/>
              <w:rPr>
                <w:rFonts w:asciiTheme="minorHAnsi" w:hAnsiTheme="minorHAnsi" w:cstheme="minorHAnsi"/>
                <w:sz w:val="22"/>
                <w:szCs w:val="22"/>
              </w:rPr>
            </w:pPr>
            <w:r w:rsidRPr="005963E4">
              <w:rPr>
                <w:rFonts w:asciiTheme="minorHAnsi" w:hAnsiTheme="minorHAnsi" w:cstheme="minorHAnsi"/>
                <w:sz w:val="22"/>
                <w:szCs w:val="22"/>
              </w:rPr>
              <w:t>Amendment</w:t>
            </w:r>
          </w:p>
        </w:tc>
      </w:tr>
      <w:tr w:rsidR="00D93D9A" w:rsidRPr="005963E4" w:rsidTr="002538BE">
        <w:trPr>
          <w:jc w:val="center"/>
        </w:trPr>
        <w:tc>
          <w:tcPr>
            <w:tcW w:w="4876" w:type="dxa"/>
          </w:tcPr>
          <w:p w:rsidR="00D93D9A" w:rsidRPr="005963E4" w:rsidRDefault="00D93D9A" w:rsidP="00364E8D">
            <w:pPr>
              <w:spacing w:after="0" w:line="240" w:lineRule="auto"/>
              <w:jc w:val="both"/>
              <w:rPr>
                <w:rFonts w:cstheme="minorHAnsi"/>
                <w:lang w:val="en-GB"/>
              </w:rPr>
            </w:pPr>
            <w:r w:rsidRPr="005963E4">
              <w:rPr>
                <w:rFonts w:cstheme="minorHAnsi"/>
                <w:lang w:val="en-GB"/>
              </w:rPr>
              <w:t xml:space="preserve">2. The delegation of power referred to in </w:t>
            </w:r>
            <w:r w:rsidRPr="005963E4">
              <w:rPr>
                <w:rFonts w:cstheme="minorHAnsi"/>
                <w:b/>
                <w:i/>
                <w:lang w:val="en-GB"/>
              </w:rPr>
              <w:t>Article 6(5)</w:t>
            </w:r>
            <w:r w:rsidRPr="005963E4">
              <w:rPr>
                <w:rFonts w:cstheme="minorHAnsi"/>
                <w:lang w:val="en-GB"/>
              </w:rPr>
              <w:t>,</w:t>
            </w:r>
            <w:r w:rsidRPr="005963E4">
              <w:rPr>
                <w:rFonts w:cstheme="minorHAnsi"/>
                <w:b/>
                <w:i/>
                <w:lang w:val="en-GB"/>
              </w:rPr>
              <w:t xml:space="preserve"> Article 8(3), Article 9(3), </w:t>
            </w:r>
            <w:r w:rsidRPr="005963E4">
              <w:rPr>
                <w:rFonts w:cstheme="minorHAnsi"/>
                <w:lang w:val="en-GB"/>
              </w:rPr>
              <w:t xml:space="preserve">Article 12(5), Article 14(7), Article 15(3), </w:t>
            </w:r>
            <w:r w:rsidRPr="005963E4">
              <w:rPr>
                <w:rFonts w:cstheme="minorHAnsi"/>
                <w:b/>
                <w:i/>
                <w:lang w:val="en-GB"/>
              </w:rPr>
              <w:t xml:space="preserve">Article 17(9), </w:t>
            </w:r>
            <w:r w:rsidRPr="005963E4">
              <w:rPr>
                <w:rFonts w:cstheme="minorHAnsi"/>
                <w:lang w:val="en-GB"/>
              </w:rPr>
              <w:t xml:space="preserve">Article 20(6), </w:t>
            </w:r>
            <w:r w:rsidRPr="005963E4">
              <w:rPr>
                <w:rFonts w:cstheme="minorHAnsi"/>
                <w:b/>
                <w:i/>
                <w:lang w:val="en-GB"/>
              </w:rPr>
              <w:t xml:space="preserve">Article 22(4), </w:t>
            </w:r>
            <w:r w:rsidRPr="005963E4">
              <w:rPr>
                <w:rFonts w:cstheme="minorHAnsi"/>
                <w:lang w:val="en-GB"/>
              </w:rPr>
              <w:t xml:space="preserve">Article 23(3), </w:t>
            </w:r>
            <w:r w:rsidRPr="005963E4">
              <w:rPr>
                <w:rFonts w:cstheme="minorHAnsi"/>
                <w:b/>
                <w:i/>
                <w:lang w:val="en-GB"/>
              </w:rPr>
              <w:t xml:space="preserve">Article 26(5), </w:t>
            </w:r>
            <w:r w:rsidRPr="005963E4">
              <w:rPr>
                <w:rFonts w:cstheme="minorHAnsi"/>
                <w:lang w:val="en-GB"/>
              </w:rPr>
              <w:t xml:space="preserve">Article 28(5), </w:t>
            </w:r>
            <w:r w:rsidRPr="005963E4">
              <w:rPr>
                <w:rFonts w:cstheme="minorHAnsi"/>
                <w:b/>
                <w:i/>
                <w:lang w:val="en-GB"/>
              </w:rPr>
              <w:t xml:space="preserve">Article 30(3), Article 31(5), Article 32(5), Article 33(6), Article 34(8), </w:t>
            </w:r>
            <w:r w:rsidRPr="005963E4">
              <w:rPr>
                <w:rFonts w:cstheme="minorHAnsi"/>
                <w:lang w:val="en-GB"/>
              </w:rPr>
              <w:t xml:space="preserve">Article 35(11), Article 37(2), Article 39(2), </w:t>
            </w:r>
            <w:r w:rsidRPr="005963E4">
              <w:rPr>
                <w:rFonts w:cstheme="minorHAnsi"/>
                <w:b/>
                <w:i/>
                <w:lang w:val="en-GB"/>
              </w:rPr>
              <w:t>Article 43(3), Article</w:t>
            </w:r>
            <w:r w:rsidR="00C31EA9" w:rsidRPr="005963E4">
              <w:rPr>
                <w:rFonts w:cstheme="minorHAnsi"/>
                <w:b/>
                <w:i/>
                <w:lang w:val="en-GB"/>
              </w:rPr>
              <w:t xml:space="preserve"> </w:t>
            </w:r>
            <w:r w:rsidRPr="005963E4">
              <w:rPr>
                <w:rFonts w:cstheme="minorHAnsi"/>
                <w:b/>
                <w:i/>
                <w:lang w:val="en-GB"/>
              </w:rPr>
              <w:t xml:space="preserve">44(7), </w:t>
            </w:r>
            <w:r w:rsidRPr="005963E4">
              <w:rPr>
                <w:rFonts w:cstheme="minorHAnsi"/>
                <w:b/>
                <w:i/>
                <w:highlight w:val="yellow"/>
                <w:lang w:val="en-GB"/>
              </w:rPr>
              <w:t>Article 79(7),</w:t>
            </w:r>
            <w:r w:rsidRPr="005963E4">
              <w:rPr>
                <w:rStyle w:val="FootnoteReference"/>
                <w:rFonts w:cstheme="minorHAnsi"/>
                <w:b/>
                <w:i/>
                <w:highlight w:val="yellow"/>
                <w:lang w:val="en-GB"/>
              </w:rPr>
              <w:footnoteReference w:id="1"/>
            </w:r>
            <w:r w:rsidRPr="005963E4">
              <w:rPr>
                <w:rFonts w:cstheme="minorHAnsi"/>
                <w:lang w:val="en-GB"/>
              </w:rPr>
              <w:t xml:space="preserve"> Article 81(3), Article 82(3) and Article 83(3) shall be conferred on the Commission for an indeterminate period of time from the date of entry into force of this Regulation.</w:t>
            </w:r>
          </w:p>
        </w:tc>
        <w:tc>
          <w:tcPr>
            <w:tcW w:w="4785" w:type="dxa"/>
          </w:tcPr>
          <w:p w:rsidR="00D93D9A" w:rsidRPr="005963E4" w:rsidRDefault="00D93D9A" w:rsidP="00364E8D">
            <w:pPr>
              <w:spacing w:after="240" w:line="240" w:lineRule="auto"/>
              <w:ind w:left="397"/>
              <w:jc w:val="both"/>
              <w:rPr>
                <w:rFonts w:cstheme="minorHAnsi"/>
                <w:lang w:val="en-GB"/>
              </w:rPr>
            </w:pPr>
            <w:r w:rsidRPr="005963E4">
              <w:rPr>
                <w:rFonts w:cstheme="minorHAnsi"/>
                <w:lang w:val="en-GB"/>
              </w:rPr>
              <w:t>2. The delegation of power referred to in Article 12(5), Article 14(7), Article 15(3), Article 20(6), Article 23(3), Article 28(5), Article 35(11), Article 37(2), Article 39(2), Article 81(3), Article 82(3) and Article 83(3) shall be conferred on the Commission for an indeterminate period of time from the date of entry into force of this Regulation.</w:t>
            </w:r>
          </w:p>
        </w:tc>
      </w:tr>
    </w:tbl>
    <w:p w:rsidR="00D93D9A" w:rsidRPr="005963E4" w:rsidRDefault="00D93D9A" w:rsidP="00364E8D">
      <w:pPr>
        <w:pStyle w:val="AMNumberTabs"/>
        <w:keepNext/>
        <w:rPr>
          <w:rFonts w:asciiTheme="minorHAnsi" w:hAnsiTheme="minorHAnsi" w:cstheme="minorHAnsi"/>
          <w:sz w:val="22"/>
          <w:szCs w:val="22"/>
        </w:rPr>
      </w:pPr>
      <w:r w:rsidRPr="005963E4">
        <w:rPr>
          <w:rFonts w:asciiTheme="minorHAnsi" w:hAnsiTheme="minorHAnsi" w:cstheme="minorHAnsi"/>
          <w:sz w:val="22"/>
          <w:szCs w:val="22"/>
        </w:rPr>
        <w:t>Amendment</w:t>
      </w:r>
      <w:r w:rsidRPr="005963E4">
        <w:rPr>
          <w:rFonts w:asciiTheme="minorHAnsi" w:hAnsiTheme="minorHAnsi" w:cstheme="minorHAnsi"/>
          <w:sz w:val="22"/>
          <w:szCs w:val="22"/>
        </w:rPr>
        <w:tab/>
      </w:r>
      <w:r w:rsidRPr="005963E4">
        <w:rPr>
          <w:rFonts w:asciiTheme="minorHAnsi" w:hAnsiTheme="minorHAnsi" w:cstheme="minorHAnsi"/>
          <w:sz w:val="22"/>
          <w:szCs w:val="22"/>
        </w:rPr>
        <w:tab/>
      </w:r>
    </w:p>
    <w:p w:rsidR="00D93D9A" w:rsidRPr="005963E4" w:rsidRDefault="00D93D9A" w:rsidP="00364E8D">
      <w:pPr>
        <w:pStyle w:val="NormalBold"/>
        <w:keepNext/>
        <w:rPr>
          <w:rFonts w:asciiTheme="minorHAnsi" w:hAnsiTheme="minorHAnsi" w:cstheme="minorHAnsi"/>
          <w:sz w:val="22"/>
          <w:szCs w:val="22"/>
        </w:rPr>
      </w:pPr>
      <w:r w:rsidRPr="005963E4">
        <w:rPr>
          <w:rFonts w:asciiTheme="minorHAnsi" w:hAnsiTheme="minorHAnsi" w:cstheme="minorHAnsi"/>
          <w:sz w:val="22"/>
          <w:szCs w:val="22"/>
        </w:rPr>
        <w:t>Proposal for a regulation</w:t>
      </w:r>
    </w:p>
    <w:p w:rsidR="00D93D9A" w:rsidRPr="005963E4" w:rsidRDefault="00D93D9A" w:rsidP="00364E8D">
      <w:pPr>
        <w:pStyle w:val="NormalBold"/>
        <w:rPr>
          <w:rFonts w:asciiTheme="minorHAnsi" w:hAnsiTheme="minorHAnsi" w:cstheme="minorHAnsi"/>
          <w:sz w:val="22"/>
          <w:szCs w:val="22"/>
        </w:rPr>
      </w:pPr>
      <w:r w:rsidRPr="005963E4">
        <w:rPr>
          <w:rFonts w:asciiTheme="minorHAnsi" w:hAnsiTheme="minorHAnsi" w:cstheme="minorHAnsi"/>
          <w:sz w:val="22"/>
          <w:szCs w:val="22"/>
        </w:rPr>
        <w:t>Article 86 – paragraph 3</w:t>
      </w:r>
    </w:p>
    <w:p w:rsidR="00C21E81" w:rsidRPr="005963E4" w:rsidRDefault="00C21E81" w:rsidP="00364E8D">
      <w:pPr>
        <w:pStyle w:val="NormalBold"/>
        <w:rPr>
          <w:rFonts w:asciiTheme="minorHAnsi" w:hAnsiTheme="minorHAnsi" w:cstheme="minorHAnsi"/>
          <w:sz w:val="22"/>
          <w:szCs w:val="22"/>
        </w:rPr>
      </w:pPr>
    </w:p>
    <w:tbl>
      <w:tblPr>
        <w:tblW w:w="0" w:type="auto"/>
        <w:jc w:val="center"/>
        <w:tblLayout w:type="fixed"/>
        <w:tblCellMar>
          <w:left w:w="340" w:type="dxa"/>
          <w:right w:w="340" w:type="dxa"/>
        </w:tblCellMar>
        <w:tblLook w:val="0000" w:firstRow="0" w:lastRow="0" w:firstColumn="0" w:lastColumn="0" w:noHBand="0" w:noVBand="0"/>
      </w:tblPr>
      <w:tblGrid>
        <w:gridCol w:w="4876"/>
        <w:gridCol w:w="4785"/>
      </w:tblGrid>
      <w:tr w:rsidR="00D93D9A" w:rsidRPr="005963E4" w:rsidTr="002538BE">
        <w:trPr>
          <w:jc w:val="center"/>
        </w:trPr>
        <w:tc>
          <w:tcPr>
            <w:tcW w:w="4876" w:type="dxa"/>
          </w:tcPr>
          <w:p w:rsidR="00D93D9A" w:rsidRPr="005963E4" w:rsidRDefault="00D93D9A" w:rsidP="00364E8D">
            <w:pPr>
              <w:pStyle w:val="ColumnHeading"/>
              <w:keepNext/>
              <w:spacing w:after="0"/>
              <w:rPr>
                <w:rFonts w:asciiTheme="minorHAnsi" w:hAnsiTheme="minorHAnsi" w:cstheme="minorHAnsi"/>
                <w:sz w:val="22"/>
                <w:szCs w:val="22"/>
              </w:rPr>
            </w:pPr>
            <w:r w:rsidRPr="005963E4">
              <w:rPr>
                <w:rFonts w:asciiTheme="minorHAnsi" w:hAnsiTheme="minorHAnsi" w:cstheme="minorHAnsi"/>
                <w:sz w:val="22"/>
                <w:szCs w:val="22"/>
              </w:rPr>
              <w:t>Text proposed by the Commission</w:t>
            </w:r>
          </w:p>
          <w:p w:rsidR="00D93D9A" w:rsidRPr="005963E4" w:rsidRDefault="00D93D9A" w:rsidP="00364E8D">
            <w:pPr>
              <w:pStyle w:val="ColumnHeading"/>
              <w:keepNext/>
              <w:spacing w:after="0"/>
              <w:rPr>
                <w:rFonts w:asciiTheme="minorHAnsi" w:hAnsiTheme="minorHAnsi" w:cstheme="minorHAnsi"/>
                <w:sz w:val="22"/>
                <w:szCs w:val="22"/>
              </w:rPr>
            </w:pPr>
          </w:p>
        </w:tc>
        <w:tc>
          <w:tcPr>
            <w:tcW w:w="4785" w:type="dxa"/>
          </w:tcPr>
          <w:p w:rsidR="00D93D9A" w:rsidRPr="005963E4" w:rsidRDefault="00D93D9A" w:rsidP="00364E8D">
            <w:pPr>
              <w:pStyle w:val="ColumnHeading"/>
              <w:keepNext/>
              <w:spacing w:after="0"/>
              <w:ind w:left="360" w:hanging="360"/>
              <w:rPr>
                <w:rFonts w:asciiTheme="minorHAnsi" w:hAnsiTheme="minorHAnsi" w:cstheme="minorHAnsi"/>
                <w:sz w:val="22"/>
                <w:szCs w:val="22"/>
              </w:rPr>
            </w:pPr>
            <w:r w:rsidRPr="005963E4">
              <w:rPr>
                <w:rFonts w:asciiTheme="minorHAnsi" w:hAnsiTheme="minorHAnsi" w:cstheme="minorHAnsi"/>
                <w:sz w:val="22"/>
                <w:szCs w:val="22"/>
              </w:rPr>
              <w:t>Amendment</w:t>
            </w:r>
          </w:p>
        </w:tc>
      </w:tr>
      <w:tr w:rsidR="00D93D9A" w:rsidRPr="005963E4" w:rsidTr="002538BE">
        <w:trPr>
          <w:jc w:val="center"/>
        </w:trPr>
        <w:tc>
          <w:tcPr>
            <w:tcW w:w="4876" w:type="dxa"/>
          </w:tcPr>
          <w:p w:rsidR="00D93D9A" w:rsidRPr="005963E4" w:rsidRDefault="00D93D9A" w:rsidP="00364E8D">
            <w:pPr>
              <w:spacing w:after="0" w:line="240" w:lineRule="auto"/>
              <w:jc w:val="both"/>
              <w:rPr>
                <w:rFonts w:cstheme="minorHAnsi"/>
                <w:lang w:val="en-GB"/>
              </w:rPr>
            </w:pPr>
            <w:r w:rsidRPr="005963E4">
              <w:rPr>
                <w:rFonts w:cstheme="minorHAnsi"/>
                <w:lang w:val="en-GB"/>
              </w:rPr>
              <w:t xml:space="preserve">3. The delegation of power referred to in </w:t>
            </w:r>
            <w:r w:rsidRPr="005963E4">
              <w:rPr>
                <w:rFonts w:cstheme="minorHAnsi"/>
                <w:b/>
                <w:i/>
                <w:lang w:val="en-GB"/>
              </w:rPr>
              <w:t>Article 6(5)</w:t>
            </w:r>
            <w:r w:rsidRPr="005963E4">
              <w:rPr>
                <w:rFonts w:cstheme="minorHAnsi"/>
                <w:lang w:val="en-GB"/>
              </w:rPr>
              <w:t>,</w:t>
            </w:r>
            <w:r w:rsidRPr="005963E4">
              <w:rPr>
                <w:rFonts w:cstheme="minorHAnsi"/>
                <w:b/>
                <w:i/>
                <w:lang w:val="en-GB"/>
              </w:rPr>
              <w:t xml:space="preserve"> Article 8(3), Article 9(3), </w:t>
            </w:r>
            <w:r w:rsidRPr="005963E4">
              <w:rPr>
                <w:rFonts w:cstheme="minorHAnsi"/>
                <w:lang w:val="en-GB"/>
              </w:rPr>
              <w:t xml:space="preserve">Article 12(5), Article 14(7), Article 15(3), </w:t>
            </w:r>
            <w:r w:rsidRPr="005963E4">
              <w:rPr>
                <w:rFonts w:cstheme="minorHAnsi"/>
                <w:b/>
                <w:i/>
                <w:lang w:val="en-GB"/>
              </w:rPr>
              <w:t xml:space="preserve">Article 17(9), </w:t>
            </w:r>
            <w:r w:rsidRPr="005963E4">
              <w:rPr>
                <w:rFonts w:cstheme="minorHAnsi"/>
                <w:lang w:val="en-GB"/>
              </w:rPr>
              <w:t xml:space="preserve">Article 20(6), </w:t>
            </w:r>
            <w:r w:rsidRPr="005963E4">
              <w:rPr>
                <w:rFonts w:cstheme="minorHAnsi"/>
                <w:b/>
                <w:i/>
                <w:lang w:val="en-GB"/>
              </w:rPr>
              <w:t xml:space="preserve">Article 22(4), </w:t>
            </w:r>
            <w:r w:rsidRPr="005963E4">
              <w:rPr>
                <w:rFonts w:cstheme="minorHAnsi"/>
                <w:lang w:val="en-GB"/>
              </w:rPr>
              <w:t xml:space="preserve">Article 23(3), </w:t>
            </w:r>
            <w:r w:rsidRPr="005963E4">
              <w:rPr>
                <w:rFonts w:cstheme="minorHAnsi"/>
                <w:b/>
                <w:i/>
                <w:lang w:val="en-GB"/>
              </w:rPr>
              <w:t xml:space="preserve">Article 26(5), </w:t>
            </w:r>
            <w:r w:rsidRPr="005963E4">
              <w:rPr>
                <w:rFonts w:cstheme="minorHAnsi"/>
                <w:lang w:val="en-GB"/>
              </w:rPr>
              <w:t xml:space="preserve">Article 28(5), </w:t>
            </w:r>
            <w:r w:rsidRPr="005963E4">
              <w:rPr>
                <w:rFonts w:cstheme="minorHAnsi"/>
                <w:b/>
                <w:i/>
                <w:lang w:val="en-GB"/>
              </w:rPr>
              <w:t>Article 30(3)</w:t>
            </w:r>
            <w:r w:rsidRPr="005963E4">
              <w:rPr>
                <w:rFonts w:cstheme="minorHAnsi"/>
                <w:lang w:val="en-GB"/>
              </w:rPr>
              <w:t xml:space="preserve">, </w:t>
            </w:r>
            <w:r w:rsidRPr="005963E4">
              <w:rPr>
                <w:rFonts w:cstheme="minorHAnsi"/>
                <w:b/>
                <w:i/>
                <w:lang w:val="en-GB"/>
              </w:rPr>
              <w:t>Article 31(5),</w:t>
            </w:r>
            <w:r w:rsidRPr="005963E4">
              <w:rPr>
                <w:rFonts w:cstheme="minorHAnsi"/>
                <w:lang w:val="en-GB"/>
              </w:rPr>
              <w:t xml:space="preserve"> </w:t>
            </w:r>
            <w:r w:rsidRPr="005963E4">
              <w:rPr>
                <w:rFonts w:cstheme="minorHAnsi"/>
                <w:b/>
                <w:i/>
                <w:lang w:val="en-GB"/>
              </w:rPr>
              <w:t xml:space="preserve">Article 32(5), Article 33(6), Article 34(8), </w:t>
            </w:r>
            <w:r w:rsidRPr="005963E4">
              <w:rPr>
                <w:rFonts w:cstheme="minorHAnsi"/>
                <w:lang w:val="en-GB"/>
              </w:rPr>
              <w:t xml:space="preserve">Article 35(11), Article 37(2), Article 39(2), </w:t>
            </w:r>
            <w:r w:rsidRPr="005963E4">
              <w:rPr>
                <w:rFonts w:cstheme="minorHAnsi"/>
                <w:b/>
                <w:i/>
                <w:lang w:val="en-GB"/>
              </w:rPr>
              <w:t>Article 43(3), Article</w:t>
            </w:r>
            <w:r w:rsidR="00C31EA9" w:rsidRPr="005963E4">
              <w:rPr>
                <w:rFonts w:cstheme="minorHAnsi"/>
                <w:b/>
                <w:i/>
                <w:lang w:val="en-GB"/>
              </w:rPr>
              <w:t xml:space="preserve"> </w:t>
            </w:r>
            <w:r w:rsidRPr="005963E4">
              <w:rPr>
                <w:rFonts w:cstheme="minorHAnsi"/>
                <w:b/>
                <w:i/>
                <w:lang w:val="en-GB"/>
              </w:rPr>
              <w:t xml:space="preserve">44(7), </w:t>
            </w:r>
            <w:r w:rsidRPr="005963E4">
              <w:rPr>
                <w:rFonts w:cstheme="minorHAnsi"/>
                <w:b/>
                <w:i/>
                <w:highlight w:val="yellow"/>
                <w:lang w:val="en-GB"/>
              </w:rPr>
              <w:t>Article 79(7),</w:t>
            </w:r>
            <w:r w:rsidRPr="005963E4">
              <w:rPr>
                <w:rFonts w:cstheme="minorHAnsi"/>
                <w:lang w:val="en-GB"/>
              </w:rPr>
              <w:t xml:space="preserve"> Article 81(3), Article 82(3) and Article 83(3) may be revoked at any time by the European Parliament or by the Council.</w:t>
            </w:r>
            <w:r w:rsidR="000C5311" w:rsidRPr="005963E4">
              <w:rPr>
                <w:rFonts w:cstheme="minorHAnsi"/>
                <w:lang w:val="en-GB"/>
              </w:rPr>
              <w:t xml:space="preserve"> </w:t>
            </w:r>
            <w:r w:rsidRPr="005963E4">
              <w:rPr>
                <w:rFonts w:cstheme="minorHAnsi"/>
                <w:lang w:val="en-GB"/>
              </w:rPr>
              <w:t xml:space="preserve"> A decision of revocation shall put an end to the delegation of power specified in that decision. </w:t>
            </w:r>
            <w:r w:rsidR="000C5311" w:rsidRPr="005963E4">
              <w:rPr>
                <w:rFonts w:cstheme="minorHAnsi"/>
                <w:lang w:val="en-GB"/>
              </w:rPr>
              <w:t xml:space="preserve"> </w:t>
            </w:r>
            <w:r w:rsidRPr="005963E4">
              <w:rPr>
                <w:rFonts w:cstheme="minorHAnsi"/>
                <w:lang w:val="en-GB"/>
              </w:rPr>
              <w:t xml:space="preserve">It shall take effect the day following the publication of the decision in the </w:t>
            </w:r>
            <w:r w:rsidRPr="005963E4">
              <w:rPr>
                <w:rFonts w:cstheme="minorHAnsi"/>
                <w:i/>
                <w:lang w:val="en-GB"/>
              </w:rPr>
              <w:t>Official Journal of the European Union</w:t>
            </w:r>
            <w:r w:rsidRPr="005963E4">
              <w:rPr>
                <w:rFonts w:cstheme="minorHAnsi"/>
                <w:lang w:val="en-GB"/>
              </w:rPr>
              <w:t xml:space="preserve"> or at a later date specified therein. </w:t>
            </w:r>
            <w:r w:rsidR="000C5311" w:rsidRPr="005963E4">
              <w:rPr>
                <w:rFonts w:cstheme="minorHAnsi"/>
                <w:lang w:val="en-GB"/>
              </w:rPr>
              <w:t xml:space="preserve"> </w:t>
            </w:r>
            <w:r w:rsidRPr="005963E4">
              <w:rPr>
                <w:rFonts w:cstheme="minorHAnsi"/>
                <w:lang w:val="en-GB"/>
              </w:rPr>
              <w:t xml:space="preserve">It shall not affect the </w:t>
            </w:r>
            <w:r w:rsidRPr="005963E4">
              <w:rPr>
                <w:rFonts w:cstheme="minorHAnsi"/>
                <w:lang w:val="en-GB"/>
              </w:rPr>
              <w:lastRenderedPageBreak/>
              <w:t>validity of any delegated acts already in force.</w:t>
            </w:r>
          </w:p>
        </w:tc>
        <w:tc>
          <w:tcPr>
            <w:tcW w:w="4785" w:type="dxa"/>
          </w:tcPr>
          <w:p w:rsidR="00D93D9A" w:rsidRPr="005963E4" w:rsidRDefault="00D93D9A" w:rsidP="00364E8D">
            <w:pPr>
              <w:spacing w:after="0" w:line="240" w:lineRule="auto"/>
              <w:ind w:left="397"/>
              <w:jc w:val="both"/>
              <w:rPr>
                <w:rFonts w:cstheme="minorHAnsi"/>
                <w:lang w:val="en-GB"/>
              </w:rPr>
            </w:pPr>
            <w:r w:rsidRPr="005963E4">
              <w:rPr>
                <w:rFonts w:cstheme="minorHAnsi"/>
                <w:lang w:val="en-GB"/>
              </w:rPr>
              <w:lastRenderedPageBreak/>
              <w:t>3. The delegation of power referred to in Article 12(5), Article 14(7), Article 15(3), Article 20(6), Article 23(3), Article 28(5), Article 35(11), Article 37(2), Article 39(2), Article 81(3), Article 82(3) and Article 83(3) may be revoked at any time by the European Parliament or by the Council.</w:t>
            </w:r>
            <w:r w:rsidR="000C5311" w:rsidRPr="005963E4">
              <w:rPr>
                <w:rFonts w:cstheme="minorHAnsi"/>
                <w:lang w:val="en-GB"/>
              </w:rPr>
              <w:t xml:space="preserve"> </w:t>
            </w:r>
            <w:r w:rsidRPr="005963E4">
              <w:rPr>
                <w:rFonts w:cstheme="minorHAnsi"/>
                <w:lang w:val="en-GB"/>
              </w:rPr>
              <w:t xml:space="preserve"> A decision of revocation shall put an end to the delegation of power specified in that decision. </w:t>
            </w:r>
            <w:r w:rsidR="000C5311" w:rsidRPr="005963E4">
              <w:rPr>
                <w:rFonts w:cstheme="minorHAnsi"/>
                <w:lang w:val="en-GB"/>
              </w:rPr>
              <w:t xml:space="preserve"> </w:t>
            </w:r>
            <w:r w:rsidRPr="005963E4">
              <w:rPr>
                <w:rFonts w:cstheme="minorHAnsi"/>
                <w:lang w:val="en-GB"/>
              </w:rPr>
              <w:t xml:space="preserve">It shall take effect the day following the publication of the decision in the </w:t>
            </w:r>
            <w:r w:rsidRPr="005963E4">
              <w:rPr>
                <w:rFonts w:cstheme="minorHAnsi"/>
                <w:i/>
                <w:lang w:val="en-GB"/>
              </w:rPr>
              <w:t>Official Journal of the European Union</w:t>
            </w:r>
            <w:r w:rsidRPr="005963E4">
              <w:rPr>
                <w:rFonts w:cstheme="minorHAnsi"/>
                <w:lang w:val="en-GB"/>
              </w:rPr>
              <w:t xml:space="preserve"> or at a later date specified therein. </w:t>
            </w:r>
            <w:r w:rsidR="000C5311" w:rsidRPr="005963E4">
              <w:rPr>
                <w:rFonts w:cstheme="minorHAnsi"/>
                <w:lang w:val="en-GB"/>
              </w:rPr>
              <w:t xml:space="preserve"> </w:t>
            </w:r>
            <w:r w:rsidRPr="005963E4">
              <w:rPr>
                <w:rFonts w:cstheme="minorHAnsi"/>
                <w:lang w:val="en-GB"/>
              </w:rPr>
              <w:t>It shall not affect the validity of any delegated acts already in force.</w:t>
            </w:r>
          </w:p>
        </w:tc>
      </w:tr>
    </w:tbl>
    <w:p w:rsidR="00D93D9A" w:rsidRPr="005963E4" w:rsidRDefault="00D93D9A" w:rsidP="00364E8D">
      <w:pPr>
        <w:pStyle w:val="AMNumberTabs"/>
        <w:keepNext/>
        <w:rPr>
          <w:rFonts w:asciiTheme="minorHAnsi" w:hAnsiTheme="minorHAnsi" w:cstheme="minorHAnsi"/>
          <w:sz w:val="22"/>
          <w:szCs w:val="22"/>
        </w:rPr>
      </w:pPr>
      <w:r w:rsidRPr="005963E4">
        <w:rPr>
          <w:rFonts w:asciiTheme="minorHAnsi" w:hAnsiTheme="minorHAnsi" w:cstheme="minorHAnsi"/>
          <w:sz w:val="22"/>
          <w:szCs w:val="22"/>
        </w:rPr>
        <w:lastRenderedPageBreak/>
        <w:t>Amendment</w:t>
      </w:r>
      <w:r w:rsidRPr="005963E4">
        <w:rPr>
          <w:rFonts w:asciiTheme="minorHAnsi" w:hAnsiTheme="minorHAnsi" w:cstheme="minorHAnsi"/>
          <w:sz w:val="22"/>
          <w:szCs w:val="22"/>
        </w:rPr>
        <w:tab/>
      </w:r>
      <w:r w:rsidRPr="005963E4">
        <w:rPr>
          <w:rFonts w:asciiTheme="minorHAnsi" w:hAnsiTheme="minorHAnsi" w:cstheme="minorHAnsi"/>
          <w:sz w:val="22"/>
          <w:szCs w:val="22"/>
        </w:rPr>
        <w:tab/>
      </w:r>
    </w:p>
    <w:p w:rsidR="00D93D9A" w:rsidRPr="005963E4" w:rsidRDefault="00D93D9A" w:rsidP="00364E8D">
      <w:pPr>
        <w:pStyle w:val="NormalBold"/>
        <w:keepNext/>
        <w:rPr>
          <w:rFonts w:asciiTheme="minorHAnsi" w:hAnsiTheme="minorHAnsi" w:cstheme="minorHAnsi"/>
          <w:sz w:val="22"/>
          <w:szCs w:val="22"/>
        </w:rPr>
      </w:pPr>
      <w:r w:rsidRPr="005963E4">
        <w:rPr>
          <w:rFonts w:asciiTheme="minorHAnsi" w:hAnsiTheme="minorHAnsi" w:cstheme="minorHAnsi"/>
          <w:sz w:val="22"/>
          <w:szCs w:val="22"/>
        </w:rPr>
        <w:t>Proposal for a regulation</w:t>
      </w:r>
    </w:p>
    <w:p w:rsidR="00D93D9A" w:rsidRPr="005963E4" w:rsidRDefault="00D93D9A" w:rsidP="00364E8D">
      <w:pPr>
        <w:pStyle w:val="NormalBold"/>
        <w:rPr>
          <w:rFonts w:asciiTheme="minorHAnsi" w:hAnsiTheme="minorHAnsi" w:cstheme="minorHAnsi"/>
          <w:sz w:val="22"/>
          <w:szCs w:val="22"/>
        </w:rPr>
      </w:pPr>
      <w:r w:rsidRPr="005963E4">
        <w:rPr>
          <w:rFonts w:asciiTheme="minorHAnsi" w:hAnsiTheme="minorHAnsi" w:cstheme="minorHAnsi"/>
          <w:sz w:val="22"/>
          <w:szCs w:val="22"/>
        </w:rPr>
        <w:t>Article 86 – paragraph 4</w:t>
      </w:r>
    </w:p>
    <w:p w:rsidR="000C5311" w:rsidRPr="005963E4" w:rsidRDefault="000C5311" w:rsidP="00364E8D">
      <w:pPr>
        <w:pStyle w:val="NormalBold"/>
        <w:rPr>
          <w:rFonts w:asciiTheme="minorHAnsi" w:hAnsiTheme="minorHAnsi" w:cstheme="minorHAnsi"/>
          <w:sz w:val="22"/>
          <w:szCs w:val="22"/>
        </w:rPr>
      </w:pPr>
    </w:p>
    <w:tbl>
      <w:tblPr>
        <w:tblW w:w="0" w:type="auto"/>
        <w:jc w:val="center"/>
        <w:tblLayout w:type="fixed"/>
        <w:tblCellMar>
          <w:left w:w="340" w:type="dxa"/>
          <w:right w:w="340" w:type="dxa"/>
        </w:tblCellMar>
        <w:tblLook w:val="0000" w:firstRow="0" w:lastRow="0" w:firstColumn="0" w:lastColumn="0" w:noHBand="0" w:noVBand="0"/>
      </w:tblPr>
      <w:tblGrid>
        <w:gridCol w:w="4876"/>
        <w:gridCol w:w="4785"/>
      </w:tblGrid>
      <w:tr w:rsidR="00D93D9A" w:rsidRPr="005963E4" w:rsidTr="002538BE">
        <w:trPr>
          <w:jc w:val="center"/>
        </w:trPr>
        <w:tc>
          <w:tcPr>
            <w:tcW w:w="4876" w:type="dxa"/>
          </w:tcPr>
          <w:p w:rsidR="00D93D9A" w:rsidRPr="005963E4" w:rsidRDefault="00D93D9A" w:rsidP="00364E8D">
            <w:pPr>
              <w:pStyle w:val="ColumnHeading"/>
              <w:keepNext/>
              <w:spacing w:after="0"/>
              <w:rPr>
                <w:rFonts w:asciiTheme="minorHAnsi" w:hAnsiTheme="minorHAnsi" w:cstheme="minorHAnsi"/>
                <w:sz w:val="22"/>
                <w:szCs w:val="22"/>
              </w:rPr>
            </w:pPr>
            <w:r w:rsidRPr="005963E4">
              <w:rPr>
                <w:rFonts w:asciiTheme="minorHAnsi" w:hAnsiTheme="minorHAnsi" w:cstheme="minorHAnsi"/>
                <w:sz w:val="22"/>
                <w:szCs w:val="22"/>
              </w:rPr>
              <w:t>Text proposed by the Commission</w:t>
            </w:r>
          </w:p>
          <w:p w:rsidR="00D93D9A" w:rsidRPr="005963E4" w:rsidRDefault="00D93D9A" w:rsidP="00364E8D">
            <w:pPr>
              <w:pStyle w:val="ColumnHeading"/>
              <w:keepNext/>
              <w:spacing w:after="0"/>
              <w:rPr>
                <w:rFonts w:asciiTheme="minorHAnsi" w:hAnsiTheme="minorHAnsi" w:cstheme="minorHAnsi"/>
                <w:sz w:val="22"/>
                <w:szCs w:val="22"/>
              </w:rPr>
            </w:pPr>
          </w:p>
        </w:tc>
        <w:tc>
          <w:tcPr>
            <w:tcW w:w="4785" w:type="dxa"/>
          </w:tcPr>
          <w:p w:rsidR="00D93D9A" w:rsidRPr="005963E4" w:rsidRDefault="00D93D9A" w:rsidP="00364E8D">
            <w:pPr>
              <w:pStyle w:val="ColumnHeading"/>
              <w:keepNext/>
              <w:spacing w:after="0"/>
              <w:ind w:left="360" w:hanging="360"/>
              <w:rPr>
                <w:rFonts w:asciiTheme="minorHAnsi" w:hAnsiTheme="minorHAnsi" w:cstheme="minorHAnsi"/>
                <w:sz w:val="22"/>
                <w:szCs w:val="22"/>
              </w:rPr>
            </w:pPr>
            <w:r w:rsidRPr="005963E4">
              <w:rPr>
                <w:rFonts w:asciiTheme="minorHAnsi" w:hAnsiTheme="minorHAnsi" w:cstheme="minorHAnsi"/>
                <w:sz w:val="22"/>
                <w:szCs w:val="22"/>
              </w:rPr>
              <w:t>Amendment</w:t>
            </w:r>
          </w:p>
        </w:tc>
      </w:tr>
      <w:tr w:rsidR="00D93D9A" w:rsidRPr="005963E4" w:rsidTr="002538BE">
        <w:trPr>
          <w:jc w:val="center"/>
        </w:trPr>
        <w:tc>
          <w:tcPr>
            <w:tcW w:w="4876" w:type="dxa"/>
          </w:tcPr>
          <w:p w:rsidR="00D93D9A" w:rsidRPr="005963E4" w:rsidRDefault="00D93D9A" w:rsidP="00364E8D">
            <w:pPr>
              <w:spacing w:after="0" w:line="240" w:lineRule="auto"/>
              <w:jc w:val="both"/>
              <w:rPr>
                <w:rFonts w:cstheme="minorHAnsi"/>
                <w:lang w:val="en-GB"/>
              </w:rPr>
            </w:pPr>
            <w:r w:rsidRPr="005963E4">
              <w:rPr>
                <w:rFonts w:cstheme="minorHAnsi"/>
                <w:lang w:val="en-GB"/>
              </w:rPr>
              <w:t xml:space="preserve">4. As soon as it adopts a delegated act, the Commission shall notify it simultaneously to the European Parliament and to the Council. </w:t>
            </w:r>
          </w:p>
          <w:p w:rsidR="00D93D9A" w:rsidRPr="005963E4" w:rsidRDefault="00D93D9A" w:rsidP="00364E8D">
            <w:pPr>
              <w:spacing w:after="0" w:line="240" w:lineRule="auto"/>
              <w:jc w:val="both"/>
              <w:rPr>
                <w:rFonts w:cstheme="minorHAnsi"/>
                <w:lang w:val="en-GB"/>
              </w:rPr>
            </w:pPr>
          </w:p>
          <w:p w:rsidR="00D93D9A" w:rsidRPr="005963E4" w:rsidRDefault="00D93D9A" w:rsidP="00364E8D">
            <w:pPr>
              <w:spacing w:line="240" w:lineRule="auto"/>
              <w:jc w:val="both"/>
              <w:rPr>
                <w:rFonts w:cstheme="minorHAnsi"/>
                <w:lang w:val="en-GB"/>
              </w:rPr>
            </w:pPr>
          </w:p>
        </w:tc>
        <w:tc>
          <w:tcPr>
            <w:tcW w:w="4785" w:type="dxa"/>
          </w:tcPr>
          <w:p w:rsidR="00D93D9A" w:rsidRPr="005963E4" w:rsidRDefault="00D93D9A" w:rsidP="00364E8D">
            <w:pPr>
              <w:spacing w:after="120" w:line="240" w:lineRule="auto"/>
              <w:ind w:left="397"/>
              <w:jc w:val="both"/>
              <w:rPr>
                <w:rFonts w:cstheme="minorHAnsi"/>
                <w:lang w:val="en-GB"/>
              </w:rPr>
            </w:pPr>
            <w:r w:rsidRPr="005963E4">
              <w:rPr>
                <w:rFonts w:cstheme="minorHAnsi"/>
                <w:lang w:val="en-GB"/>
              </w:rPr>
              <w:t xml:space="preserve">4. </w:t>
            </w:r>
            <w:r w:rsidRPr="005963E4">
              <w:rPr>
                <w:rFonts w:cstheme="minorHAnsi"/>
                <w:b/>
                <w:i/>
                <w:lang w:val="en-GB"/>
              </w:rPr>
              <w:t>The Commission shall present proposals for delegated acts to be adopted pursuant to</w:t>
            </w:r>
            <w:r w:rsidRPr="005963E4">
              <w:rPr>
                <w:rFonts w:cstheme="minorHAnsi"/>
                <w:lang w:val="en-GB"/>
              </w:rPr>
              <w:t xml:space="preserve"> </w:t>
            </w:r>
            <w:r w:rsidRPr="005963E4">
              <w:rPr>
                <w:rFonts w:cstheme="minorHAnsi"/>
                <w:b/>
                <w:i/>
                <w:lang w:val="en-GB"/>
              </w:rPr>
              <w:t>Article 12(5), Article 14(7), Article 15(3), Article 20(6), Article 23(3), Article 28(5), Article 35(11), Article 37(2), Article 39(2), Article 81(3), Article 82(3) and Article 83(3)</w:t>
            </w:r>
            <w:r w:rsidRPr="005963E4">
              <w:rPr>
                <w:rFonts w:cstheme="minorHAnsi"/>
                <w:lang w:val="en-GB"/>
              </w:rPr>
              <w:t xml:space="preserve"> </w:t>
            </w:r>
            <w:r w:rsidRPr="005963E4">
              <w:rPr>
                <w:rFonts w:cstheme="minorHAnsi"/>
                <w:b/>
                <w:i/>
                <w:lang w:val="en-GB"/>
              </w:rPr>
              <w:t>within two years of the date of publication of this Regulation in the Official Journal of the European Union.</w:t>
            </w:r>
            <w:r w:rsidR="00DA3B21" w:rsidRPr="005963E4">
              <w:rPr>
                <w:rFonts w:cstheme="minorHAnsi"/>
                <w:i/>
                <w:lang w:val="en-GB"/>
              </w:rPr>
              <w:t xml:space="preserve">  </w:t>
            </w:r>
            <w:r w:rsidRPr="005963E4">
              <w:rPr>
                <w:rFonts w:cstheme="minorHAnsi"/>
                <w:lang w:val="en-GB"/>
              </w:rPr>
              <w:t xml:space="preserve">As soon as it adopts a delegated act, the Commission shall notify it simultaneously to the European Parliament and to the Council. </w:t>
            </w:r>
          </w:p>
          <w:p w:rsidR="00D93D9A" w:rsidRPr="005963E4" w:rsidRDefault="00D93D9A" w:rsidP="00364E8D">
            <w:pPr>
              <w:spacing w:line="240" w:lineRule="auto"/>
              <w:jc w:val="both"/>
              <w:rPr>
                <w:rFonts w:cstheme="minorHAnsi"/>
                <w:lang w:val="en-GB"/>
              </w:rPr>
            </w:pPr>
          </w:p>
        </w:tc>
      </w:tr>
    </w:tbl>
    <w:p w:rsidR="00D93D9A" w:rsidRPr="005963E4" w:rsidRDefault="00D93D9A" w:rsidP="00364E8D">
      <w:pPr>
        <w:pStyle w:val="AMNumberTabs"/>
        <w:keepNext/>
        <w:spacing w:before="0"/>
        <w:rPr>
          <w:rFonts w:asciiTheme="minorHAnsi" w:hAnsiTheme="minorHAnsi" w:cstheme="minorHAnsi"/>
          <w:sz w:val="22"/>
          <w:szCs w:val="22"/>
        </w:rPr>
      </w:pPr>
      <w:r w:rsidRPr="005963E4">
        <w:rPr>
          <w:rFonts w:asciiTheme="minorHAnsi" w:hAnsiTheme="minorHAnsi" w:cstheme="minorHAnsi"/>
          <w:sz w:val="22"/>
          <w:szCs w:val="22"/>
        </w:rPr>
        <w:t>Amendment</w:t>
      </w:r>
      <w:r w:rsidRPr="005963E4">
        <w:rPr>
          <w:rFonts w:asciiTheme="minorHAnsi" w:hAnsiTheme="minorHAnsi" w:cstheme="minorHAnsi"/>
          <w:sz w:val="22"/>
          <w:szCs w:val="22"/>
        </w:rPr>
        <w:tab/>
      </w:r>
      <w:r w:rsidRPr="005963E4">
        <w:rPr>
          <w:rFonts w:asciiTheme="minorHAnsi" w:hAnsiTheme="minorHAnsi" w:cstheme="minorHAnsi"/>
          <w:sz w:val="22"/>
          <w:szCs w:val="22"/>
        </w:rPr>
        <w:tab/>
      </w:r>
    </w:p>
    <w:p w:rsidR="00D93D9A" w:rsidRPr="005963E4" w:rsidRDefault="00D93D9A" w:rsidP="00364E8D">
      <w:pPr>
        <w:pStyle w:val="NormalBold"/>
        <w:keepNext/>
        <w:rPr>
          <w:rFonts w:asciiTheme="minorHAnsi" w:hAnsiTheme="minorHAnsi" w:cstheme="minorHAnsi"/>
          <w:sz w:val="22"/>
          <w:szCs w:val="22"/>
        </w:rPr>
      </w:pPr>
      <w:r w:rsidRPr="005963E4">
        <w:rPr>
          <w:rFonts w:asciiTheme="minorHAnsi" w:hAnsiTheme="minorHAnsi" w:cstheme="minorHAnsi"/>
          <w:sz w:val="22"/>
          <w:szCs w:val="22"/>
        </w:rPr>
        <w:t>Proposal for a regulation</w:t>
      </w:r>
    </w:p>
    <w:p w:rsidR="00D93D9A" w:rsidRPr="005963E4" w:rsidRDefault="00D93D9A" w:rsidP="00364E8D">
      <w:pPr>
        <w:pStyle w:val="NormalBold"/>
        <w:rPr>
          <w:rFonts w:asciiTheme="minorHAnsi" w:hAnsiTheme="minorHAnsi" w:cstheme="minorHAnsi"/>
          <w:sz w:val="22"/>
          <w:szCs w:val="22"/>
        </w:rPr>
      </w:pPr>
      <w:r w:rsidRPr="005963E4">
        <w:rPr>
          <w:rFonts w:asciiTheme="minorHAnsi" w:hAnsiTheme="minorHAnsi" w:cstheme="minorHAnsi"/>
          <w:sz w:val="22"/>
          <w:szCs w:val="22"/>
        </w:rPr>
        <w:t>Article 86 – paragraph 5</w:t>
      </w:r>
    </w:p>
    <w:p w:rsidR="000C5311" w:rsidRPr="005963E4" w:rsidRDefault="000C5311" w:rsidP="00364E8D">
      <w:pPr>
        <w:pStyle w:val="NormalBold"/>
        <w:rPr>
          <w:rFonts w:asciiTheme="minorHAnsi" w:hAnsiTheme="minorHAnsi" w:cstheme="minorHAnsi"/>
          <w:sz w:val="22"/>
          <w:szCs w:val="22"/>
        </w:rPr>
      </w:pPr>
    </w:p>
    <w:tbl>
      <w:tblPr>
        <w:tblW w:w="0" w:type="auto"/>
        <w:jc w:val="center"/>
        <w:tblLayout w:type="fixed"/>
        <w:tblCellMar>
          <w:left w:w="340" w:type="dxa"/>
          <w:right w:w="340" w:type="dxa"/>
        </w:tblCellMar>
        <w:tblLook w:val="0000" w:firstRow="0" w:lastRow="0" w:firstColumn="0" w:lastColumn="0" w:noHBand="0" w:noVBand="0"/>
      </w:tblPr>
      <w:tblGrid>
        <w:gridCol w:w="4876"/>
        <w:gridCol w:w="4785"/>
      </w:tblGrid>
      <w:tr w:rsidR="00D93D9A" w:rsidRPr="005963E4" w:rsidTr="002538BE">
        <w:trPr>
          <w:jc w:val="center"/>
        </w:trPr>
        <w:tc>
          <w:tcPr>
            <w:tcW w:w="4876" w:type="dxa"/>
          </w:tcPr>
          <w:p w:rsidR="00D93D9A" w:rsidRPr="005963E4" w:rsidRDefault="00D93D9A" w:rsidP="00364E8D">
            <w:pPr>
              <w:pStyle w:val="ColumnHeading"/>
              <w:keepNext/>
              <w:spacing w:after="0"/>
              <w:rPr>
                <w:rFonts w:asciiTheme="minorHAnsi" w:hAnsiTheme="minorHAnsi" w:cstheme="minorHAnsi"/>
                <w:sz w:val="22"/>
                <w:szCs w:val="22"/>
              </w:rPr>
            </w:pPr>
            <w:r w:rsidRPr="005963E4">
              <w:rPr>
                <w:rFonts w:asciiTheme="minorHAnsi" w:hAnsiTheme="minorHAnsi" w:cstheme="minorHAnsi"/>
                <w:sz w:val="22"/>
                <w:szCs w:val="22"/>
              </w:rPr>
              <w:t>Text proposed by the Commission</w:t>
            </w:r>
          </w:p>
          <w:p w:rsidR="00D93D9A" w:rsidRPr="005963E4" w:rsidRDefault="00D93D9A" w:rsidP="00364E8D">
            <w:pPr>
              <w:pStyle w:val="ColumnHeading"/>
              <w:keepNext/>
              <w:spacing w:after="0"/>
              <w:rPr>
                <w:rFonts w:asciiTheme="minorHAnsi" w:hAnsiTheme="minorHAnsi" w:cstheme="minorHAnsi"/>
                <w:sz w:val="22"/>
                <w:szCs w:val="22"/>
              </w:rPr>
            </w:pPr>
          </w:p>
        </w:tc>
        <w:tc>
          <w:tcPr>
            <w:tcW w:w="4785" w:type="dxa"/>
          </w:tcPr>
          <w:p w:rsidR="00D93D9A" w:rsidRPr="005963E4" w:rsidRDefault="00D93D9A" w:rsidP="00364E8D">
            <w:pPr>
              <w:pStyle w:val="ColumnHeading"/>
              <w:keepNext/>
              <w:spacing w:after="0"/>
              <w:ind w:left="360" w:hanging="360"/>
              <w:rPr>
                <w:rFonts w:asciiTheme="minorHAnsi" w:hAnsiTheme="minorHAnsi" w:cstheme="minorHAnsi"/>
                <w:sz w:val="22"/>
                <w:szCs w:val="22"/>
              </w:rPr>
            </w:pPr>
            <w:r w:rsidRPr="005963E4">
              <w:rPr>
                <w:rFonts w:asciiTheme="minorHAnsi" w:hAnsiTheme="minorHAnsi" w:cstheme="minorHAnsi"/>
                <w:sz w:val="22"/>
                <w:szCs w:val="22"/>
              </w:rPr>
              <w:t>Amendment</w:t>
            </w:r>
          </w:p>
        </w:tc>
      </w:tr>
      <w:tr w:rsidR="00D93D9A" w:rsidRPr="005963E4" w:rsidTr="002538BE">
        <w:trPr>
          <w:jc w:val="center"/>
        </w:trPr>
        <w:tc>
          <w:tcPr>
            <w:tcW w:w="4876" w:type="dxa"/>
          </w:tcPr>
          <w:p w:rsidR="00D93D9A" w:rsidRPr="005963E4" w:rsidRDefault="00D93D9A" w:rsidP="00364E8D">
            <w:pPr>
              <w:spacing w:after="0" w:line="240" w:lineRule="auto"/>
              <w:jc w:val="both"/>
              <w:rPr>
                <w:rFonts w:cstheme="minorHAnsi"/>
                <w:b/>
                <w:i/>
                <w:lang w:val="en-GB"/>
              </w:rPr>
            </w:pPr>
            <w:r w:rsidRPr="005963E4">
              <w:rPr>
                <w:rFonts w:cstheme="minorHAnsi"/>
                <w:lang w:val="en-GB"/>
              </w:rPr>
              <w:t xml:space="preserve">5. A delegated act adopted pursuant to </w:t>
            </w:r>
            <w:r w:rsidRPr="005963E4">
              <w:rPr>
                <w:rFonts w:cstheme="minorHAnsi"/>
                <w:b/>
                <w:i/>
                <w:lang w:val="en-GB"/>
              </w:rPr>
              <w:t>Article 6(5)</w:t>
            </w:r>
            <w:r w:rsidRPr="005963E4">
              <w:rPr>
                <w:rFonts w:cstheme="minorHAnsi"/>
                <w:lang w:val="en-GB"/>
              </w:rPr>
              <w:t>,</w:t>
            </w:r>
            <w:r w:rsidRPr="005963E4">
              <w:rPr>
                <w:rFonts w:cstheme="minorHAnsi"/>
                <w:b/>
                <w:i/>
                <w:lang w:val="en-GB"/>
              </w:rPr>
              <w:t xml:space="preserve"> Article 8(3), Article 9(3), </w:t>
            </w:r>
            <w:r w:rsidRPr="005963E4">
              <w:rPr>
                <w:rFonts w:cstheme="minorHAnsi"/>
                <w:lang w:val="en-GB"/>
              </w:rPr>
              <w:t xml:space="preserve">Article 12(5), Article 14(7), Article 15(3), </w:t>
            </w:r>
            <w:r w:rsidRPr="005963E4">
              <w:rPr>
                <w:rFonts w:cstheme="minorHAnsi"/>
                <w:b/>
                <w:i/>
                <w:lang w:val="en-GB"/>
              </w:rPr>
              <w:t xml:space="preserve">Article 17(9), </w:t>
            </w:r>
            <w:r w:rsidRPr="005963E4">
              <w:rPr>
                <w:rFonts w:cstheme="minorHAnsi"/>
                <w:lang w:val="en-GB"/>
              </w:rPr>
              <w:t xml:space="preserve">Article 20(6), </w:t>
            </w:r>
            <w:r w:rsidRPr="005963E4">
              <w:rPr>
                <w:rFonts w:cstheme="minorHAnsi"/>
                <w:b/>
                <w:i/>
                <w:lang w:val="en-GB"/>
              </w:rPr>
              <w:t xml:space="preserve">Article 22(4), </w:t>
            </w:r>
            <w:r w:rsidRPr="005963E4">
              <w:rPr>
                <w:rFonts w:cstheme="minorHAnsi"/>
                <w:lang w:val="en-GB"/>
              </w:rPr>
              <w:t xml:space="preserve">Article 23(3), </w:t>
            </w:r>
            <w:r w:rsidRPr="005963E4">
              <w:rPr>
                <w:rFonts w:cstheme="minorHAnsi"/>
                <w:b/>
                <w:i/>
                <w:lang w:val="en-GB"/>
              </w:rPr>
              <w:t xml:space="preserve">Article 26(5), </w:t>
            </w:r>
            <w:r w:rsidRPr="005963E4">
              <w:rPr>
                <w:rFonts w:cstheme="minorHAnsi"/>
                <w:lang w:val="en-GB"/>
              </w:rPr>
              <w:t xml:space="preserve">Article 28(5), </w:t>
            </w:r>
            <w:r w:rsidRPr="005963E4">
              <w:rPr>
                <w:rFonts w:cstheme="minorHAnsi"/>
                <w:b/>
                <w:i/>
                <w:lang w:val="en-GB"/>
              </w:rPr>
              <w:t>Article 30(3)</w:t>
            </w:r>
            <w:r w:rsidRPr="005963E4">
              <w:rPr>
                <w:rFonts w:cstheme="minorHAnsi"/>
                <w:lang w:val="en-GB"/>
              </w:rPr>
              <w:t xml:space="preserve">, </w:t>
            </w:r>
            <w:r w:rsidRPr="005963E4">
              <w:rPr>
                <w:rFonts w:cstheme="minorHAnsi"/>
                <w:b/>
                <w:i/>
                <w:lang w:val="en-GB"/>
              </w:rPr>
              <w:t>Article 31(5),</w:t>
            </w:r>
            <w:r w:rsidRPr="005963E4">
              <w:rPr>
                <w:rFonts w:cstheme="minorHAnsi"/>
                <w:lang w:val="en-GB"/>
              </w:rPr>
              <w:t xml:space="preserve"> </w:t>
            </w:r>
            <w:r w:rsidRPr="005963E4">
              <w:rPr>
                <w:rFonts w:cstheme="minorHAnsi"/>
                <w:b/>
                <w:i/>
                <w:lang w:val="en-GB"/>
              </w:rPr>
              <w:t xml:space="preserve">Article 32(5), Article 33(6), Article 34(8), </w:t>
            </w:r>
            <w:r w:rsidRPr="005963E4">
              <w:rPr>
                <w:rFonts w:cstheme="minorHAnsi"/>
                <w:lang w:val="en-GB"/>
              </w:rPr>
              <w:t xml:space="preserve">Article 35(11), Article 37(2), Article 39(2), </w:t>
            </w:r>
            <w:r w:rsidRPr="005963E4">
              <w:rPr>
                <w:rFonts w:cstheme="minorHAnsi"/>
                <w:b/>
                <w:i/>
                <w:lang w:val="en-GB"/>
              </w:rPr>
              <w:t>Article 43(3), Article</w:t>
            </w:r>
          </w:p>
          <w:p w:rsidR="00D93D9A" w:rsidRPr="005963E4" w:rsidRDefault="00D93D9A" w:rsidP="00364E8D">
            <w:pPr>
              <w:spacing w:after="0" w:line="240" w:lineRule="auto"/>
              <w:jc w:val="both"/>
              <w:rPr>
                <w:rFonts w:cstheme="minorHAnsi"/>
                <w:lang w:val="en-GB"/>
              </w:rPr>
            </w:pPr>
            <w:r w:rsidRPr="005963E4">
              <w:rPr>
                <w:rFonts w:cstheme="minorHAnsi"/>
                <w:b/>
                <w:i/>
                <w:lang w:val="en-GB"/>
              </w:rPr>
              <w:t xml:space="preserve">44(7), </w:t>
            </w:r>
            <w:r w:rsidRPr="005963E4">
              <w:rPr>
                <w:rFonts w:cstheme="minorHAnsi"/>
                <w:b/>
                <w:i/>
                <w:highlight w:val="yellow"/>
                <w:lang w:val="en-GB"/>
              </w:rPr>
              <w:t>Article 79(7),</w:t>
            </w:r>
            <w:r w:rsidRPr="005963E4">
              <w:rPr>
                <w:rFonts w:cstheme="minorHAnsi"/>
                <w:lang w:val="en-GB"/>
              </w:rPr>
              <w:t xml:space="preserve"> Article 81(3), Article 82(3) and Article 83(3) shall enter into force only if no objection has been expressed either by the European Parliament or the Council within a period of two months of notification of that act to the European Parliament and the Council or if, before the expiry of that period, the European Parliament and the Council have both informed </w:t>
            </w:r>
            <w:proofErr w:type="gramStart"/>
            <w:r w:rsidRPr="005963E4">
              <w:rPr>
                <w:rFonts w:cstheme="minorHAnsi"/>
                <w:lang w:val="en-GB"/>
              </w:rPr>
              <w:t>the  Commission</w:t>
            </w:r>
            <w:proofErr w:type="gramEnd"/>
            <w:r w:rsidRPr="005963E4">
              <w:rPr>
                <w:rFonts w:cstheme="minorHAnsi"/>
                <w:lang w:val="en-GB"/>
              </w:rPr>
              <w:t xml:space="preserve"> that they will not object.</w:t>
            </w:r>
            <w:r w:rsidR="00DA3B21" w:rsidRPr="005963E4">
              <w:rPr>
                <w:rFonts w:cstheme="minorHAnsi"/>
                <w:lang w:val="en-GB"/>
              </w:rPr>
              <w:t xml:space="preserve"> </w:t>
            </w:r>
            <w:r w:rsidRPr="005963E4">
              <w:rPr>
                <w:rFonts w:cstheme="minorHAnsi"/>
                <w:lang w:val="en-GB"/>
              </w:rPr>
              <w:t xml:space="preserve"> That period shall be extended by </w:t>
            </w:r>
            <w:r w:rsidRPr="005963E4">
              <w:rPr>
                <w:rFonts w:cstheme="minorHAnsi"/>
                <w:lang w:val="en-GB"/>
              </w:rPr>
              <w:lastRenderedPageBreak/>
              <w:t>two months at the initiative of the European Parliament or the Council.</w:t>
            </w:r>
          </w:p>
        </w:tc>
        <w:tc>
          <w:tcPr>
            <w:tcW w:w="4785" w:type="dxa"/>
          </w:tcPr>
          <w:p w:rsidR="00D93D9A" w:rsidRPr="005963E4" w:rsidRDefault="00D93D9A" w:rsidP="00364E8D">
            <w:pPr>
              <w:spacing w:after="0" w:line="240" w:lineRule="auto"/>
              <w:ind w:left="397"/>
              <w:jc w:val="both"/>
              <w:rPr>
                <w:rFonts w:cstheme="minorHAnsi"/>
                <w:lang w:val="en-GB"/>
              </w:rPr>
            </w:pPr>
            <w:r w:rsidRPr="005963E4">
              <w:rPr>
                <w:rFonts w:cstheme="minorHAnsi"/>
                <w:lang w:val="en-GB"/>
              </w:rPr>
              <w:lastRenderedPageBreak/>
              <w:t>5. A delegated act adopted pursuant to Article 12(5), Article 14(7), Article 15(3), Article 20(6), Article 23(3), Article 28(5), Article 35(11), Article 37(2), Article 39(2), Article 81(3), Article 82(3) and Article 83(3) shall enter into force only if no objection has been expressed either by the European Parliament or the Council within a period of two months of notification of that act to the European Parliament and the Council or if, before the expiry of that period, the European Parliament and the Council have both informed the  Commission that they will not object.</w:t>
            </w:r>
            <w:r w:rsidR="00DA3B21" w:rsidRPr="005963E4">
              <w:rPr>
                <w:rFonts w:cstheme="minorHAnsi"/>
                <w:lang w:val="en-GB"/>
              </w:rPr>
              <w:t xml:space="preserve"> </w:t>
            </w:r>
            <w:r w:rsidRPr="005963E4">
              <w:rPr>
                <w:rFonts w:cstheme="minorHAnsi"/>
                <w:lang w:val="en-GB"/>
              </w:rPr>
              <w:t xml:space="preserve"> That period shall be extended by two months at the initiative of the European Parliament or the Council.</w:t>
            </w:r>
          </w:p>
        </w:tc>
      </w:tr>
    </w:tbl>
    <w:p w:rsidR="00D93D9A" w:rsidRPr="005963E4" w:rsidRDefault="00D93D9A" w:rsidP="00364E8D">
      <w:pPr>
        <w:spacing w:after="0" w:line="240" w:lineRule="auto"/>
        <w:rPr>
          <w:rFonts w:cstheme="minorHAnsi"/>
          <w:lang w:val="en-GB"/>
        </w:rPr>
      </w:pPr>
    </w:p>
    <w:p w:rsidR="00D93D9A" w:rsidRPr="005963E4" w:rsidRDefault="00D93D9A" w:rsidP="00364E8D">
      <w:pPr>
        <w:spacing w:after="0" w:line="240" w:lineRule="auto"/>
        <w:jc w:val="center"/>
        <w:rPr>
          <w:rFonts w:cstheme="minorHAnsi"/>
          <w:i/>
          <w:lang w:val="en-GB"/>
        </w:rPr>
      </w:pPr>
      <w:r w:rsidRPr="005963E4">
        <w:rPr>
          <w:rFonts w:cstheme="minorHAnsi"/>
          <w:i/>
          <w:lang w:val="en-GB"/>
        </w:rPr>
        <w:t>Justification</w:t>
      </w:r>
    </w:p>
    <w:p w:rsidR="00DA3B21" w:rsidRPr="005963E4" w:rsidRDefault="00DA3B21" w:rsidP="00364E8D">
      <w:pPr>
        <w:spacing w:after="0" w:line="240" w:lineRule="auto"/>
        <w:jc w:val="center"/>
        <w:rPr>
          <w:rFonts w:cstheme="minorHAnsi"/>
          <w:lang w:val="en-GB"/>
        </w:rPr>
      </w:pPr>
    </w:p>
    <w:p w:rsidR="00D93D9A" w:rsidRPr="005963E4" w:rsidRDefault="00D93D9A" w:rsidP="00364E8D">
      <w:pPr>
        <w:spacing w:after="0" w:line="240" w:lineRule="auto"/>
        <w:jc w:val="both"/>
        <w:rPr>
          <w:rFonts w:cstheme="minorHAnsi"/>
          <w:i/>
          <w:lang w:val="en-GB"/>
        </w:rPr>
      </w:pPr>
      <w:r w:rsidRPr="005963E4">
        <w:rPr>
          <w:rFonts w:cstheme="minorHAnsi"/>
          <w:i/>
          <w:lang w:val="en-GB"/>
        </w:rPr>
        <w:t xml:space="preserve">Of the 91 articles in the Regulation, 26 include provisions that would allow the Commission to adopt “delegated acts.”  Each delegated act provision empowers the Commission to create new, secondary legal regimes, binding across the EU.  </w:t>
      </w:r>
    </w:p>
    <w:p w:rsidR="00B4089A" w:rsidRPr="005963E4" w:rsidRDefault="00B4089A" w:rsidP="00364E8D">
      <w:pPr>
        <w:spacing w:after="0" w:line="240" w:lineRule="auto"/>
        <w:jc w:val="both"/>
        <w:rPr>
          <w:rFonts w:cstheme="minorHAnsi"/>
          <w:i/>
          <w:lang w:val="en-GB"/>
        </w:rPr>
      </w:pPr>
    </w:p>
    <w:p w:rsidR="00D93D9A" w:rsidRPr="005963E4" w:rsidRDefault="00D93D9A" w:rsidP="00364E8D">
      <w:pPr>
        <w:spacing w:after="0" w:line="240" w:lineRule="auto"/>
        <w:jc w:val="both"/>
        <w:rPr>
          <w:rFonts w:cstheme="minorHAnsi"/>
          <w:i/>
          <w:lang w:val="en-GB"/>
        </w:rPr>
      </w:pPr>
      <w:r w:rsidRPr="005963E4">
        <w:rPr>
          <w:rFonts w:cstheme="minorHAnsi"/>
          <w:i/>
          <w:lang w:val="en-GB"/>
        </w:rPr>
        <w:t>Th</w:t>
      </w:r>
      <w:r w:rsidR="004733E4" w:rsidRPr="005963E4">
        <w:rPr>
          <w:rFonts w:cstheme="minorHAnsi"/>
          <w:i/>
          <w:lang w:val="en-GB"/>
        </w:rPr>
        <w:t>e many</w:t>
      </w:r>
      <w:r w:rsidRPr="005963E4">
        <w:rPr>
          <w:rFonts w:cstheme="minorHAnsi"/>
          <w:i/>
          <w:lang w:val="en-GB"/>
        </w:rPr>
        <w:t xml:space="preserve"> delegated act provisions mean that organisations could face new rules for many years after the Regulation is adopted.  This creates confusion about data subjects’ rights.  It also makes it difficult for organisations processing data to understand their obligations.  Because the Regulation includes substantial sanctions for non-compliance (up to 2% of annual worldwide turnover for certain violations), it is critical that organisations understand clearly what their obligations are.  </w:t>
      </w:r>
    </w:p>
    <w:p w:rsidR="00B4089A" w:rsidRPr="005963E4" w:rsidRDefault="00B4089A" w:rsidP="00364E8D">
      <w:pPr>
        <w:spacing w:after="0" w:line="240" w:lineRule="auto"/>
        <w:jc w:val="both"/>
        <w:rPr>
          <w:rFonts w:cstheme="minorHAnsi"/>
          <w:i/>
          <w:lang w:val="en-GB"/>
        </w:rPr>
      </w:pPr>
    </w:p>
    <w:p w:rsidR="00D93D9A" w:rsidRPr="005963E4" w:rsidRDefault="00D93D9A" w:rsidP="00364E8D">
      <w:pPr>
        <w:spacing w:after="0" w:line="240" w:lineRule="auto"/>
        <w:rPr>
          <w:rFonts w:cstheme="minorHAnsi"/>
          <w:i/>
          <w:lang w:val="en-GB"/>
        </w:rPr>
      </w:pPr>
      <w:r w:rsidRPr="005963E4">
        <w:rPr>
          <w:rFonts w:cstheme="minorHAnsi"/>
          <w:i/>
          <w:lang w:val="en-GB"/>
        </w:rPr>
        <w:t xml:space="preserve">To address these issues, the number of delegated acts should be significantly reduced.  Delegated acts should be used only where needed and appropriate.  Specifically: </w:t>
      </w:r>
    </w:p>
    <w:p w:rsidR="00B4089A" w:rsidRPr="005963E4" w:rsidRDefault="00B4089A" w:rsidP="00364E8D">
      <w:pPr>
        <w:spacing w:after="0" w:line="240" w:lineRule="auto"/>
        <w:rPr>
          <w:rFonts w:cstheme="minorHAnsi"/>
          <w:i/>
          <w:lang w:val="en-GB"/>
        </w:rPr>
      </w:pPr>
    </w:p>
    <w:p w:rsidR="00C00175" w:rsidRPr="005963E4" w:rsidRDefault="00C00175" w:rsidP="00364E8D">
      <w:pPr>
        <w:pStyle w:val="ListParagraph"/>
        <w:numPr>
          <w:ilvl w:val="0"/>
          <w:numId w:val="9"/>
        </w:numPr>
        <w:jc w:val="both"/>
        <w:rPr>
          <w:rFonts w:asciiTheme="minorHAnsi" w:eastAsiaTheme="minorHAnsi" w:hAnsiTheme="minorHAnsi" w:cstheme="minorHAnsi"/>
          <w:i/>
          <w:sz w:val="22"/>
          <w:szCs w:val="22"/>
          <w:lang w:val="en-GB"/>
        </w:rPr>
      </w:pPr>
      <w:r w:rsidRPr="005963E4">
        <w:rPr>
          <w:rFonts w:asciiTheme="minorHAnsi" w:hAnsiTheme="minorHAnsi" w:cstheme="minorHAnsi"/>
          <w:b/>
          <w:i/>
          <w:sz w:val="22"/>
          <w:szCs w:val="22"/>
          <w:lang w:val="en-GB"/>
        </w:rPr>
        <w:t>Consistent with the Lisbon Treaty, any delegated act provisions that deal with essential elements of the law</w:t>
      </w:r>
      <w:r w:rsidRPr="005963E4">
        <w:rPr>
          <w:rFonts w:asciiTheme="minorHAnsi" w:eastAsiaTheme="minorHAnsi" w:hAnsiTheme="minorHAnsi" w:cstheme="minorHAnsi"/>
          <w:b/>
          <w:i/>
          <w:sz w:val="22"/>
          <w:szCs w:val="22"/>
          <w:lang w:val="en-GB"/>
        </w:rPr>
        <w:t xml:space="preserve"> should be </w:t>
      </w:r>
      <w:r w:rsidRPr="005963E4">
        <w:rPr>
          <w:rFonts w:asciiTheme="minorHAnsi" w:hAnsiTheme="minorHAnsi" w:cstheme="minorHAnsi"/>
          <w:b/>
          <w:i/>
          <w:sz w:val="22"/>
          <w:szCs w:val="22"/>
          <w:lang w:val="en-GB"/>
        </w:rPr>
        <w:t>deleted</w:t>
      </w:r>
      <w:r w:rsidRPr="005963E4">
        <w:rPr>
          <w:rFonts w:asciiTheme="minorHAnsi" w:hAnsiTheme="minorHAnsi" w:cstheme="minorHAnsi"/>
          <w:b/>
          <w:i/>
          <w:sz w:val="22"/>
          <w:szCs w:val="22"/>
        </w:rPr>
        <w:t>.</w:t>
      </w:r>
      <w:r w:rsidRPr="005963E4">
        <w:rPr>
          <w:rFonts w:asciiTheme="minorHAnsi" w:hAnsiTheme="minorHAnsi" w:cstheme="minorHAnsi"/>
          <w:i/>
          <w:sz w:val="22"/>
          <w:szCs w:val="22"/>
        </w:rPr>
        <w:t xml:space="preserve">  </w:t>
      </w:r>
      <w:r w:rsidRPr="005963E4">
        <w:rPr>
          <w:rFonts w:asciiTheme="minorHAnsi" w:eastAsiaTheme="minorHAnsi" w:hAnsiTheme="minorHAnsi" w:cstheme="minorHAnsi"/>
          <w:i/>
          <w:sz w:val="22"/>
          <w:szCs w:val="22"/>
          <w:lang w:val="en-GB"/>
        </w:rPr>
        <w:t xml:space="preserve">Many of the delegated act provisions -- including Article 6(5), Article </w:t>
      </w:r>
      <w:r w:rsidRPr="005963E4">
        <w:rPr>
          <w:rFonts w:asciiTheme="minorHAnsi" w:eastAsiaTheme="minorHAnsi" w:hAnsiTheme="minorHAnsi" w:cstheme="minorHAnsi"/>
          <w:bCs/>
          <w:i/>
          <w:sz w:val="22"/>
          <w:szCs w:val="22"/>
          <w:lang w:val="en-GB"/>
        </w:rPr>
        <w:t>9(3), Article 22(4), Article 26(5</w:t>
      </w:r>
      <w:r w:rsidRPr="005963E4">
        <w:rPr>
          <w:rFonts w:asciiTheme="minorHAnsi" w:eastAsiaTheme="minorHAnsi" w:hAnsiTheme="minorHAnsi" w:cstheme="minorHAnsi"/>
          <w:i/>
          <w:sz w:val="22"/>
          <w:szCs w:val="22"/>
          <w:lang w:val="en-GB"/>
        </w:rPr>
        <w:t xml:space="preserve">), </w:t>
      </w:r>
      <w:r w:rsidRPr="005963E4">
        <w:rPr>
          <w:rFonts w:asciiTheme="minorHAnsi" w:eastAsiaTheme="minorHAnsi" w:hAnsiTheme="minorHAnsi" w:cstheme="minorHAnsi"/>
          <w:bCs/>
          <w:i/>
          <w:sz w:val="22"/>
          <w:szCs w:val="22"/>
          <w:lang w:val="en-GB"/>
        </w:rPr>
        <w:t>Article</w:t>
      </w:r>
      <w:r w:rsidRPr="005963E4">
        <w:rPr>
          <w:rFonts w:asciiTheme="minorHAnsi" w:eastAsiaTheme="minorHAnsi" w:hAnsiTheme="minorHAnsi" w:cstheme="minorHAnsi"/>
          <w:i/>
          <w:sz w:val="22"/>
          <w:szCs w:val="22"/>
          <w:lang w:val="en-GB"/>
        </w:rPr>
        <w:t xml:space="preserve"> </w:t>
      </w:r>
      <w:r w:rsidRPr="005963E4">
        <w:rPr>
          <w:rFonts w:asciiTheme="minorHAnsi" w:eastAsiaTheme="minorHAnsi" w:hAnsiTheme="minorHAnsi" w:cstheme="minorHAnsi"/>
          <w:bCs/>
          <w:i/>
          <w:sz w:val="22"/>
          <w:szCs w:val="22"/>
          <w:lang w:val="en-GB"/>
        </w:rPr>
        <w:t>31(5), Article 32(5</w:t>
      </w:r>
      <w:r w:rsidRPr="005963E4">
        <w:rPr>
          <w:rFonts w:asciiTheme="minorHAnsi" w:eastAsiaTheme="minorHAnsi" w:hAnsiTheme="minorHAnsi" w:cstheme="minorHAnsi"/>
          <w:i/>
          <w:sz w:val="22"/>
          <w:szCs w:val="22"/>
          <w:lang w:val="en-GB"/>
        </w:rPr>
        <w:t xml:space="preserve">), </w:t>
      </w:r>
      <w:r w:rsidRPr="005963E4">
        <w:rPr>
          <w:rFonts w:asciiTheme="minorHAnsi" w:eastAsiaTheme="minorHAnsi" w:hAnsiTheme="minorHAnsi" w:cstheme="minorHAnsi"/>
          <w:bCs/>
          <w:i/>
          <w:sz w:val="22"/>
          <w:szCs w:val="22"/>
          <w:lang w:val="en-GB"/>
        </w:rPr>
        <w:t>Article 33(6), Article 34(8), Article 43(3</w:t>
      </w:r>
      <w:r w:rsidRPr="005963E4">
        <w:rPr>
          <w:rFonts w:asciiTheme="minorHAnsi" w:eastAsiaTheme="minorHAnsi" w:hAnsiTheme="minorHAnsi" w:cstheme="minorHAnsi"/>
          <w:i/>
          <w:sz w:val="22"/>
          <w:szCs w:val="22"/>
          <w:lang w:val="en-GB"/>
        </w:rPr>
        <w:t>), A</w:t>
      </w:r>
      <w:r w:rsidRPr="005963E4">
        <w:rPr>
          <w:rFonts w:asciiTheme="minorHAnsi" w:eastAsiaTheme="minorHAnsi" w:hAnsiTheme="minorHAnsi" w:cstheme="minorHAnsi"/>
          <w:bCs/>
          <w:i/>
          <w:sz w:val="22"/>
          <w:szCs w:val="22"/>
          <w:lang w:val="en-GB"/>
        </w:rPr>
        <w:t>rticle 44(7</w:t>
      </w:r>
      <w:r w:rsidRPr="005963E4">
        <w:rPr>
          <w:rFonts w:asciiTheme="minorHAnsi" w:eastAsiaTheme="minorHAnsi" w:hAnsiTheme="minorHAnsi" w:cstheme="minorHAnsi"/>
          <w:i/>
          <w:sz w:val="22"/>
          <w:szCs w:val="22"/>
          <w:lang w:val="en-GB"/>
        </w:rPr>
        <w:t xml:space="preserve">) and </w:t>
      </w:r>
      <w:r w:rsidRPr="005963E4">
        <w:rPr>
          <w:rFonts w:asciiTheme="minorHAnsi" w:eastAsiaTheme="minorHAnsi" w:hAnsiTheme="minorHAnsi" w:cstheme="minorHAnsi"/>
          <w:bCs/>
          <w:i/>
          <w:sz w:val="22"/>
          <w:szCs w:val="22"/>
          <w:lang w:val="en-GB"/>
        </w:rPr>
        <w:t>Article 79(7)</w:t>
      </w:r>
      <w:r w:rsidRPr="005963E4">
        <w:rPr>
          <w:rFonts w:asciiTheme="minorHAnsi" w:eastAsiaTheme="minorHAnsi" w:hAnsiTheme="minorHAnsi" w:cstheme="minorHAnsi"/>
          <w:i/>
          <w:sz w:val="22"/>
          <w:szCs w:val="22"/>
          <w:lang w:val="en-GB"/>
        </w:rPr>
        <w:t xml:space="preserve"> -- </w:t>
      </w:r>
      <w:r w:rsidRPr="005963E4">
        <w:rPr>
          <w:rFonts w:asciiTheme="minorHAnsi" w:hAnsiTheme="minorHAnsi" w:cstheme="minorHAnsi"/>
          <w:i/>
          <w:sz w:val="22"/>
          <w:szCs w:val="22"/>
          <w:lang w:val="en-GB"/>
        </w:rPr>
        <w:t xml:space="preserve">address </w:t>
      </w:r>
      <w:r w:rsidRPr="005963E4">
        <w:rPr>
          <w:rFonts w:asciiTheme="minorHAnsi" w:eastAsiaTheme="minorHAnsi" w:hAnsiTheme="minorHAnsi" w:cstheme="minorHAnsi"/>
          <w:i/>
          <w:sz w:val="22"/>
          <w:szCs w:val="22"/>
          <w:lang w:val="en-GB"/>
        </w:rPr>
        <w:t xml:space="preserve">essential elements of the </w:t>
      </w:r>
      <w:r w:rsidRPr="005963E4">
        <w:rPr>
          <w:rFonts w:asciiTheme="minorHAnsi" w:hAnsiTheme="minorHAnsi" w:cstheme="minorHAnsi"/>
          <w:i/>
          <w:sz w:val="22"/>
          <w:szCs w:val="22"/>
          <w:lang w:val="en-GB"/>
        </w:rPr>
        <w:t>data protection framework</w:t>
      </w:r>
      <w:r w:rsidRPr="005963E4">
        <w:rPr>
          <w:rFonts w:asciiTheme="minorHAnsi" w:eastAsiaTheme="minorHAnsi" w:hAnsiTheme="minorHAnsi" w:cstheme="minorHAnsi"/>
          <w:i/>
          <w:sz w:val="22"/>
          <w:szCs w:val="22"/>
          <w:lang w:val="en-GB"/>
        </w:rPr>
        <w:t>.  However, under the Lisbon Treaty, delegated acts are intended to supplement “non-essential elements” of the Law.  Essential issues should be addressed in the Regulation, not deferred until a later date. Allowing the Commission to defer legislating on essential elements of the law undermines legal certainty and makes it difficult for companies to plan for compliance.  These Articles should be deleted.</w:t>
      </w:r>
    </w:p>
    <w:p w:rsidR="00587C3F" w:rsidRPr="005963E4" w:rsidRDefault="00587C3F" w:rsidP="00364E8D">
      <w:pPr>
        <w:pStyle w:val="ListParagraph"/>
        <w:jc w:val="both"/>
        <w:rPr>
          <w:rFonts w:asciiTheme="minorHAnsi" w:hAnsiTheme="minorHAnsi" w:cstheme="minorHAnsi"/>
          <w:i/>
          <w:sz w:val="22"/>
          <w:szCs w:val="22"/>
        </w:rPr>
      </w:pPr>
    </w:p>
    <w:p w:rsidR="00C00175" w:rsidRPr="005963E4" w:rsidRDefault="00C00175" w:rsidP="00364E8D">
      <w:pPr>
        <w:pStyle w:val="ListParagraph"/>
        <w:numPr>
          <w:ilvl w:val="0"/>
          <w:numId w:val="9"/>
        </w:numPr>
        <w:jc w:val="both"/>
        <w:rPr>
          <w:rFonts w:asciiTheme="minorHAnsi" w:hAnsiTheme="minorHAnsi" w:cstheme="minorHAnsi"/>
          <w:i/>
          <w:sz w:val="22"/>
          <w:szCs w:val="22"/>
          <w:lang w:val="en-GB"/>
        </w:rPr>
      </w:pPr>
      <w:r w:rsidRPr="005963E4">
        <w:rPr>
          <w:rFonts w:asciiTheme="minorHAnsi" w:hAnsiTheme="minorHAnsi" w:cstheme="minorHAnsi"/>
          <w:b/>
          <w:i/>
          <w:sz w:val="22"/>
          <w:szCs w:val="22"/>
          <w:lang w:val="en-GB"/>
        </w:rPr>
        <w:t>Consistent with EU policy, those delegated acts that allow the Commission to dictate how technologies should be developed should also be deleted</w:t>
      </w:r>
      <w:r w:rsidRPr="005963E4">
        <w:rPr>
          <w:rFonts w:asciiTheme="minorHAnsi" w:eastAsiaTheme="minorHAnsi" w:hAnsiTheme="minorHAnsi" w:cstheme="minorHAnsi"/>
          <w:b/>
          <w:i/>
          <w:sz w:val="22"/>
          <w:szCs w:val="22"/>
          <w:lang w:val="en-GB"/>
        </w:rPr>
        <w:t>.</w:t>
      </w:r>
      <w:r w:rsidRPr="005963E4">
        <w:rPr>
          <w:rFonts w:asciiTheme="minorHAnsi" w:eastAsiaTheme="minorHAnsi" w:hAnsiTheme="minorHAnsi" w:cstheme="minorHAnsi"/>
          <w:i/>
          <w:sz w:val="22"/>
          <w:szCs w:val="22"/>
          <w:lang w:val="en-GB"/>
        </w:rPr>
        <w:t xml:space="preserve"> </w:t>
      </w:r>
      <w:r w:rsidRPr="005963E4">
        <w:rPr>
          <w:rFonts w:asciiTheme="minorHAnsi" w:hAnsiTheme="minorHAnsi" w:cstheme="minorHAnsi"/>
          <w:i/>
          <w:sz w:val="22"/>
          <w:szCs w:val="22"/>
          <w:lang w:val="en-GB"/>
        </w:rPr>
        <w:t xml:space="preserve"> Certain</w:t>
      </w:r>
      <w:r w:rsidRPr="005963E4">
        <w:rPr>
          <w:rFonts w:asciiTheme="minorHAnsi" w:eastAsiaTheme="minorHAnsi" w:hAnsiTheme="minorHAnsi" w:cstheme="minorHAnsi"/>
          <w:i/>
          <w:sz w:val="22"/>
          <w:szCs w:val="22"/>
          <w:lang w:val="en-GB"/>
        </w:rPr>
        <w:t xml:space="preserve"> delegated acts</w:t>
      </w:r>
      <w:r w:rsidRPr="005963E4">
        <w:rPr>
          <w:rFonts w:asciiTheme="minorHAnsi" w:hAnsiTheme="minorHAnsi" w:cstheme="minorHAnsi"/>
          <w:i/>
          <w:sz w:val="22"/>
          <w:szCs w:val="22"/>
          <w:lang w:val="en-GB"/>
        </w:rPr>
        <w:t xml:space="preserve"> provisions</w:t>
      </w:r>
      <w:r w:rsidRPr="005963E4">
        <w:rPr>
          <w:rFonts w:asciiTheme="minorHAnsi" w:eastAsiaTheme="minorHAnsi" w:hAnsiTheme="minorHAnsi" w:cstheme="minorHAnsi"/>
          <w:i/>
          <w:sz w:val="22"/>
          <w:szCs w:val="22"/>
          <w:lang w:val="en-GB"/>
        </w:rPr>
        <w:t xml:space="preserve"> -- including Article 8(3), Article 17(9) and Article 30(3) -- threaten to undermine the principle of technology neutrality by allowing the Commission to adopt prescriptive rules, standards and formats.  Technology neutrality is well established in European law and policy.  Technology neutral policies allow for competition among different solutions, which in turn drives innovation.  At the same time, technology neutrality ensures that legislation is not “frozen in time,” as technology evolves.  But by allowing the Commission to dictate how obligations should be implemented at a technical level, these provisions give the Commission the power to substitute regulatory intervention for industry innovation. </w:t>
      </w:r>
      <w:r w:rsidRPr="005963E4">
        <w:rPr>
          <w:rFonts w:asciiTheme="minorHAnsi" w:hAnsiTheme="minorHAnsi" w:cstheme="minorHAnsi"/>
          <w:sz w:val="22"/>
          <w:szCs w:val="22"/>
          <w:lang w:val="en-GB"/>
        </w:rPr>
        <w:t xml:space="preserve"> </w:t>
      </w:r>
      <w:r w:rsidRPr="005963E4">
        <w:rPr>
          <w:rFonts w:asciiTheme="minorHAnsi" w:eastAsiaTheme="minorHAnsi" w:hAnsiTheme="minorHAnsi" w:cstheme="minorHAnsi"/>
          <w:i/>
          <w:sz w:val="22"/>
          <w:szCs w:val="22"/>
          <w:lang w:val="en-GB"/>
        </w:rPr>
        <w:t>Again, these Articles should be deleted.</w:t>
      </w:r>
    </w:p>
    <w:p w:rsidR="00C00175" w:rsidRPr="005963E4" w:rsidRDefault="00C00175" w:rsidP="00364E8D">
      <w:pPr>
        <w:pStyle w:val="ListParagraph"/>
        <w:rPr>
          <w:rFonts w:asciiTheme="minorHAnsi" w:hAnsiTheme="minorHAnsi" w:cstheme="minorHAnsi"/>
          <w:i/>
          <w:sz w:val="22"/>
          <w:szCs w:val="22"/>
        </w:rPr>
      </w:pPr>
    </w:p>
    <w:p w:rsidR="00D93D9A" w:rsidRPr="005963E4" w:rsidRDefault="00C00175" w:rsidP="00364E8D">
      <w:pPr>
        <w:pStyle w:val="ListParagraph"/>
        <w:numPr>
          <w:ilvl w:val="0"/>
          <w:numId w:val="9"/>
        </w:numPr>
        <w:jc w:val="both"/>
        <w:rPr>
          <w:rFonts w:asciiTheme="minorHAnsi" w:hAnsiTheme="minorHAnsi" w:cstheme="minorHAnsi"/>
          <w:i/>
          <w:sz w:val="22"/>
          <w:szCs w:val="22"/>
        </w:rPr>
      </w:pPr>
      <w:r w:rsidRPr="005963E4">
        <w:rPr>
          <w:rFonts w:asciiTheme="minorHAnsi" w:hAnsiTheme="minorHAnsi" w:cstheme="minorHAnsi"/>
          <w:b/>
          <w:i/>
          <w:sz w:val="22"/>
          <w:szCs w:val="22"/>
          <w:lang w:val="en-GB"/>
        </w:rPr>
        <w:t>D</w:t>
      </w:r>
      <w:r w:rsidR="00D93D9A" w:rsidRPr="005963E4">
        <w:rPr>
          <w:rFonts w:asciiTheme="minorHAnsi" w:hAnsiTheme="minorHAnsi" w:cstheme="minorHAnsi"/>
          <w:b/>
          <w:i/>
          <w:sz w:val="22"/>
          <w:szCs w:val="22"/>
          <w:lang w:val="en-GB"/>
        </w:rPr>
        <w:t xml:space="preserve">elegated acts that remain in the Regulation should be subject to a clear timetable for adoption.  </w:t>
      </w:r>
      <w:r w:rsidR="00D93D9A" w:rsidRPr="005963E4">
        <w:rPr>
          <w:rFonts w:asciiTheme="minorHAnsi" w:hAnsiTheme="minorHAnsi" w:cstheme="minorHAnsi"/>
          <w:i/>
          <w:sz w:val="22"/>
          <w:szCs w:val="22"/>
          <w:lang w:val="en-GB"/>
        </w:rPr>
        <w:t xml:space="preserve">Without a clear timeline for the adoption of delegated acts, controllers, processors and data subjects could face a lengthy period of uncertainty about their obligations and their rights.  The Article 29 Working Party has acknowledged this concern, stating in its Opinion on the proposal that “At the very least the Working Party calls on the Commission to set out which delegated acts it intends to adopt in the short, medium and long term.” </w:t>
      </w:r>
    </w:p>
    <w:p w:rsidR="00D93D9A" w:rsidRPr="005963E4" w:rsidRDefault="00D93D9A" w:rsidP="00364E8D">
      <w:pPr>
        <w:spacing w:after="0" w:line="240" w:lineRule="auto"/>
        <w:rPr>
          <w:rFonts w:cstheme="minorHAnsi"/>
          <w:i/>
          <w:lang w:val="en-GB"/>
        </w:rPr>
      </w:pPr>
    </w:p>
    <w:p w:rsidR="00C00175" w:rsidRPr="005963E4" w:rsidRDefault="00D93D9A" w:rsidP="00364E8D">
      <w:pPr>
        <w:spacing w:after="0" w:line="240" w:lineRule="auto"/>
        <w:rPr>
          <w:rFonts w:cstheme="minorHAnsi"/>
          <w:i/>
          <w:lang w:val="en-GB"/>
        </w:rPr>
      </w:pPr>
      <w:r w:rsidRPr="005963E4">
        <w:rPr>
          <w:rFonts w:cstheme="minorHAnsi"/>
          <w:i/>
          <w:lang w:val="en-GB"/>
        </w:rPr>
        <w:lastRenderedPageBreak/>
        <w:t>[Corresponding amendments will need to be made to Recital 129 and Recital 131 and Article 6(5), Article 8(3), Article 9(3), Article 17(9), Article 22(4), Article 26(5), Article 30(3), Article 31(5), Article 32(5), Article 33(6), Article 34(8), Article 43(3), Article 44(7), and Article 79(7).]</w:t>
      </w:r>
    </w:p>
    <w:p w:rsidR="00C00175" w:rsidRPr="005963E4" w:rsidRDefault="00C00175" w:rsidP="00364E8D">
      <w:pPr>
        <w:tabs>
          <w:tab w:val="left" w:pos="6663"/>
        </w:tabs>
        <w:spacing w:line="240" w:lineRule="auto"/>
        <w:jc w:val="center"/>
        <w:rPr>
          <w:rFonts w:cstheme="minorHAnsi"/>
          <w:i/>
          <w:lang w:val="en-GB"/>
        </w:rPr>
      </w:pPr>
      <w:r w:rsidRPr="005963E4">
        <w:rPr>
          <w:rFonts w:cstheme="minorHAnsi"/>
          <w:i/>
          <w:lang w:val="en-GB"/>
        </w:rPr>
        <w:br w:type="page"/>
      </w:r>
      <w:r w:rsidRPr="005963E4">
        <w:rPr>
          <w:rFonts w:cstheme="minorHAnsi"/>
          <w:b/>
          <w:u w:val="single"/>
          <w:lang w:val="en-GB"/>
        </w:rPr>
        <w:lastRenderedPageBreak/>
        <w:t>Administrative Sanctions</w:t>
      </w:r>
    </w:p>
    <w:p w:rsidR="00C00175" w:rsidRPr="005963E4" w:rsidRDefault="00C00175" w:rsidP="00364E8D">
      <w:pPr>
        <w:pStyle w:val="AMNumberTabs"/>
        <w:keepNext/>
        <w:rPr>
          <w:rFonts w:asciiTheme="minorHAnsi" w:hAnsiTheme="minorHAnsi" w:cstheme="minorHAnsi"/>
          <w:sz w:val="22"/>
          <w:szCs w:val="22"/>
        </w:rPr>
      </w:pPr>
      <w:r w:rsidRPr="005963E4">
        <w:rPr>
          <w:rFonts w:asciiTheme="minorHAnsi" w:hAnsiTheme="minorHAnsi" w:cstheme="minorHAnsi"/>
          <w:sz w:val="22"/>
          <w:szCs w:val="22"/>
        </w:rPr>
        <w:t>Amendment</w:t>
      </w:r>
      <w:r w:rsidRPr="005963E4">
        <w:rPr>
          <w:rFonts w:asciiTheme="minorHAnsi" w:hAnsiTheme="minorHAnsi" w:cstheme="minorHAnsi"/>
          <w:sz w:val="22"/>
          <w:szCs w:val="22"/>
        </w:rPr>
        <w:tab/>
      </w:r>
      <w:r w:rsidRPr="005963E4">
        <w:rPr>
          <w:rFonts w:asciiTheme="minorHAnsi" w:hAnsiTheme="minorHAnsi" w:cstheme="minorHAnsi"/>
          <w:sz w:val="22"/>
          <w:szCs w:val="22"/>
        </w:rPr>
        <w:tab/>
      </w:r>
    </w:p>
    <w:p w:rsidR="00C00175" w:rsidRPr="005963E4" w:rsidRDefault="00C00175" w:rsidP="00364E8D">
      <w:pPr>
        <w:pStyle w:val="NormalBold"/>
        <w:keepNext/>
        <w:rPr>
          <w:rFonts w:asciiTheme="minorHAnsi" w:hAnsiTheme="minorHAnsi" w:cstheme="minorHAnsi"/>
          <w:sz w:val="22"/>
          <w:szCs w:val="22"/>
        </w:rPr>
      </w:pPr>
      <w:r w:rsidRPr="005963E4">
        <w:rPr>
          <w:rFonts w:asciiTheme="minorHAnsi" w:hAnsiTheme="minorHAnsi" w:cstheme="minorHAnsi"/>
          <w:sz w:val="22"/>
          <w:szCs w:val="22"/>
        </w:rPr>
        <w:t>Proposal for a regulation</w:t>
      </w:r>
    </w:p>
    <w:p w:rsidR="00C00175" w:rsidRPr="005963E4" w:rsidRDefault="00C00175" w:rsidP="00364E8D">
      <w:pPr>
        <w:spacing w:after="0" w:line="240" w:lineRule="auto"/>
        <w:rPr>
          <w:rFonts w:cstheme="minorHAnsi"/>
          <w:b/>
          <w:lang w:val="en-GB"/>
        </w:rPr>
      </w:pPr>
      <w:r w:rsidRPr="005963E4">
        <w:rPr>
          <w:rFonts w:cstheme="minorHAnsi"/>
          <w:b/>
          <w:lang w:val="en-GB"/>
        </w:rPr>
        <w:t>Article 79</w:t>
      </w:r>
    </w:p>
    <w:p w:rsidR="00D93D9A" w:rsidRPr="005963E4" w:rsidRDefault="00D93D9A" w:rsidP="00364E8D">
      <w:pPr>
        <w:spacing w:after="0" w:line="240" w:lineRule="auto"/>
        <w:rPr>
          <w:rFonts w:cstheme="minorHAnsi"/>
          <w:lang w:val="en-GB"/>
        </w:rPr>
      </w:pPr>
    </w:p>
    <w:tbl>
      <w:tblPr>
        <w:tblW w:w="9752" w:type="dxa"/>
        <w:jc w:val="center"/>
        <w:tblLayout w:type="fixed"/>
        <w:tblCellMar>
          <w:left w:w="340" w:type="dxa"/>
          <w:right w:w="340" w:type="dxa"/>
        </w:tblCellMar>
        <w:tblLook w:val="0000" w:firstRow="0" w:lastRow="0" w:firstColumn="0" w:lastColumn="0" w:noHBand="0" w:noVBand="0"/>
      </w:tblPr>
      <w:tblGrid>
        <w:gridCol w:w="4922"/>
        <w:gridCol w:w="4830"/>
      </w:tblGrid>
      <w:tr w:rsidR="00024DD8" w:rsidRPr="005963E4" w:rsidTr="003D0B6F">
        <w:trPr>
          <w:jc w:val="center"/>
        </w:trPr>
        <w:tc>
          <w:tcPr>
            <w:tcW w:w="4876" w:type="dxa"/>
          </w:tcPr>
          <w:p w:rsidR="00024DD8" w:rsidRPr="005963E4" w:rsidRDefault="00C00175" w:rsidP="00364E8D">
            <w:pPr>
              <w:pStyle w:val="ColumnHeading"/>
              <w:keepNext/>
              <w:spacing w:after="0"/>
              <w:rPr>
                <w:rFonts w:asciiTheme="minorHAnsi" w:hAnsiTheme="minorHAnsi" w:cstheme="minorHAnsi"/>
                <w:sz w:val="22"/>
                <w:szCs w:val="22"/>
              </w:rPr>
            </w:pPr>
            <w:r w:rsidRPr="005963E4">
              <w:rPr>
                <w:rFonts w:asciiTheme="minorHAnsi" w:hAnsiTheme="minorHAnsi" w:cstheme="minorHAnsi"/>
                <w:sz w:val="22"/>
                <w:szCs w:val="22"/>
              </w:rPr>
              <w:t>Text proposed by the Commission</w:t>
            </w:r>
          </w:p>
        </w:tc>
        <w:tc>
          <w:tcPr>
            <w:tcW w:w="4785" w:type="dxa"/>
          </w:tcPr>
          <w:p w:rsidR="00024DD8" w:rsidRPr="005963E4" w:rsidRDefault="00024DD8" w:rsidP="00364E8D">
            <w:pPr>
              <w:pStyle w:val="ColumnHeading"/>
              <w:keepNext/>
              <w:rPr>
                <w:rFonts w:asciiTheme="minorHAnsi" w:hAnsiTheme="minorHAnsi" w:cstheme="minorHAnsi"/>
                <w:sz w:val="22"/>
                <w:szCs w:val="22"/>
              </w:rPr>
            </w:pPr>
            <w:r w:rsidRPr="005963E4">
              <w:rPr>
                <w:rFonts w:asciiTheme="minorHAnsi" w:hAnsiTheme="minorHAnsi" w:cstheme="minorHAnsi"/>
                <w:sz w:val="22"/>
                <w:szCs w:val="22"/>
              </w:rPr>
              <w:t>Amendment</w:t>
            </w:r>
          </w:p>
        </w:tc>
      </w:tr>
      <w:tr w:rsidR="00024DD8" w:rsidRPr="005963E4" w:rsidTr="003D0B6F">
        <w:trPr>
          <w:jc w:val="center"/>
        </w:trPr>
        <w:tc>
          <w:tcPr>
            <w:tcW w:w="4876" w:type="dxa"/>
          </w:tcPr>
          <w:p w:rsidR="00024DD8" w:rsidRPr="005963E4" w:rsidRDefault="00024DD8" w:rsidP="00364E8D">
            <w:pPr>
              <w:spacing w:after="0" w:line="240" w:lineRule="auto"/>
              <w:jc w:val="both"/>
              <w:rPr>
                <w:rFonts w:cstheme="minorHAnsi"/>
                <w:lang w:val="en-GB"/>
              </w:rPr>
            </w:pPr>
            <w:r w:rsidRPr="005963E4">
              <w:rPr>
                <w:rFonts w:cstheme="minorHAnsi"/>
                <w:lang w:val="en-GB"/>
              </w:rPr>
              <w:t>1. Each supervisory authority shall be empowered to impose administrative sanctions in accordance with this Article.</w:t>
            </w:r>
          </w:p>
          <w:p w:rsidR="00024DD8" w:rsidRPr="005963E4" w:rsidRDefault="00024DD8" w:rsidP="00364E8D">
            <w:pPr>
              <w:spacing w:after="0" w:line="240" w:lineRule="auto"/>
              <w:jc w:val="both"/>
              <w:rPr>
                <w:rFonts w:cstheme="minorHAnsi"/>
                <w:lang w:val="en-GB"/>
              </w:rPr>
            </w:pPr>
          </w:p>
          <w:p w:rsidR="00364E8D" w:rsidRPr="005963E4" w:rsidRDefault="00364E8D" w:rsidP="00364E8D">
            <w:pPr>
              <w:spacing w:after="0" w:line="240" w:lineRule="auto"/>
              <w:jc w:val="both"/>
              <w:rPr>
                <w:rFonts w:cstheme="minorHAnsi"/>
                <w:lang w:val="en-GB"/>
              </w:rPr>
            </w:pPr>
          </w:p>
          <w:p w:rsidR="00024DD8" w:rsidRPr="005963E4" w:rsidRDefault="00024DD8" w:rsidP="00364E8D">
            <w:pPr>
              <w:spacing w:after="0" w:line="240" w:lineRule="auto"/>
              <w:jc w:val="both"/>
              <w:rPr>
                <w:rFonts w:cstheme="minorHAnsi"/>
                <w:lang w:val="en-GB"/>
              </w:rPr>
            </w:pPr>
            <w:r w:rsidRPr="005963E4">
              <w:rPr>
                <w:rFonts w:cstheme="minorHAnsi"/>
                <w:lang w:val="en-GB"/>
              </w:rPr>
              <w:t xml:space="preserve">2. The administrative sanction shall be in each individual case effective, proportionate and dissuasive. </w:t>
            </w:r>
            <w:r w:rsidR="007A2128" w:rsidRPr="005963E4">
              <w:rPr>
                <w:rFonts w:cstheme="minorHAnsi"/>
                <w:lang w:val="en-GB"/>
              </w:rPr>
              <w:t xml:space="preserve"> </w:t>
            </w:r>
            <w:r w:rsidRPr="005963E4">
              <w:rPr>
                <w:rFonts w:cstheme="minorHAnsi"/>
                <w:lang w:val="en-GB"/>
              </w:rPr>
              <w:t>The amount of the administrative fine shall be fixed with due regard to the nature, gravity and duration of the breach, the intentional or negligent character of the infringement, the degree of responsibility of the natural or legal person and of previous breaches by this person, the technical and organisational measures and procedures implemented pursuant to Article 23 and the degree of co</w:t>
            </w:r>
            <w:r w:rsidR="00CF4E57" w:rsidRPr="005963E4">
              <w:rPr>
                <w:rFonts w:cstheme="minorHAnsi"/>
                <w:lang w:val="en-GB"/>
              </w:rPr>
              <w:t>-</w:t>
            </w:r>
            <w:r w:rsidRPr="005963E4">
              <w:rPr>
                <w:rFonts w:cstheme="minorHAnsi"/>
                <w:lang w:val="en-GB"/>
              </w:rPr>
              <w:t>operation with the supervisory authority in order to remedy the breach and the degree of co-operation with the supervisory authority in order to remedy the breach</w:t>
            </w:r>
          </w:p>
          <w:p w:rsidR="00024DD8" w:rsidRPr="005963E4" w:rsidRDefault="00024DD8" w:rsidP="00364E8D">
            <w:pPr>
              <w:spacing w:after="0" w:line="240" w:lineRule="auto"/>
              <w:jc w:val="both"/>
              <w:rPr>
                <w:rFonts w:cstheme="minorHAnsi"/>
                <w:lang w:val="en-GB"/>
              </w:rPr>
            </w:pPr>
          </w:p>
          <w:p w:rsidR="00024DD8" w:rsidRPr="005963E4" w:rsidRDefault="00024DD8" w:rsidP="00364E8D">
            <w:pPr>
              <w:spacing w:after="0" w:line="240" w:lineRule="auto"/>
              <w:jc w:val="both"/>
              <w:rPr>
                <w:rFonts w:cstheme="minorHAnsi"/>
                <w:lang w:val="en-GB"/>
              </w:rPr>
            </w:pPr>
          </w:p>
          <w:p w:rsidR="00024DD8" w:rsidRPr="005963E4" w:rsidRDefault="00024DD8" w:rsidP="00364E8D">
            <w:pPr>
              <w:spacing w:after="0" w:line="240" w:lineRule="auto"/>
              <w:jc w:val="both"/>
              <w:rPr>
                <w:rFonts w:cstheme="minorHAnsi"/>
                <w:lang w:val="en-GB"/>
              </w:rPr>
            </w:pPr>
          </w:p>
          <w:p w:rsidR="00024DD8" w:rsidRPr="005963E4" w:rsidRDefault="00024DD8" w:rsidP="00364E8D">
            <w:pPr>
              <w:spacing w:after="0" w:line="240" w:lineRule="auto"/>
              <w:jc w:val="both"/>
              <w:rPr>
                <w:rFonts w:cstheme="minorHAnsi"/>
                <w:lang w:val="en-GB"/>
              </w:rPr>
            </w:pPr>
          </w:p>
          <w:p w:rsidR="00024DD8" w:rsidRPr="005963E4" w:rsidRDefault="00024DD8" w:rsidP="00364E8D">
            <w:pPr>
              <w:spacing w:after="0" w:line="240" w:lineRule="auto"/>
              <w:jc w:val="both"/>
              <w:rPr>
                <w:rFonts w:cstheme="minorHAnsi"/>
                <w:lang w:val="en-GB"/>
              </w:rPr>
            </w:pPr>
          </w:p>
          <w:p w:rsidR="00024DD8" w:rsidRPr="005963E4" w:rsidRDefault="00024DD8" w:rsidP="00364E8D">
            <w:pPr>
              <w:spacing w:after="0" w:line="240" w:lineRule="auto"/>
              <w:jc w:val="both"/>
              <w:rPr>
                <w:rFonts w:cstheme="minorHAnsi"/>
                <w:lang w:val="en-GB"/>
              </w:rPr>
            </w:pPr>
          </w:p>
          <w:p w:rsidR="00C00175" w:rsidRPr="005963E4" w:rsidRDefault="00C00175" w:rsidP="00364E8D">
            <w:pPr>
              <w:spacing w:after="0" w:line="240" w:lineRule="auto"/>
              <w:jc w:val="both"/>
              <w:rPr>
                <w:rFonts w:cstheme="minorHAnsi"/>
                <w:lang w:val="en-GB"/>
              </w:rPr>
            </w:pPr>
          </w:p>
          <w:p w:rsidR="00C00175" w:rsidRPr="005963E4" w:rsidRDefault="00C00175" w:rsidP="00364E8D">
            <w:pPr>
              <w:spacing w:after="0" w:line="240" w:lineRule="auto"/>
              <w:jc w:val="both"/>
              <w:rPr>
                <w:rFonts w:cstheme="minorHAnsi"/>
                <w:lang w:val="en-GB"/>
              </w:rPr>
            </w:pPr>
          </w:p>
          <w:p w:rsidR="00C00175" w:rsidRPr="005963E4" w:rsidRDefault="00C00175" w:rsidP="00364E8D">
            <w:pPr>
              <w:spacing w:after="0" w:line="240" w:lineRule="auto"/>
              <w:jc w:val="both"/>
              <w:rPr>
                <w:rFonts w:cstheme="minorHAnsi"/>
                <w:lang w:val="en-GB"/>
              </w:rPr>
            </w:pPr>
          </w:p>
          <w:p w:rsidR="00C00175" w:rsidRPr="005963E4" w:rsidRDefault="00C00175" w:rsidP="00364E8D">
            <w:pPr>
              <w:spacing w:after="0" w:line="240" w:lineRule="auto"/>
              <w:jc w:val="both"/>
              <w:rPr>
                <w:rFonts w:cstheme="minorHAnsi"/>
                <w:lang w:val="en-GB"/>
              </w:rPr>
            </w:pPr>
          </w:p>
          <w:p w:rsidR="00C00175" w:rsidRPr="005963E4" w:rsidRDefault="00C00175" w:rsidP="00364E8D">
            <w:pPr>
              <w:spacing w:after="0" w:line="240" w:lineRule="auto"/>
              <w:jc w:val="both"/>
              <w:rPr>
                <w:rFonts w:cstheme="minorHAnsi"/>
                <w:lang w:val="en-GB"/>
              </w:rPr>
            </w:pPr>
          </w:p>
          <w:p w:rsidR="00C00175" w:rsidRPr="005963E4" w:rsidRDefault="00C00175" w:rsidP="00364E8D">
            <w:pPr>
              <w:spacing w:after="0" w:line="240" w:lineRule="auto"/>
              <w:jc w:val="both"/>
              <w:rPr>
                <w:rFonts w:cstheme="minorHAnsi"/>
                <w:lang w:val="en-GB"/>
              </w:rPr>
            </w:pPr>
          </w:p>
          <w:p w:rsidR="00C00175" w:rsidRPr="005963E4" w:rsidRDefault="00C00175" w:rsidP="00364E8D">
            <w:pPr>
              <w:spacing w:after="0" w:line="240" w:lineRule="auto"/>
              <w:jc w:val="both"/>
              <w:rPr>
                <w:rFonts w:cstheme="minorHAnsi"/>
                <w:lang w:val="en-GB"/>
              </w:rPr>
            </w:pPr>
          </w:p>
          <w:p w:rsidR="00C00175" w:rsidRPr="005963E4" w:rsidRDefault="00C00175" w:rsidP="00364E8D">
            <w:pPr>
              <w:spacing w:after="0" w:line="240" w:lineRule="auto"/>
              <w:jc w:val="both"/>
              <w:rPr>
                <w:rFonts w:cstheme="minorHAnsi"/>
                <w:lang w:val="en-GB"/>
              </w:rPr>
            </w:pPr>
          </w:p>
          <w:p w:rsidR="00C00175" w:rsidRPr="005963E4" w:rsidRDefault="00C00175" w:rsidP="00364E8D">
            <w:pPr>
              <w:spacing w:after="0" w:line="240" w:lineRule="auto"/>
              <w:jc w:val="both"/>
              <w:rPr>
                <w:rFonts w:cstheme="minorHAnsi"/>
                <w:lang w:val="en-GB"/>
              </w:rPr>
            </w:pPr>
          </w:p>
          <w:p w:rsidR="00C00175" w:rsidRPr="005963E4" w:rsidRDefault="00C00175" w:rsidP="00364E8D">
            <w:pPr>
              <w:spacing w:after="0" w:line="240" w:lineRule="auto"/>
              <w:jc w:val="both"/>
              <w:rPr>
                <w:rFonts w:cstheme="minorHAnsi"/>
                <w:lang w:val="en-GB"/>
              </w:rPr>
            </w:pPr>
          </w:p>
          <w:p w:rsidR="00C00175" w:rsidRPr="005963E4" w:rsidRDefault="00C00175" w:rsidP="00364E8D">
            <w:pPr>
              <w:spacing w:after="0" w:line="240" w:lineRule="auto"/>
              <w:jc w:val="both"/>
              <w:rPr>
                <w:rFonts w:cstheme="minorHAnsi"/>
                <w:lang w:val="en-GB"/>
              </w:rPr>
            </w:pPr>
          </w:p>
          <w:p w:rsidR="00C00175" w:rsidRPr="005963E4" w:rsidRDefault="00C00175" w:rsidP="00364E8D">
            <w:pPr>
              <w:spacing w:after="0" w:line="240" w:lineRule="auto"/>
              <w:jc w:val="both"/>
              <w:rPr>
                <w:rFonts w:cstheme="minorHAnsi"/>
                <w:lang w:val="en-GB"/>
              </w:rPr>
            </w:pPr>
          </w:p>
          <w:p w:rsidR="00C00175" w:rsidRPr="005963E4" w:rsidRDefault="00C00175" w:rsidP="00364E8D">
            <w:pPr>
              <w:spacing w:after="0" w:line="240" w:lineRule="auto"/>
              <w:jc w:val="both"/>
              <w:rPr>
                <w:rFonts w:cstheme="minorHAnsi"/>
                <w:lang w:val="en-GB"/>
              </w:rPr>
            </w:pPr>
          </w:p>
          <w:p w:rsidR="00C00175" w:rsidRPr="005963E4" w:rsidRDefault="00C00175" w:rsidP="00364E8D">
            <w:pPr>
              <w:spacing w:after="0" w:line="240" w:lineRule="auto"/>
              <w:jc w:val="both"/>
              <w:rPr>
                <w:rFonts w:cstheme="minorHAnsi"/>
                <w:lang w:val="en-GB"/>
              </w:rPr>
            </w:pPr>
          </w:p>
          <w:p w:rsidR="00C00175" w:rsidRPr="005963E4" w:rsidRDefault="00C00175" w:rsidP="00364E8D">
            <w:pPr>
              <w:spacing w:after="0" w:line="240" w:lineRule="auto"/>
              <w:jc w:val="both"/>
              <w:rPr>
                <w:rFonts w:cstheme="minorHAnsi"/>
                <w:lang w:val="en-GB"/>
              </w:rPr>
            </w:pPr>
          </w:p>
          <w:p w:rsidR="00C00175" w:rsidRPr="005963E4" w:rsidRDefault="00C00175" w:rsidP="00364E8D">
            <w:pPr>
              <w:spacing w:after="0" w:line="240" w:lineRule="auto"/>
              <w:jc w:val="both"/>
              <w:rPr>
                <w:rFonts w:cstheme="minorHAnsi"/>
                <w:lang w:val="en-GB"/>
              </w:rPr>
            </w:pPr>
          </w:p>
          <w:p w:rsidR="00C00175" w:rsidRPr="005963E4" w:rsidRDefault="00C00175" w:rsidP="00364E8D">
            <w:pPr>
              <w:spacing w:after="0" w:line="240" w:lineRule="auto"/>
              <w:jc w:val="both"/>
              <w:rPr>
                <w:rFonts w:cstheme="minorHAnsi"/>
                <w:lang w:val="en-GB"/>
              </w:rPr>
            </w:pPr>
          </w:p>
          <w:p w:rsidR="00C00175" w:rsidRPr="005963E4" w:rsidRDefault="00C00175" w:rsidP="00364E8D">
            <w:pPr>
              <w:spacing w:after="0" w:line="240" w:lineRule="auto"/>
              <w:jc w:val="both"/>
              <w:rPr>
                <w:rFonts w:cstheme="minorHAnsi"/>
                <w:lang w:val="en-GB"/>
              </w:rPr>
            </w:pPr>
          </w:p>
          <w:p w:rsidR="00C00175" w:rsidRPr="005963E4" w:rsidRDefault="00C00175" w:rsidP="00364E8D">
            <w:pPr>
              <w:spacing w:after="0" w:line="240" w:lineRule="auto"/>
              <w:jc w:val="both"/>
              <w:rPr>
                <w:rFonts w:cstheme="minorHAnsi"/>
                <w:lang w:val="en-GB"/>
              </w:rPr>
            </w:pPr>
          </w:p>
          <w:p w:rsidR="007A2128" w:rsidRPr="005963E4" w:rsidRDefault="007A2128" w:rsidP="00364E8D">
            <w:pPr>
              <w:spacing w:after="0" w:line="240" w:lineRule="auto"/>
              <w:jc w:val="both"/>
              <w:rPr>
                <w:rFonts w:cstheme="minorHAnsi"/>
                <w:lang w:val="en-GB"/>
              </w:rPr>
            </w:pPr>
          </w:p>
          <w:p w:rsidR="007A2128" w:rsidRPr="005963E4" w:rsidRDefault="007A2128" w:rsidP="00364E8D">
            <w:pPr>
              <w:spacing w:after="0" w:line="240" w:lineRule="auto"/>
              <w:jc w:val="both"/>
              <w:rPr>
                <w:rFonts w:cstheme="minorHAnsi"/>
                <w:lang w:val="en-GB"/>
              </w:rPr>
            </w:pPr>
          </w:p>
          <w:p w:rsidR="007A2128" w:rsidRPr="005963E4" w:rsidRDefault="007A2128" w:rsidP="00364E8D">
            <w:pPr>
              <w:spacing w:after="0" w:line="240" w:lineRule="auto"/>
              <w:jc w:val="both"/>
              <w:rPr>
                <w:rFonts w:cstheme="minorHAnsi"/>
                <w:lang w:val="en-GB"/>
              </w:rPr>
            </w:pPr>
          </w:p>
          <w:p w:rsidR="007A2128" w:rsidRPr="005963E4" w:rsidRDefault="007A2128" w:rsidP="00364E8D">
            <w:pPr>
              <w:spacing w:after="0" w:line="240" w:lineRule="auto"/>
              <w:jc w:val="both"/>
              <w:rPr>
                <w:rFonts w:cstheme="minorHAnsi"/>
                <w:lang w:val="en-GB"/>
              </w:rPr>
            </w:pPr>
          </w:p>
          <w:p w:rsidR="007A2128" w:rsidRPr="005963E4" w:rsidRDefault="007A2128" w:rsidP="00364E8D">
            <w:pPr>
              <w:spacing w:after="0" w:line="240" w:lineRule="auto"/>
              <w:jc w:val="both"/>
              <w:rPr>
                <w:rFonts w:cstheme="minorHAnsi"/>
                <w:lang w:val="en-GB"/>
              </w:rPr>
            </w:pPr>
          </w:p>
          <w:p w:rsidR="007A2128" w:rsidRPr="005963E4" w:rsidRDefault="007A2128" w:rsidP="00364E8D">
            <w:pPr>
              <w:spacing w:after="0" w:line="240" w:lineRule="auto"/>
              <w:jc w:val="both"/>
              <w:rPr>
                <w:rFonts w:cstheme="minorHAnsi"/>
                <w:lang w:val="en-GB"/>
              </w:rPr>
            </w:pPr>
          </w:p>
          <w:p w:rsidR="007A2128" w:rsidRPr="005963E4" w:rsidRDefault="007A2128" w:rsidP="00364E8D">
            <w:pPr>
              <w:spacing w:after="0" w:line="240" w:lineRule="auto"/>
              <w:jc w:val="both"/>
              <w:rPr>
                <w:rFonts w:cstheme="minorHAnsi"/>
                <w:lang w:val="en-GB"/>
              </w:rPr>
            </w:pPr>
          </w:p>
          <w:p w:rsidR="007A2128" w:rsidRPr="005963E4" w:rsidRDefault="007A2128" w:rsidP="00364E8D">
            <w:pPr>
              <w:spacing w:after="0" w:line="240" w:lineRule="auto"/>
              <w:jc w:val="both"/>
              <w:rPr>
                <w:rFonts w:cstheme="minorHAnsi"/>
                <w:lang w:val="en-GB"/>
              </w:rPr>
            </w:pPr>
          </w:p>
          <w:p w:rsidR="007A2128" w:rsidRPr="005963E4" w:rsidRDefault="007A2128" w:rsidP="00364E8D">
            <w:pPr>
              <w:spacing w:after="0" w:line="240" w:lineRule="auto"/>
              <w:jc w:val="both"/>
              <w:rPr>
                <w:rFonts w:cstheme="minorHAnsi"/>
                <w:lang w:val="en-GB"/>
              </w:rPr>
            </w:pPr>
          </w:p>
          <w:p w:rsidR="003D0B6F" w:rsidRPr="005963E4" w:rsidRDefault="003D0B6F" w:rsidP="00364E8D">
            <w:pPr>
              <w:spacing w:after="0" w:line="240" w:lineRule="auto"/>
              <w:jc w:val="both"/>
              <w:rPr>
                <w:rFonts w:cstheme="minorHAnsi"/>
                <w:lang w:val="en-GB"/>
              </w:rPr>
            </w:pPr>
          </w:p>
          <w:p w:rsidR="007A2128" w:rsidRPr="005963E4" w:rsidRDefault="007A2128" w:rsidP="00364E8D">
            <w:pPr>
              <w:spacing w:after="0" w:line="240" w:lineRule="auto"/>
              <w:jc w:val="both"/>
              <w:rPr>
                <w:rFonts w:cstheme="minorHAnsi"/>
                <w:lang w:val="en-GB"/>
              </w:rPr>
            </w:pPr>
          </w:p>
          <w:p w:rsidR="007A2128" w:rsidRPr="005963E4" w:rsidRDefault="007A2128" w:rsidP="00364E8D">
            <w:pPr>
              <w:spacing w:after="0" w:line="240" w:lineRule="auto"/>
              <w:jc w:val="both"/>
              <w:rPr>
                <w:rFonts w:cstheme="minorHAnsi"/>
                <w:lang w:val="en-GB"/>
              </w:rPr>
            </w:pPr>
          </w:p>
          <w:p w:rsidR="007A2128" w:rsidRPr="005963E4" w:rsidRDefault="007A2128" w:rsidP="00364E8D">
            <w:pPr>
              <w:spacing w:after="0" w:line="240" w:lineRule="auto"/>
              <w:jc w:val="both"/>
              <w:rPr>
                <w:rFonts w:cstheme="minorHAnsi"/>
                <w:lang w:val="en-GB"/>
              </w:rPr>
            </w:pPr>
          </w:p>
          <w:p w:rsidR="00A4212B" w:rsidRPr="005963E4" w:rsidRDefault="00A4212B" w:rsidP="00364E8D">
            <w:pPr>
              <w:spacing w:after="0" w:line="240" w:lineRule="auto"/>
              <w:jc w:val="both"/>
              <w:rPr>
                <w:rFonts w:cstheme="minorHAnsi"/>
                <w:lang w:val="en-GB"/>
              </w:rPr>
            </w:pPr>
          </w:p>
          <w:p w:rsidR="007A2128" w:rsidRPr="005963E4" w:rsidRDefault="007A2128" w:rsidP="00364E8D">
            <w:pPr>
              <w:spacing w:after="0" w:line="240" w:lineRule="auto"/>
              <w:jc w:val="both"/>
              <w:rPr>
                <w:rFonts w:cstheme="minorHAnsi"/>
                <w:lang w:val="en-GB"/>
              </w:rPr>
            </w:pPr>
          </w:p>
          <w:p w:rsidR="007A2128" w:rsidRPr="005963E4" w:rsidRDefault="007A2128" w:rsidP="00364E8D">
            <w:pPr>
              <w:spacing w:after="0" w:line="240" w:lineRule="auto"/>
              <w:jc w:val="both"/>
              <w:rPr>
                <w:rFonts w:cstheme="minorHAnsi"/>
                <w:lang w:val="en-GB"/>
              </w:rPr>
            </w:pPr>
          </w:p>
          <w:p w:rsidR="007A2128" w:rsidRPr="005963E4" w:rsidRDefault="007A2128" w:rsidP="00364E8D">
            <w:pPr>
              <w:spacing w:after="0" w:line="240" w:lineRule="auto"/>
              <w:jc w:val="both"/>
              <w:rPr>
                <w:rFonts w:cstheme="minorHAnsi"/>
                <w:lang w:val="en-GB"/>
              </w:rPr>
            </w:pPr>
          </w:p>
          <w:p w:rsidR="00C31EA9" w:rsidRPr="005963E4" w:rsidRDefault="00C31EA9" w:rsidP="00364E8D">
            <w:pPr>
              <w:spacing w:after="0" w:line="240" w:lineRule="auto"/>
              <w:jc w:val="both"/>
              <w:rPr>
                <w:rFonts w:cstheme="minorHAnsi"/>
                <w:lang w:val="en-GB"/>
              </w:rPr>
            </w:pPr>
          </w:p>
          <w:p w:rsidR="00F0476F" w:rsidRPr="005963E4" w:rsidRDefault="00F0476F" w:rsidP="00364E8D">
            <w:pPr>
              <w:spacing w:after="0" w:line="240" w:lineRule="auto"/>
              <w:jc w:val="both"/>
              <w:rPr>
                <w:rFonts w:cstheme="minorHAnsi"/>
                <w:lang w:val="en-GB"/>
              </w:rPr>
            </w:pPr>
            <w:r w:rsidRPr="005963E4">
              <w:rPr>
                <w:rFonts w:cstheme="minorHAnsi"/>
                <w:lang w:val="en-GB"/>
              </w:rPr>
              <w:t>3. In case of a first and non-intentional non-compliance with this Regulation, a warning in writing may be given and no sanction imposed, where:</w:t>
            </w:r>
          </w:p>
          <w:p w:rsidR="00F0476F" w:rsidRPr="005963E4" w:rsidRDefault="00F0476F" w:rsidP="00364E8D">
            <w:pPr>
              <w:spacing w:after="0" w:line="240" w:lineRule="auto"/>
              <w:jc w:val="both"/>
              <w:rPr>
                <w:rFonts w:cstheme="minorHAnsi"/>
                <w:lang w:val="en-GB"/>
              </w:rPr>
            </w:pPr>
          </w:p>
          <w:p w:rsidR="00F0476F" w:rsidRPr="005963E4" w:rsidRDefault="00F0476F" w:rsidP="00364E8D">
            <w:pPr>
              <w:spacing w:after="0" w:line="240" w:lineRule="auto"/>
              <w:jc w:val="both"/>
              <w:rPr>
                <w:rFonts w:cstheme="minorHAnsi"/>
                <w:lang w:val="en-GB"/>
              </w:rPr>
            </w:pPr>
            <w:r w:rsidRPr="005963E4">
              <w:rPr>
                <w:rFonts w:cstheme="minorHAnsi"/>
                <w:lang w:val="en-GB"/>
              </w:rPr>
              <w:t>(a) a natural person is processing personal data without a commercial interest; or</w:t>
            </w:r>
          </w:p>
          <w:p w:rsidR="00F0476F" w:rsidRPr="005963E4" w:rsidRDefault="00F0476F" w:rsidP="00364E8D">
            <w:pPr>
              <w:spacing w:after="0" w:line="240" w:lineRule="auto"/>
              <w:jc w:val="both"/>
              <w:rPr>
                <w:rFonts w:cstheme="minorHAnsi"/>
                <w:lang w:val="en-GB"/>
              </w:rPr>
            </w:pPr>
          </w:p>
          <w:p w:rsidR="00FC01D7" w:rsidRPr="005963E4" w:rsidRDefault="00F0476F" w:rsidP="00364E8D">
            <w:pPr>
              <w:spacing w:after="0" w:line="240" w:lineRule="auto"/>
              <w:jc w:val="both"/>
              <w:rPr>
                <w:rFonts w:cstheme="minorHAnsi"/>
                <w:lang w:val="en-GB"/>
              </w:rPr>
            </w:pPr>
            <w:r w:rsidRPr="005963E4">
              <w:rPr>
                <w:rFonts w:cstheme="minorHAnsi"/>
                <w:lang w:val="en-GB"/>
              </w:rPr>
              <w:t xml:space="preserve">(b) </w:t>
            </w:r>
            <w:proofErr w:type="gramStart"/>
            <w:r w:rsidRPr="005963E4">
              <w:rPr>
                <w:rFonts w:cstheme="minorHAnsi"/>
                <w:lang w:val="en-GB"/>
              </w:rPr>
              <w:t>an</w:t>
            </w:r>
            <w:proofErr w:type="gramEnd"/>
            <w:r w:rsidRPr="005963E4">
              <w:rPr>
                <w:rFonts w:cstheme="minorHAnsi"/>
                <w:lang w:val="en-GB"/>
              </w:rPr>
              <w:t xml:space="preserve"> enterprise or an organisation employing fewer than 250 persons is processing personal data only as an activity ancillary to its main activities.</w:t>
            </w:r>
          </w:p>
          <w:p w:rsidR="00FC01D7" w:rsidRPr="005963E4" w:rsidRDefault="00FC01D7" w:rsidP="00364E8D">
            <w:pPr>
              <w:spacing w:after="0" w:line="240" w:lineRule="auto"/>
              <w:jc w:val="both"/>
              <w:rPr>
                <w:rFonts w:cstheme="minorHAnsi"/>
                <w:lang w:val="en-GB"/>
              </w:rPr>
            </w:pPr>
          </w:p>
          <w:p w:rsidR="00024DD8" w:rsidRPr="005963E4" w:rsidRDefault="00024DD8" w:rsidP="00364E8D">
            <w:pPr>
              <w:spacing w:after="0" w:line="240" w:lineRule="auto"/>
              <w:jc w:val="both"/>
              <w:rPr>
                <w:rFonts w:cstheme="minorHAnsi"/>
                <w:lang w:val="en-GB"/>
              </w:rPr>
            </w:pPr>
            <w:r w:rsidRPr="005963E4">
              <w:rPr>
                <w:rFonts w:cstheme="minorHAnsi"/>
                <w:lang w:val="en-GB"/>
              </w:rPr>
              <w:t xml:space="preserve">4. The supervisory authority </w:t>
            </w:r>
            <w:r w:rsidRPr="005963E4">
              <w:rPr>
                <w:rFonts w:cstheme="minorHAnsi"/>
                <w:b/>
                <w:i/>
                <w:lang w:val="en-GB"/>
              </w:rPr>
              <w:t>shall</w:t>
            </w:r>
            <w:r w:rsidRPr="005963E4">
              <w:rPr>
                <w:rFonts w:cstheme="minorHAnsi"/>
                <w:lang w:val="en-GB"/>
              </w:rPr>
              <w:t xml:space="preserve"> impose a fine up to 250 000 EUR, or in case of an enterprise up to 0,5 % of its annual worldwide turnover, to anyone who, </w:t>
            </w:r>
            <w:r w:rsidRPr="005963E4">
              <w:rPr>
                <w:rFonts w:cstheme="minorHAnsi"/>
                <w:b/>
                <w:i/>
                <w:lang w:val="en-GB"/>
              </w:rPr>
              <w:t>intentionally or negligently</w:t>
            </w:r>
            <w:r w:rsidRPr="005963E4">
              <w:rPr>
                <w:rFonts w:cstheme="minorHAnsi"/>
                <w:lang w:val="en-GB"/>
              </w:rPr>
              <w:t>:</w:t>
            </w:r>
          </w:p>
          <w:p w:rsidR="00024DD8" w:rsidRPr="005963E4" w:rsidRDefault="00024DD8" w:rsidP="00364E8D">
            <w:pPr>
              <w:spacing w:after="0" w:line="240" w:lineRule="auto"/>
              <w:jc w:val="both"/>
              <w:rPr>
                <w:rFonts w:cstheme="minorHAnsi"/>
                <w:lang w:val="en-GB"/>
              </w:rPr>
            </w:pPr>
            <w:r w:rsidRPr="005963E4">
              <w:rPr>
                <w:rFonts w:cstheme="minorHAnsi"/>
                <w:lang w:val="en-GB"/>
              </w:rPr>
              <w:t>….</w:t>
            </w:r>
          </w:p>
          <w:p w:rsidR="000C3CF8" w:rsidRPr="005963E4" w:rsidRDefault="000C3CF8" w:rsidP="00364E8D">
            <w:pPr>
              <w:spacing w:after="0" w:line="240" w:lineRule="auto"/>
              <w:jc w:val="both"/>
              <w:rPr>
                <w:rFonts w:cstheme="minorHAnsi"/>
                <w:lang w:val="en-GB"/>
              </w:rPr>
            </w:pPr>
          </w:p>
          <w:p w:rsidR="000C3CF8" w:rsidRPr="005963E4" w:rsidRDefault="000C3CF8" w:rsidP="00364E8D">
            <w:pPr>
              <w:autoSpaceDE w:val="0"/>
              <w:autoSpaceDN w:val="0"/>
              <w:adjustRightInd w:val="0"/>
              <w:spacing w:after="0" w:line="240" w:lineRule="auto"/>
              <w:rPr>
                <w:rFonts w:cstheme="minorHAnsi"/>
                <w:lang w:val="en-GB"/>
              </w:rPr>
            </w:pPr>
          </w:p>
          <w:p w:rsidR="000C3CF8" w:rsidRPr="005963E4" w:rsidRDefault="000C3CF8" w:rsidP="00364E8D">
            <w:pPr>
              <w:autoSpaceDE w:val="0"/>
              <w:autoSpaceDN w:val="0"/>
              <w:adjustRightInd w:val="0"/>
              <w:spacing w:after="0" w:line="240" w:lineRule="auto"/>
              <w:jc w:val="both"/>
              <w:rPr>
                <w:rFonts w:cstheme="minorHAnsi"/>
                <w:lang w:val="en-GB"/>
              </w:rPr>
            </w:pPr>
          </w:p>
          <w:p w:rsidR="00C31EA9" w:rsidRPr="005963E4" w:rsidRDefault="00C31EA9" w:rsidP="00364E8D">
            <w:pPr>
              <w:autoSpaceDE w:val="0"/>
              <w:autoSpaceDN w:val="0"/>
              <w:adjustRightInd w:val="0"/>
              <w:spacing w:after="0" w:line="240" w:lineRule="auto"/>
              <w:jc w:val="both"/>
              <w:rPr>
                <w:rFonts w:cstheme="minorHAnsi"/>
                <w:lang w:val="en-GB"/>
              </w:rPr>
            </w:pPr>
          </w:p>
          <w:p w:rsidR="00FC01D7" w:rsidRPr="005963E4" w:rsidRDefault="00FC01D7" w:rsidP="00364E8D">
            <w:pPr>
              <w:autoSpaceDE w:val="0"/>
              <w:autoSpaceDN w:val="0"/>
              <w:adjustRightInd w:val="0"/>
              <w:spacing w:after="0" w:line="240" w:lineRule="auto"/>
              <w:jc w:val="both"/>
              <w:rPr>
                <w:rFonts w:cstheme="minorHAnsi"/>
                <w:lang w:val="en-GB"/>
              </w:rPr>
            </w:pPr>
          </w:p>
          <w:p w:rsidR="00FC01D7" w:rsidRPr="005963E4" w:rsidRDefault="00FC01D7" w:rsidP="00364E8D">
            <w:pPr>
              <w:autoSpaceDE w:val="0"/>
              <w:autoSpaceDN w:val="0"/>
              <w:adjustRightInd w:val="0"/>
              <w:spacing w:after="0" w:line="240" w:lineRule="auto"/>
              <w:jc w:val="both"/>
              <w:rPr>
                <w:rFonts w:cstheme="minorHAnsi"/>
                <w:lang w:val="en-GB"/>
              </w:rPr>
            </w:pPr>
          </w:p>
          <w:p w:rsidR="00FC01D7" w:rsidRPr="005963E4" w:rsidRDefault="00FC01D7" w:rsidP="00364E8D">
            <w:pPr>
              <w:autoSpaceDE w:val="0"/>
              <w:autoSpaceDN w:val="0"/>
              <w:adjustRightInd w:val="0"/>
              <w:spacing w:after="0" w:line="240" w:lineRule="auto"/>
              <w:jc w:val="both"/>
              <w:rPr>
                <w:rFonts w:cstheme="minorHAnsi"/>
                <w:lang w:val="en-GB"/>
              </w:rPr>
            </w:pPr>
          </w:p>
          <w:p w:rsidR="000C3CF8" w:rsidRPr="005963E4" w:rsidRDefault="000C3CF8" w:rsidP="00364E8D">
            <w:pPr>
              <w:autoSpaceDE w:val="0"/>
              <w:autoSpaceDN w:val="0"/>
              <w:adjustRightInd w:val="0"/>
              <w:spacing w:after="0" w:line="240" w:lineRule="auto"/>
              <w:jc w:val="both"/>
              <w:rPr>
                <w:rFonts w:cstheme="minorHAnsi"/>
                <w:lang w:val="en-GB"/>
              </w:rPr>
            </w:pPr>
            <w:r w:rsidRPr="005963E4">
              <w:rPr>
                <w:rFonts w:cstheme="minorHAnsi"/>
                <w:lang w:val="en-GB"/>
              </w:rPr>
              <w:t xml:space="preserve">5. The supervisory authority </w:t>
            </w:r>
            <w:r w:rsidRPr="005963E4">
              <w:rPr>
                <w:rFonts w:cstheme="minorHAnsi"/>
                <w:b/>
                <w:i/>
                <w:lang w:val="en-GB"/>
              </w:rPr>
              <w:t>shall</w:t>
            </w:r>
            <w:r w:rsidRPr="005963E4">
              <w:rPr>
                <w:rFonts w:cstheme="minorHAnsi"/>
                <w:lang w:val="en-GB"/>
              </w:rPr>
              <w:t xml:space="preserve"> impose a fine up to 500 000 EUR, or in case of an enterprise up to 1 % of its annual worldwide turnover, to anyone who,</w:t>
            </w:r>
            <w:r w:rsidRPr="005963E4">
              <w:rPr>
                <w:rFonts w:cstheme="minorHAnsi"/>
                <w:i/>
                <w:lang w:val="en-GB"/>
              </w:rPr>
              <w:t xml:space="preserve"> </w:t>
            </w:r>
            <w:r w:rsidRPr="005963E4">
              <w:rPr>
                <w:rFonts w:cstheme="minorHAnsi"/>
                <w:b/>
                <w:i/>
                <w:lang w:val="en-GB"/>
              </w:rPr>
              <w:t>intentionally or negligently</w:t>
            </w:r>
            <w:r w:rsidRPr="005963E4">
              <w:rPr>
                <w:rFonts w:cstheme="minorHAnsi"/>
                <w:i/>
                <w:lang w:val="en-GB"/>
              </w:rPr>
              <w:t>:</w:t>
            </w:r>
          </w:p>
          <w:p w:rsidR="000C3CF8" w:rsidRPr="005963E4" w:rsidRDefault="000C3CF8" w:rsidP="00364E8D">
            <w:pPr>
              <w:autoSpaceDE w:val="0"/>
              <w:autoSpaceDN w:val="0"/>
              <w:adjustRightInd w:val="0"/>
              <w:spacing w:after="0" w:line="240" w:lineRule="auto"/>
              <w:jc w:val="both"/>
              <w:rPr>
                <w:rFonts w:cstheme="minorHAnsi"/>
                <w:lang w:val="en-GB"/>
              </w:rPr>
            </w:pPr>
          </w:p>
          <w:p w:rsidR="00CC50CB" w:rsidRPr="005963E4" w:rsidRDefault="00CC50CB" w:rsidP="00364E8D">
            <w:pPr>
              <w:autoSpaceDE w:val="0"/>
              <w:autoSpaceDN w:val="0"/>
              <w:adjustRightInd w:val="0"/>
              <w:spacing w:after="0" w:line="240" w:lineRule="auto"/>
              <w:jc w:val="both"/>
              <w:rPr>
                <w:rFonts w:cstheme="minorHAnsi"/>
                <w:lang w:val="en-GB"/>
              </w:rPr>
            </w:pPr>
          </w:p>
          <w:p w:rsidR="00CC50CB" w:rsidRPr="005963E4" w:rsidRDefault="002216C8" w:rsidP="00364E8D">
            <w:pPr>
              <w:autoSpaceDE w:val="0"/>
              <w:autoSpaceDN w:val="0"/>
              <w:adjustRightInd w:val="0"/>
              <w:spacing w:after="0" w:line="240" w:lineRule="auto"/>
              <w:jc w:val="both"/>
              <w:rPr>
                <w:rFonts w:cstheme="minorHAnsi"/>
                <w:lang w:val="en-GB"/>
              </w:rPr>
            </w:pPr>
            <w:r w:rsidRPr="005963E4">
              <w:rPr>
                <w:rFonts w:cstheme="minorHAnsi"/>
                <w:lang w:val="en-GB"/>
              </w:rPr>
              <w:t xml:space="preserve">. . . . </w:t>
            </w:r>
          </w:p>
          <w:p w:rsidR="00CC50CB" w:rsidRPr="005963E4" w:rsidRDefault="00CC50CB" w:rsidP="00364E8D">
            <w:pPr>
              <w:autoSpaceDE w:val="0"/>
              <w:autoSpaceDN w:val="0"/>
              <w:adjustRightInd w:val="0"/>
              <w:spacing w:after="0" w:line="240" w:lineRule="auto"/>
              <w:jc w:val="both"/>
              <w:rPr>
                <w:rFonts w:cstheme="minorHAnsi"/>
                <w:lang w:val="en-GB"/>
              </w:rPr>
            </w:pPr>
          </w:p>
          <w:p w:rsidR="002216C8" w:rsidRPr="005963E4" w:rsidRDefault="002216C8" w:rsidP="00364E8D">
            <w:pPr>
              <w:autoSpaceDE w:val="0"/>
              <w:autoSpaceDN w:val="0"/>
              <w:adjustRightInd w:val="0"/>
              <w:spacing w:after="0" w:line="240" w:lineRule="auto"/>
              <w:jc w:val="both"/>
              <w:rPr>
                <w:rFonts w:cstheme="minorHAnsi"/>
                <w:lang w:val="en-GB"/>
              </w:rPr>
            </w:pPr>
          </w:p>
          <w:p w:rsidR="002216C8" w:rsidRPr="005963E4" w:rsidRDefault="002216C8" w:rsidP="00364E8D">
            <w:pPr>
              <w:autoSpaceDE w:val="0"/>
              <w:autoSpaceDN w:val="0"/>
              <w:adjustRightInd w:val="0"/>
              <w:spacing w:after="0" w:line="240" w:lineRule="auto"/>
              <w:jc w:val="both"/>
              <w:rPr>
                <w:rFonts w:cstheme="minorHAnsi"/>
                <w:lang w:val="en-GB"/>
              </w:rPr>
            </w:pPr>
          </w:p>
          <w:p w:rsidR="002216C8" w:rsidRPr="005963E4" w:rsidRDefault="002216C8" w:rsidP="00364E8D">
            <w:pPr>
              <w:autoSpaceDE w:val="0"/>
              <w:autoSpaceDN w:val="0"/>
              <w:adjustRightInd w:val="0"/>
              <w:spacing w:after="0" w:line="240" w:lineRule="auto"/>
              <w:jc w:val="both"/>
              <w:rPr>
                <w:rFonts w:cstheme="minorHAnsi"/>
                <w:lang w:val="en-GB"/>
              </w:rPr>
            </w:pPr>
          </w:p>
          <w:p w:rsidR="000C3CF8" w:rsidRPr="005963E4" w:rsidRDefault="000C3CF8" w:rsidP="00364E8D">
            <w:pPr>
              <w:autoSpaceDE w:val="0"/>
              <w:autoSpaceDN w:val="0"/>
              <w:adjustRightInd w:val="0"/>
              <w:spacing w:after="0" w:line="240" w:lineRule="auto"/>
              <w:jc w:val="both"/>
              <w:rPr>
                <w:rFonts w:cstheme="minorHAnsi"/>
                <w:lang w:val="en-GB"/>
              </w:rPr>
            </w:pPr>
            <w:r w:rsidRPr="005963E4">
              <w:rPr>
                <w:rFonts w:cstheme="minorHAnsi"/>
                <w:lang w:val="en-GB"/>
              </w:rPr>
              <w:t xml:space="preserve">6. The supervisory authority </w:t>
            </w:r>
            <w:r w:rsidRPr="005963E4">
              <w:rPr>
                <w:rFonts w:cstheme="minorHAnsi"/>
                <w:b/>
                <w:i/>
                <w:lang w:val="en-GB"/>
              </w:rPr>
              <w:t>shall</w:t>
            </w:r>
            <w:r w:rsidRPr="005963E4">
              <w:rPr>
                <w:rFonts w:cstheme="minorHAnsi"/>
                <w:lang w:val="en-GB"/>
              </w:rPr>
              <w:t xml:space="preserve"> impose a fine up to 1 000 000 EUR or, in case of an</w:t>
            </w:r>
            <w:r w:rsidR="00054974" w:rsidRPr="005963E4">
              <w:rPr>
                <w:rFonts w:cstheme="minorHAnsi"/>
                <w:lang w:val="en-GB"/>
              </w:rPr>
              <w:t xml:space="preserve"> </w:t>
            </w:r>
            <w:r w:rsidRPr="005963E4">
              <w:rPr>
                <w:rFonts w:cstheme="minorHAnsi"/>
                <w:lang w:val="en-GB"/>
              </w:rPr>
              <w:t xml:space="preserve">enterprise up to 2 % of its annual worldwide turnover, to anyone who, </w:t>
            </w:r>
            <w:r w:rsidRPr="005963E4">
              <w:rPr>
                <w:rFonts w:cstheme="minorHAnsi"/>
                <w:b/>
                <w:i/>
                <w:lang w:val="en-GB"/>
              </w:rPr>
              <w:t>intentionally or negligently</w:t>
            </w:r>
            <w:r w:rsidRPr="005963E4">
              <w:rPr>
                <w:rFonts w:cstheme="minorHAnsi"/>
                <w:lang w:val="en-GB"/>
              </w:rPr>
              <w:t>:</w:t>
            </w:r>
          </w:p>
          <w:p w:rsidR="002216C8" w:rsidRPr="005963E4" w:rsidRDefault="002216C8" w:rsidP="00364E8D">
            <w:pPr>
              <w:autoSpaceDE w:val="0"/>
              <w:autoSpaceDN w:val="0"/>
              <w:adjustRightInd w:val="0"/>
              <w:spacing w:after="0" w:line="240" w:lineRule="auto"/>
              <w:jc w:val="both"/>
              <w:rPr>
                <w:rFonts w:cstheme="minorHAnsi"/>
                <w:lang w:val="en-GB"/>
              </w:rPr>
            </w:pPr>
          </w:p>
          <w:p w:rsidR="002216C8" w:rsidRPr="005963E4" w:rsidRDefault="002216C8" w:rsidP="00364E8D">
            <w:pPr>
              <w:autoSpaceDE w:val="0"/>
              <w:autoSpaceDN w:val="0"/>
              <w:adjustRightInd w:val="0"/>
              <w:spacing w:after="0" w:line="240" w:lineRule="auto"/>
              <w:jc w:val="both"/>
              <w:rPr>
                <w:rFonts w:cstheme="minorHAnsi"/>
                <w:lang w:val="en-GB"/>
              </w:rPr>
            </w:pPr>
            <w:r w:rsidRPr="005963E4">
              <w:rPr>
                <w:rFonts w:cstheme="minorHAnsi"/>
                <w:lang w:val="en-GB"/>
              </w:rPr>
              <w:t xml:space="preserve">. . . . </w:t>
            </w:r>
          </w:p>
          <w:p w:rsidR="000C3CF8" w:rsidRPr="005963E4" w:rsidRDefault="000C3CF8" w:rsidP="00364E8D">
            <w:pPr>
              <w:autoSpaceDE w:val="0"/>
              <w:autoSpaceDN w:val="0"/>
              <w:adjustRightInd w:val="0"/>
              <w:spacing w:after="0" w:line="240" w:lineRule="auto"/>
              <w:jc w:val="both"/>
              <w:rPr>
                <w:rFonts w:cstheme="minorHAnsi"/>
                <w:lang w:val="en-GB"/>
              </w:rPr>
            </w:pPr>
          </w:p>
          <w:p w:rsidR="009F6629" w:rsidRPr="005963E4" w:rsidRDefault="009F6629" w:rsidP="00364E8D">
            <w:pPr>
              <w:autoSpaceDE w:val="0"/>
              <w:autoSpaceDN w:val="0"/>
              <w:adjustRightInd w:val="0"/>
              <w:spacing w:after="0" w:line="240" w:lineRule="auto"/>
              <w:jc w:val="both"/>
              <w:rPr>
                <w:rFonts w:cstheme="minorHAnsi"/>
                <w:lang w:val="en-GB"/>
              </w:rPr>
            </w:pPr>
          </w:p>
          <w:p w:rsidR="009F6629" w:rsidRPr="005963E4" w:rsidRDefault="009F6629" w:rsidP="00364E8D">
            <w:pPr>
              <w:autoSpaceDE w:val="0"/>
              <w:autoSpaceDN w:val="0"/>
              <w:adjustRightInd w:val="0"/>
              <w:spacing w:after="0" w:line="240" w:lineRule="auto"/>
              <w:jc w:val="both"/>
              <w:rPr>
                <w:rFonts w:cstheme="minorHAnsi"/>
                <w:lang w:val="en-GB"/>
              </w:rPr>
            </w:pPr>
          </w:p>
          <w:p w:rsidR="009F6629" w:rsidRPr="005963E4" w:rsidRDefault="009F6629" w:rsidP="00364E8D">
            <w:pPr>
              <w:autoSpaceDE w:val="0"/>
              <w:autoSpaceDN w:val="0"/>
              <w:adjustRightInd w:val="0"/>
              <w:spacing w:after="0" w:line="240" w:lineRule="auto"/>
              <w:jc w:val="both"/>
              <w:rPr>
                <w:rFonts w:cstheme="minorHAnsi"/>
                <w:lang w:val="en-GB"/>
              </w:rPr>
            </w:pPr>
          </w:p>
          <w:p w:rsidR="009F6629" w:rsidRPr="005963E4" w:rsidRDefault="009F6629" w:rsidP="00364E8D">
            <w:pPr>
              <w:autoSpaceDE w:val="0"/>
              <w:autoSpaceDN w:val="0"/>
              <w:adjustRightInd w:val="0"/>
              <w:spacing w:after="0" w:line="240" w:lineRule="auto"/>
              <w:jc w:val="both"/>
              <w:rPr>
                <w:rFonts w:cstheme="minorHAnsi"/>
                <w:lang w:val="en-GB"/>
              </w:rPr>
            </w:pPr>
          </w:p>
          <w:p w:rsidR="009F6629" w:rsidRPr="005963E4" w:rsidRDefault="009F6629" w:rsidP="00364E8D">
            <w:pPr>
              <w:autoSpaceDE w:val="0"/>
              <w:autoSpaceDN w:val="0"/>
              <w:adjustRightInd w:val="0"/>
              <w:spacing w:after="0" w:line="240" w:lineRule="auto"/>
              <w:jc w:val="both"/>
              <w:rPr>
                <w:rFonts w:cstheme="minorHAnsi"/>
                <w:lang w:val="en-GB"/>
              </w:rPr>
            </w:pPr>
          </w:p>
          <w:p w:rsidR="009F6629" w:rsidRPr="005963E4" w:rsidRDefault="009F6629" w:rsidP="009F6629">
            <w:pPr>
              <w:autoSpaceDE w:val="0"/>
              <w:autoSpaceDN w:val="0"/>
              <w:adjustRightInd w:val="0"/>
              <w:spacing w:after="0" w:line="240" w:lineRule="auto"/>
              <w:jc w:val="both"/>
              <w:rPr>
                <w:rFonts w:cstheme="minorHAnsi"/>
                <w:lang w:val="en-GB"/>
              </w:rPr>
            </w:pPr>
            <w:r w:rsidRPr="005963E4">
              <w:rPr>
                <w:rFonts w:cstheme="minorHAnsi"/>
                <w:lang w:val="en-GB"/>
              </w:rPr>
              <w:t>The Commission shall be empowered to adopt delegated acts in accordance with</w:t>
            </w:r>
          </w:p>
          <w:p w:rsidR="009F6629" w:rsidRPr="005963E4" w:rsidRDefault="009F6629" w:rsidP="009F6629">
            <w:pPr>
              <w:autoSpaceDE w:val="0"/>
              <w:autoSpaceDN w:val="0"/>
              <w:adjustRightInd w:val="0"/>
              <w:spacing w:after="0" w:line="240" w:lineRule="auto"/>
              <w:jc w:val="both"/>
              <w:rPr>
                <w:rFonts w:cstheme="minorHAnsi"/>
                <w:lang w:val="en-GB"/>
              </w:rPr>
            </w:pPr>
            <w:r w:rsidRPr="005963E4">
              <w:rPr>
                <w:rFonts w:cstheme="minorHAnsi"/>
                <w:lang w:val="en-GB"/>
              </w:rPr>
              <w:t>Article 86 for the purpose of updating the amounts of the administrative fines</w:t>
            </w:r>
          </w:p>
          <w:p w:rsidR="009F6629" w:rsidRPr="005963E4" w:rsidRDefault="009F6629" w:rsidP="009F6629">
            <w:pPr>
              <w:autoSpaceDE w:val="0"/>
              <w:autoSpaceDN w:val="0"/>
              <w:adjustRightInd w:val="0"/>
              <w:spacing w:after="0" w:line="240" w:lineRule="auto"/>
              <w:jc w:val="both"/>
              <w:rPr>
                <w:rFonts w:cstheme="minorHAnsi"/>
                <w:lang w:val="en-GB"/>
              </w:rPr>
            </w:pPr>
            <w:r w:rsidRPr="005963E4">
              <w:rPr>
                <w:rFonts w:cstheme="minorHAnsi"/>
                <w:lang w:val="en-GB"/>
              </w:rPr>
              <w:t>referred to in paragraphs 4, 5 and 6, taking into account the criteria referred to in</w:t>
            </w:r>
          </w:p>
          <w:p w:rsidR="00024DD8" w:rsidRPr="005963E4" w:rsidRDefault="009F6629" w:rsidP="009F6629">
            <w:pPr>
              <w:autoSpaceDE w:val="0"/>
              <w:autoSpaceDN w:val="0"/>
              <w:adjustRightInd w:val="0"/>
              <w:spacing w:after="0" w:line="240" w:lineRule="auto"/>
              <w:jc w:val="both"/>
              <w:rPr>
                <w:rFonts w:cstheme="minorHAnsi"/>
                <w:lang w:val="en-GB"/>
              </w:rPr>
            </w:pPr>
            <w:proofErr w:type="gramStart"/>
            <w:r w:rsidRPr="005963E4">
              <w:rPr>
                <w:rFonts w:cstheme="minorHAnsi"/>
                <w:lang w:val="en-GB"/>
              </w:rPr>
              <w:t>paragraph</w:t>
            </w:r>
            <w:proofErr w:type="gramEnd"/>
            <w:r w:rsidRPr="005963E4">
              <w:rPr>
                <w:rFonts w:cstheme="minorHAnsi"/>
                <w:lang w:val="en-GB"/>
              </w:rPr>
              <w:t xml:space="preserve"> 2.</w:t>
            </w:r>
          </w:p>
        </w:tc>
        <w:tc>
          <w:tcPr>
            <w:tcW w:w="4785" w:type="dxa"/>
          </w:tcPr>
          <w:p w:rsidR="00024DD8" w:rsidRPr="005963E4" w:rsidRDefault="00024DD8" w:rsidP="00364E8D">
            <w:pPr>
              <w:tabs>
                <w:tab w:val="left" w:pos="367"/>
              </w:tabs>
              <w:spacing w:after="0" w:line="240" w:lineRule="auto"/>
              <w:ind w:left="397"/>
              <w:jc w:val="both"/>
              <w:rPr>
                <w:rFonts w:cstheme="minorHAnsi"/>
              </w:rPr>
            </w:pPr>
            <w:r w:rsidRPr="005963E4">
              <w:rPr>
                <w:rFonts w:cstheme="minorHAnsi"/>
              </w:rPr>
              <w:lastRenderedPageBreak/>
              <w:t xml:space="preserve">1. </w:t>
            </w:r>
            <w:r w:rsidR="00364E8D" w:rsidRPr="005963E4">
              <w:rPr>
                <w:rFonts w:cstheme="minorHAnsi"/>
              </w:rPr>
              <w:t xml:space="preserve">Each </w:t>
            </w:r>
            <w:r w:rsidR="00364E8D" w:rsidRPr="005963E4">
              <w:rPr>
                <w:rFonts w:cstheme="minorHAnsi"/>
                <w:b/>
                <w:i/>
              </w:rPr>
              <w:t xml:space="preserve">competent </w:t>
            </w:r>
            <w:r w:rsidRPr="005963E4">
              <w:rPr>
                <w:rFonts w:cstheme="minorHAnsi"/>
              </w:rPr>
              <w:t>supervisory authority</w:t>
            </w:r>
            <w:r w:rsidRPr="005963E4">
              <w:rPr>
                <w:rFonts w:cstheme="minorHAnsi"/>
                <w:b/>
                <w:i/>
              </w:rPr>
              <w:t xml:space="preserve"> </w:t>
            </w:r>
            <w:r w:rsidRPr="005963E4">
              <w:rPr>
                <w:rFonts w:cstheme="minorHAnsi"/>
              </w:rPr>
              <w:t>shall</w:t>
            </w:r>
            <w:r w:rsidR="00364E8D" w:rsidRPr="005963E4">
              <w:rPr>
                <w:rFonts w:cstheme="minorHAnsi"/>
                <w:lang w:val="en-GB"/>
              </w:rPr>
              <w:t xml:space="preserve"> be empowered to impose administrative sanctions in accordance with this Article.</w:t>
            </w:r>
            <w:r w:rsidRPr="005963E4">
              <w:rPr>
                <w:rFonts w:cstheme="minorHAnsi"/>
                <w:b/>
                <w:i/>
              </w:rPr>
              <w:t xml:space="preserve"> </w:t>
            </w:r>
          </w:p>
          <w:p w:rsidR="00024DD8" w:rsidRPr="005963E4" w:rsidRDefault="00024DD8" w:rsidP="00364E8D">
            <w:pPr>
              <w:spacing w:after="0" w:line="240" w:lineRule="auto"/>
              <w:jc w:val="both"/>
              <w:rPr>
                <w:rFonts w:cstheme="minorHAnsi"/>
              </w:rPr>
            </w:pPr>
          </w:p>
          <w:p w:rsidR="00024DD8" w:rsidRPr="005963E4" w:rsidRDefault="00024DD8" w:rsidP="00364E8D">
            <w:pPr>
              <w:spacing w:after="0" w:line="240" w:lineRule="auto"/>
              <w:ind w:left="397"/>
              <w:jc w:val="both"/>
              <w:rPr>
                <w:rFonts w:cstheme="minorHAnsi"/>
              </w:rPr>
            </w:pPr>
            <w:r w:rsidRPr="005963E4">
              <w:rPr>
                <w:rFonts w:cstheme="minorHAnsi"/>
              </w:rPr>
              <w:t xml:space="preserve">2. The administrative sanction shall be in each individual case effective, proportionate and dissuasive. </w:t>
            </w:r>
            <w:r w:rsidR="007A2128" w:rsidRPr="005963E4">
              <w:rPr>
                <w:rFonts w:cstheme="minorHAnsi"/>
              </w:rPr>
              <w:t xml:space="preserve"> </w:t>
            </w:r>
            <w:r w:rsidRPr="005963E4">
              <w:rPr>
                <w:rFonts w:cstheme="minorHAnsi"/>
              </w:rPr>
              <w:t xml:space="preserve">The amount of the administrative fine shall be fixed with due regard to the nature, gravity and duration of the breach, </w:t>
            </w:r>
            <w:r w:rsidR="00A4212B" w:rsidRPr="005963E4">
              <w:rPr>
                <w:rFonts w:cstheme="minorHAnsi"/>
                <w:b/>
                <w:i/>
              </w:rPr>
              <w:t xml:space="preserve">the sensitivity of the data in issue, </w:t>
            </w:r>
            <w:r w:rsidRPr="005963E4">
              <w:rPr>
                <w:rFonts w:cstheme="minorHAnsi"/>
                <w:lang w:val="en-GB"/>
              </w:rPr>
              <w:t>the intentional or negligent character of the infringement,</w:t>
            </w:r>
            <w:r w:rsidRPr="005963E4">
              <w:rPr>
                <w:rFonts w:cstheme="minorHAnsi"/>
              </w:rPr>
              <w:t xml:space="preserve"> </w:t>
            </w:r>
            <w:r w:rsidRPr="005963E4">
              <w:rPr>
                <w:rFonts w:cstheme="minorHAnsi"/>
                <w:b/>
                <w:i/>
              </w:rPr>
              <w:t>the degree of harm or risk of significant harm created by the violation,</w:t>
            </w:r>
            <w:r w:rsidR="00E16458" w:rsidRPr="005963E4">
              <w:rPr>
                <w:rFonts w:cstheme="minorHAnsi"/>
                <w:i/>
              </w:rPr>
              <w:t xml:space="preserve"> </w:t>
            </w:r>
            <w:r w:rsidRPr="005963E4">
              <w:rPr>
                <w:rFonts w:cstheme="minorHAnsi"/>
              </w:rPr>
              <w:t>the degree of responsibility of the natural or legal person and of previous breaches by this person, the technical and</w:t>
            </w:r>
            <w:r w:rsidRPr="005963E4">
              <w:rPr>
                <w:rFonts w:cstheme="minorHAnsi"/>
                <w:lang w:val="en-GB"/>
              </w:rPr>
              <w:t xml:space="preserve"> organisational</w:t>
            </w:r>
            <w:r w:rsidRPr="005963E4">
              <w:rPr>
                <w:rFonts w:cstheme="minorHAnsi"/>
              </w:rPr>
              <w:t xml:space="preserve"> measures and procedures implemented pursuant to Article 23 and the degree of co-operation with the supervisory authority in order to remedy the breach.  </w:t>
            </w:r>
            <w:r w:rsidRPr="005963E4">
              <w:rPr>
                <w:rFonts w:cstheme="minorHAnsi"/>
                <w:b/>
                <w:i/>
              </w:rPr>
              <w:t>In setting an administrative fine, supervisory authorities shall also take into account fines, damages or other penalties previously imposed by a court or other body on the natural or legal person in respect of the violation in issue.</w:t>
            </w:r>
          </w:p>
          <w:p w:rsidR="00024DD8" w:rsidRPr="005963E4" w:rsidRDefault="00024DD8" w:rsidP="00364E8D">
            <w:pPr>
              <w:spacing w:after="0" w:line="240" w:lineRule="auto"/>
              <w:jc w:val="both"/>
              <w:rPr>
                <w:rFonts w:cstheme="minorHAnsi"/>
              </w:rPr>
            </w:pPr>
          </w:p>
          <w:p w:rsidR="00024DD8" w:rsidRPr="005963E4" w:rsidRDefault="00024DD8" w:rsidP="00364E8D">
            <w:pPr>
              <w:spacing w:after="0" w:line="240" w:lineRule="auto"/>
              <w:ind w:left="397"/>
              <w:jc w:val="both"/>
              <w:rPr>
                <w:rFonts w:cstheme="minorHAnsi"/>
                <w:b/>
                <w:i/>
              </w:rPr>
            </w:pPr>
            <w:r w:rsidRPr="005963E4">
              <w:rPr>
                <w:rFonts w:cstheme="minorHAnsi"/>
                <w:b/>
                <w:i/>
              </w:rPr>
              <w:t>2</w:t>
            </w:r>
            <w:r w:rsidR="00F0476F" w:rsidRPr="005963E4">
              <w:rPr>
                <w:rFonts w:cstheme="minorHAnsi"/>
                <w:b/>
                <w:i/>
              </w:rPr>
              <w:t>a.</w:t>
            </w:r>
            <w:r w:rsidRPr="005963E4">
              <w:rPr>
                <w:rFonts w:cstheme="minorHAnsi"/>
                <w:b/>
                <w:i/>
              </w:rPr>
              <w:t xml:space="preserve"> Aggravating factors that support administrative fines at the upper limits established in paragraphs </w:t>
            </w:r>
            <w:r w:rsidR="00981EB6" w:rsidRPr="005963E4">
              <w:rPr>
                <w:rFonts w:cstheme="minorHAnsi"/>
                <w:b/>
                <w:i/>
              </w:rPr>
              <w:t>4</w:t>
            </w:r>
            <w:r w:rsidRPr="005963E4">
              <w:rPr>
                <w:rFonts w:cstheme="minorHAnsi"/>
                <w:b/>
                <w:i/>
              </w:rPr>
              <w:t xml:space="preserve"> </w:t>
            </w:r>
            <w:r w:rsidR="00E16458" w:rsidRPr="005963E4">
              <w:rPr>
                <w:rFonts w:cstheme="minorHAnsi"/>
                <w:b/>
                <w:i/>
              </w:rPr>
              <w:t>to</w:t>
            </w:r>
            <w:r w:rsidR="00854250" w:rsidRPr="005963E4">
              <w:rPr>
                <w:rFonts w:cstheme="minorHAnsi"/>
                <w:b/>
                <w:i/>
              </w:rPr>
              <w:t xml:space="preserve"> </w:t>
            </w:r>
            <w:r w:rsidR="00981EB6" w:rsidRPr="005963E4">
              <w:rPr>
                <w:rFonts w:cstheme="minorHAnsi"/>
                <w:b/>
                <w:i/>
              </w:rPr>
              <w:t>6</w:t>
            </w:r>
            <w:r w:rsidR="00A4212B" w:rsidRPr="005963E4">
              <w:rPr>
                <w:rFonts w:cstheme="minorHAnsi"/>
                <w:b/>
                <w:i/>
              </w:rPr>
              <w:t xml:space="preserve"> </w:t>
            </w:r>
            <w:r w:rsidRPr="005963E4">
              <w:rPr>
                <w:rFonts w:cstheme="minorHAnsi"/>
                <w:b/>
                <w:i/>
              </w:rPr>
              <w:t>shall include in particular:</w:t>
            </w:r>
          </w:p>
          <w:p w:rsidR="00024DD8" w:rsidRPr="005963E4" w:rsidRDefault="00024DD8" w:rsidP="00364E8D">
            <w:pPr>
              <w:spacing w:after="0" w:line="240" w:lineRule="auto"/>
              <w:jc w:val="both"/>
              <w:rPr>
                <w:rFonts w:cstheme="minorHAnsi"/>
                <w:b/>
                <w:i/>
              </w:rPr>
            </w:pPr>
          </w:p>
          <w:p w:rsidR="00024DD8" w:rsidRPr="005963E4" w:rsidRDefault="00024DD8" w:rsidP="00364E8D">
            <w:pPr>
              <w:spacing w:after="0" w:line="240" w:lineRule="auto"/>
              <w:ind w:left="397"/>
              <w:jc w:val="both"/>
              <w:rPr>
                <w:rFonts w:cstheme="minorHAnsi"/>
                <w:b/>
                <w:i/>
              </w:rPr>
            </w:pPr>
            <w:r w:rsidRPr="005963E4">
              <w:rPr>
                <w:rFonts w:cstheme="minorHAnsi"/>
                <w:b/>
                <w:i/>
              </w:rPr>
              <w:t>(</w:t>
            </w:r>
            <w:proofErr w:type="spellStart"/>
            <w:r w:rsidRPr="005963E4">
              <w:rPr>
                <w:rFonts w:cstheme="minorHAnsi"/>
                <w:b/>
                <w:i/>
              </w:rPr>
              <w:t>i</w:t>
            </w:r>
            <w:proofErr w:type="spellEnd"/>
            <w:r w:rsidRPr="005963E4">
              <w:rPr>
                <w:rFonts w:cstheme="minorHAnsi"/>
                <w:b/>
                <w:i/>
              </w:rPr>
              <w:t xml:space="preserve">) repeated violations committed in reckless disregard of applicable law, </w:t>
            </w:r>
          </w:p>
          <w:p w:rsidR="00024DD8" w:rsidRPr="005963E4" w:rsidRDefault="00024DD8" w:rsidP="00364E8D">
            <w:pPr>
              <w:spacing w:after="0" w:line="240" w:lineRule="auto"/>
              <w:ind w:left="397"/>
              <w:jc w:val="both"/>
              <w:rPr>
                <w:rFonts w:cstheme="minorHAnsi"/>
                <w:b/>
                <w:i/>
              </w:rPr>
            </w:pPr>
          </w:p>
          <w:p w:rsidR="00024DD8" w:rsidRPr="005963E4" w:rsidRDefault="00024DD8" w:rsidP="00364E8D">
            <w:pPr>
              <w:spacing w:after="0" w:line="240" w:lineRule="auto"/>
              <w:ind w:left="397"/>
              <w:jc w:val="both"/>
              <w:rPr>
                <w:rFonts w:cstheme="minorHAnsi"/>
                <w:b/>
                <w:i/>
              </w:rPr>
            </w:pPr>
            <w:r w:rsidRPr="005963E4">
              <w:rPr>
                <w:rFonts w:cstheme="minorHAnsi"/>
                <w:b/>
                <w:i/>
              </w:rPr>
              <w:t xml:space="preserve">(ii) refusal to co-operate with or obstruction of an enforcement process, </w:t>
            </w:r>
            <w:r w:rsidRPr="005963E4">
              <w:rPr>
                <w:rFonts w:cstheme="minorHAnsi"/>
                <w:b/>
                <w:i/>
              </w:rPr>
              <w:lastRenderedPageBreak/>
              <w:t xml:space="preserve">and </w:t>
            </w:r>
          </w:p>
          <w:p w:rsidR="00024DD8" w:rsidRPr="005963E4" w:rsidRDefault="00024DD8" w:rsidP="00364E8D">
            <w:pPr>
              <w:spacing w:after="0" w:line="240" w:lineRule="auto"/>
              <w:ind w:left="397"/>
              <w:jc w:val="both"/>
              <w:rPr>
                <w:rFonts w:cstheme="minorHAnsi"/>
                <w:b/>
                <w:i/>
              </w:rPr>
            </w:pPr>
          </w:p>
          <w:p w:rsidR="00024DD8" w:rsidRPr="005963E4" w:rsidRDefault="00024DD8" w:rsidP="00364E8D">
            <w:pPr>
              <w:spacing w:after="0" w:line="240" w:lineRule="auto"/>
              <w:ind w:left="397"/>
              <w:jc w:val="both"/>
              <w:rPr>
                <w:rFonts w:cstheme="minorHAnsi"/>
                <w:b/>
                <w:i/>
              </w:rPr>
            </w:pPr>
            <w:r w:rsidRPr="005963E4">
              <w:rPr>
                <w:rFonts w:cstheme="minorHAnsi"/>
                <w:b/>
                <w:i/>
              </w:rPr>
              <w:t xml:space="preserve">(iii) </w:t>
            </w:r>
            <w:proofErr w:type="gramStart"/>
            <w:r w:rsidRPr="005963E4">
              <w:rPr>
                <w:rFonts w:cstheme="minorHAnsi"/>
                <w:b/>
                <w:i/>
              </w:rPr>
              <w:t>violations</w:t>
            </w:r>
            <w:proofErr w:type="gramEnd"/>
            <w:r w:rsidRPr="005963E4">
              <w:rPr>
                <w:rFonts w:cstheme="minorHAnsi"/>
                <w:b/>
                <w:i/>
              </w:rPr>
              <w:t xml:space="preserve"> that are deliberate, serious and likely to cause substantial damage.  </w:t>
            </w:r>
          </w:p>
          <w:p w:rsidR="00024DD8" w:rsidRPr="005963E4" w:rsidRDefault="00024DD8" w:rsidP="00364E8D">
            <w:pPr>
              <w:spacing w:after="0" w:line="240" w:lineRule="auto"/>
              <w:ind w:left="397"/>
              <w:jc w:val="both"/>
              <w:rPr>
                <w:rFonts w:cstheme="minorHAnsi"/>
                <w:b/>
                <w:i/>
              </w:rPr>
            </w:pPr>
          </w:p>
          <w:p w:rsidR="00024DD8" w:rsidRPr="005963E4" w:rsidRDefault="00024DD8" w:rsidP="00364E8D">
            <w:pPr>
              <w:spacing w:after="0" w:line="240" w:lineRule="auto"/>
              <w:ind w:left="397"/>
              <w:jc w:val="both"/>
              <w:rPr>
                <w:rFonts w:cstheme="minorHAnsi"/>
                <w:b/>
                <w:i/>
              </w:rPr>
            </w:pPr>
            <w:r w:rsidRPr="005963E4">
              <w:rPr>
                <w:rFonts w:cstheme="minorHAnsi"/>
                <w:b/>
                <w:i/>
              </w:rPr>
              <w:t>2b</w:t>
            </w:r>
            <w:r w:rsidR="00F0476F" w:rsidRPr="005963E4">
              <w:rPr>
                <w:rFonts w:cstheme="minorHAnsi"/>
                <w:b/>
                <w:i/>
              </w:rPr>
              <w:t>.</w:t>
            </w:r>
            <w:r w:rsidRPr="005963E4">
              <w:rPr>
                <w:rFonts w:cstheme="minorHAnsi"/>
                <w:b/>
                <w:i/>
              </w:rPr>
              <w:t xml:space="preserve"> Mitigating factors which support administrative fines at the lower limits shall include </w:t>
            </w:r>
          </w:p>
          <w:p w:rsidR="00024DD8" w:rsidRPr="005963E4" w:rsidRDefault="00024DD8" w:rsidP="00364E8D">
            <w:pPr>
              <w:spacing w:after="0" w:line="240" w:lineRule="auto"/>
              <w:ind w:left="397"/>
              <w:jc w:val="both"/>
              <w:rPr>
                <w:rFonts w:cstheme="minorHAnsi"/>
                <w:b/>
                <w:i/>
              </w:rPr>
            </w:pPr>
          </w:p>
          <w:p w:rsidR="00024DD8" w:rsidRPr="005963E4" w:rsidRDefault="00024DD8" w:rsidP="00364E8D">
            <w:pPr>
              <w:spacing w:after="0" w:line="240" w:lineRule="auto"/>
              <w:ind w:left="397"/>
              <w:jc w:val="both"/>
              <w:rPr>
                <w:rFonts w:cstheme="minorHAnsi"/>
                <w:b/>
                <w:i/>
              </w:rPr>
            </w:pPr>
            <w:r w:rsidRPr="005963E4">
              <w:rPr>
                <w:rFonts w:cstheme="minorHAnsi"/>
                <w:b/>
                <w:i/>
              </w:rPr>
              <w:t>(</w:t>
            </w:r>
            <w:proofErr w:type="spellStart"/>
            <w:r w:rsidRPr="005963E4">
              <w:rPr>
                <w:rFonts w:cstheme="minorHAnsi"/>
                <w:b/>
                <w:i/>
              </w:rPr>
              <w:t>i</w:t>
            </w:r>
            <w:proofErr w:type="spellEnd"/>
            <w:r w:rsidRPr="005963E4">
              <w:rPr>
                <w:rFonts w:cstheme="minorHAnsi"/>
                <w:b/>
                <w:i/>
              </w:rPr>
              <w:t xml:space="preserve">) measures having been taken by the natural or legal person to ensure compliance with relevant obligations, </w:t>
            </w:r>
          </w:p>
          <w:p w:rsidR="00024DD8" w:rsidRPr="005963E4" w:rsidRDefault="00024DD8" w:rsidP="00364E8D">
            <w:pPr>
              <w:spacing w:after="0" w:line="240" w:lineRule="auto"/>
              <w:ind w:left="397"/>
              <w:jc w:val="both"/>
              <w:rPr>
                <w:rFonts w:cstheme="minorHAnsi"/>
                <w:b/>
                <w:i/>
              </w:rPr>
            </w:pPr>
          </w:p>
          <w:p w:rsidR="00024DD8" w:rsidRPr="005963E4" w:rsidRDefault="00024DD8" w:rsidP="00364E8D">
            <w:pPr>
              <w:spacing w:after="0" w:line="240" w:lineRule="auto"/>
              <w:ind w:left="397"/>
              <w:jc w:val="both"/>
              <w:rPr>
                <w:rFonts w:cstheme="minorHAnsi"/>
                <w:b/>
                <w:i/>
              </w:rPr>
            </w:pPr>
            <w:r w:rsidRPr="005963E4">
              <w:rPr>
                <w:rFonts w:cstheme="minorHAnsi"/>
                <w:b/>
                <w:i/>
              </w:rPr>
              <w:t xml:space="preserve">(ii) genuine uncertainty as to whether the activity constituted a violation of the relevant obligations, </w:t>
            </w:r>
          </w:p>
          <w:p w:rsidR="00024DD8" w:rsidRPr="005963E4" w:rsidRDefault="00024DD8" w:rsidP="00364E8D">
            <w:pPr>
              <w:spacing w:after="0" w:line="240" w:lineRule="auto"/>
              <w:ind w:left="397"/>
              <w:jc w:val="both"/>
              <w:rPr>
                <w:rFonts w:cstheme="minorHAnsi"/>
                <w:b/>
                <w:i/>
              </w:rPr>
            </w:pPr>
          </w:p>
          <w:p w:rsidR="00024DD8" w:rsidRPr="005963E4" w:rsidRDefault="00024DD8" w:rsidP="00364E8D">
            <w:pPr>
              <w:spacing w:after="0" w:line="240" w:lineRule="auto"/>
              <w:ind w:left="397"/>
              <w:jc w:val="both"/>
              <w:rPr>
                <w:rFonts w:cstheme="minorHAnsi"/>
                <w:b/>
                <w:i/>
              </w:rPr>
            </w:pPr>
            <w:r w:rsidRPr="005963E4">
              <w:rPr>
                <w:rFonts w:cstheme="minorHAnsi"/>
                <w:b/>
                <w:i/>
              </w:rPr>
              <w:t xml:space="preserve">(iii) immediate termination of the violation upon knowledge, and </w:t>
            </w:r>
          </w:p>
          <w:p w:rsidR="00024DD8" w:rsidRPr="005963E4" w:rsidRDefault="00024DD8" w:rsidP="00364E8D">
            <w:pPr>
              <w:spacing w:after="0" w:line="240" w:lineRule="auto"/>
              <w:ind w:left="397"/>
              <w:jc w:val="both"/>
              <w:rPr>
                <w:rFonts w:cstheme="minorHAnsi"/>
                <w:b/>
                <w:i/>
              </w:rPr>
            </w:pPr>
          </w:p>
          <w:p w:rsidR="00024DD8" w:rsidRPr="005963E4" w:rsidRDefault="00024DD8" w:rsidP="00364E8D">
            <w:pPr>
              <w:spacing w:after="0" w:line="240" w:lineRule="auto"/>
              <w:ind w:left="397"/>
              <w:jc w:val="both"/>
              <w:rPr>
                <w:rFonts w:cstheme="minorHAnsi"/>
                <w:b/>
                <w:i/>
              </w:rPr>
            </w:pPr>
            <w:r w:rsidRPr="005963E4">
              <w:rPr>
                <w:rFonts w:cstheme="minorHAnsi"/>
                <w:b/>
                <w:i/>
              </w:rPr>
              <w:t xml:space="preserve">(iv) </w:t>
            </w:r>
            <w:proofErr w:type="gramStart"/>
            <w:r w:rsidR="00A4212B" w:rsidRPr="005963E4">
              <w:rPr>
                <w:rFonts w:cstheme="minorHAnsi"/>
                <w:b/>
                <w:i/>
              </w:rPr>
              <w:t>co</w:t>
            </w:r>
            <w:r w:rsidRPr="005963E4">
              <w:rPr>
                <w:rFonts w:cstheme="minorHAnsi"/>
                <w:b/>
                <w:i/>
              </w:rPr>
              <w:t>-operation</w:t>
            </w:r>
            <w:proofErr w:type="gramEnd"/>
            <w:r w:rsidRPr="005963E4">
              <w:rPr>
                <w:rFonts w:cstheme="minorHAnsi"/>
                <w:b/>
                <w:i/>
              </w:rPr>
              <w:t xml:space="preserve"> with any enforcement processes.  </w:t>
            </w:r>
          </w:p>
          <w:p w:rsidR="00024DD8" w:rsidRPr="005963E4" w:rsidRDefault="00024DD8" w:rsidP="00364E8D">
            <w:pPr>
              <w:spacing w:after="0" w:line="240" w:lineRule="auto"/>
              <w:ind w:left="397"/>
              <w:jc w:val="both"/>
              <w:rPr>
                <w:rFonts w:cstheme="minorHAnsi"/>
              </w:rPr>
            </w:pPr>
          </w:p>
          <w:p w:rsidR="00F0476F" w:rsidRPr="005963E4" w:rsidRDefault="000C3CF8" w:rsidP="00EC6D58">
            <w:pPr>
              <w:spacing w:after="0" w:line="240" w:lineRule="auto"/>
              <w:ind w:left="397"/>
              <w:jc w:val="both"/>
              <w:rPr>
                <w:rFonts w:cstheme="minorHAnsi"/>
                <w:lang w:val="en-GB"/>
              </w:rPr>
            </w:pPr>
            <w:r w:rsidRPr="005963E4">
              <w:rPr>
                <w:rFonts w:cstheme="minorHAnsi"/>
                <w:lang w:val="en-GB"/>
              </w:rPr>
              <w:t>3. In case of a first and non-intentional non-compliance with this Regulation, a warning in writing may be given and no sanction imposed.</w:t>
            </w:r>
          </w:p>
          <w:p w:rsidR="000C3CF8" w:rsidRPr="005963E4" w:rsidRDefault="000C3CF8" w:rsidP="00364E8D">
            <w:pPr>
              <w:spacing w:after="0" w:line="240" w:lineRule="auto"/>
              <w:ind w:left="397"/>
              <w:jc w:val="both"/>
              <w:rPr>
                <w:rFonts w:cstheme="minorHAnsi"/>
              </w:rPr>
            </w:pPr>
          </w:p>
          <w:p w:rsidR="00A4212B" w:rsidRPr="005963E4" w:rsidRDefault="00A4212B" w:rsidP="00364E8D">
            <w:pPr>
              <w:spacing w:after="0" w:line="240" w:lineRule="auto"/>
              <w:ind w:left="397"/>
              <w:jc w:val="both"/>
              <w:rPr>
                <w:rFonts w:cstheme="minorHAnsi"/>
              </w:rPr>
            </w:pPr>
          </w:p>
          <w:p w:rsidR="00A4212B" w:rsidRPr="005963E4" w:rsidRDefault="00A4212B" w:rsidP="00364E8D">
            <w:pPr>
              <w:spacing w:after="0" w:line="240" w:lineRule="auto"/>
              <w:ind w:left="397"/>
              <w:jc w:val="both"/>
              <w:rPr>
                <w:rFonts w:cstheme="minorHAnsi"/>
              </w:rPr>
            </w:pPr>
          </w:p>
          <w:p w:rsidR="00A4212B" w:rsidRPr="005963E4" w:rsidRDefault="00A4212B" w:rsidP="00364E8D">
            <w:pPr>
              <w:spacing w:after="0" w:line="240" w:lineRule="auto"/>
              <w:ind w:left="397"/>
              <w:jc w:val="both"/>
              <w:rPr>
                <w:rFonts w:cstheme="minorHAnsi"/>
              </w:rPr>
            </w:pPr>
          </w:p>
          <w:p w:rsidR="00A4212B" w:rsidRPr="005963E4" w:rsidRDefault="00A4212B" w:rsidP="00364E8D">
            <w:pPr>
              <w:spacing w:after="0" w:line="240" w:lineRule="auto"/>
              <w:ind w:left="397"/>
              <w:jc w:val="both"/>
              <w:rPr>
                <w:rFonts w:cstheme="minorHAnsi"/>
              </w:rPr>
            </w:pPr>
          </w:p>
          <w:p w:rsidR="00A4212B" w:rsidRPr="005963E4" w:rsidRDefault="00A4212B" w:rsidP="00364E8D">
            <w:pPr>
              <w:spacing w:after="0" w:line="240" w:lineRule="auto"/>
              <w:ind w:left="397"/>
              <w:jc w:val="both"/>
              <w:rPr>
                <w:rFonts w:cstheme="minorHAnsi"/>
              </w:rPr>
            </w:pPr>
          </w:p>
          <w:p w:rsidR="00A4212B" w:rsidRPr="005963E4" w:rsidRDefault="00A4212B" w:rsidP="00364E8D">
            <w:pPr>
              <w:spacing w:after="0" w:line="240" w:lineRule="auto"/>
              <w:ind w:left="397"/>
              <w:jc w:val="both"/>
              <w:rPr>
                <w:rFonts w:cstheme="minorHAnsi"/>
              </w:rPr>
            </w:pPr>
          </w:p>
          <w:p w:rsidR="00A4212B" w:rsidRPr="005963E4" w:rsidRDefault="00A4212B" w:rsidP="00364E8D">
            <w:pPr>
              <w:spacing w:after="0" w:line="240" w:lineRule="auto"/>
              <w:ind w:left="397"/>
              <w:jc w:val="both"/>
              <w:rPr>
                <w:rFonts w:cstheme="minorHAnsi"/>
              </w:rPr>
            </w:pPr>
          </w:p>
          <w:p w:rsidR="00024DD8" w:rsidRPr="005963E4" w:rsidRDefault="00024DD8" w:rsidP="00364E8D">
            <w:pPr>
              <w:spacing w:after="0" w:line="240" w:lineRule="auto"/>
              <w:ind w:left="397"/>
              <w:jc w:val="both"/>
              <w:rPr>
                <w:rFonts w:cstheme="minorHAnsi"/>
              </w:rPr>
            </w:pPr>
            <w:r w:rsidRPr="005963E4">
              <w:rPr>
                <w:rFonts w:cstheme="minorHAnsi"/>
              </w:rPr>
              <w:t xml:space="preserve">4. The supervisory authority </w:t>
            </w:r>
            <w:r w:rsidRPr="005963E4">
              <w:rPr>
                <w:rFonts w:cstheme="minorHAnsi"/>
                <w:b/>
                <w:i/>
              </w:rPr>
              <w:t>may, in its discretion,</w:t>
            </w:r>
            <w:r w:rsidRPr="005963E4">
              <w:rPr>
                <w:rFonts w:cstheme="minorHAnsi"/>
              </w:rPr>
              <w:t xml:space="preserve"> impose a </w:t>
            </w:r>
            <w:r w:rsidR="00EC6D58" w:rsidRPr="005963E4">
              <w:rPr>
                <w:rFonts w:cstheme="minorHAnsi"/>
                <w:b/>
                <w:i/>
              </w:rPr>
              <w:t xml:space="preserve">total </w:t>
            </w:r>
            <w:r w:rsidRPr="005963E4">
              <w:rPr>
                <w:rFonts w:cstheme="minorHAnsi"/>
              </w:rPr>
              <w:t xml:space="preserve">fine up to 250 000 EUR, or in case of an enterprise up to 0,5 % of its annual worldwide turnover </w:t>
            </w:r>
            <w:r w:rsidR="00981EB6" w:rsidRPr="005963E4">
              <w:rPr>
                <w:rFonts w:cstheme="minorHAnsi"/>
                <w:b/>
                <w:i/>
              </w:rPr>
              <w:t xml:space="preserve">up </w:t>
            </w:r>
            <w:r w:rsidRPr="005963E4">
              <w:rPr>
                <w:rFonts w:cstheme="minorHAnsi"/>
                <w:b/>
                <w:i/>
              </w:rPr>
              <w:t>to a maximum of 500 000 EUR</w:t>
            </w:r>
            <w:r w:rsidR="00E050A9" w:rsidRPr="005963E4">
              <w:rPr>
                <w:rFonts w:cstheme="minorHAnsi"/>
                <w:b/>
                <w:i/>
              </w:rPr>
              <w:t xml:space="preserve"> per case</w:t>
            </w:r>
            <w:r w:rsidRPr="005963E4">
              <w:rPr>
                <w:rFonts w:cstheme="minorHAnsi"/>
              </w:rPr>
              <w:t xml:space="preserve">, to anyone who, </w:t>
            </w:r>
            <w:r w:rsidRPr="005963E4">
              <w:rPr>
                <w:rFonts w:cstheme="minorHAnsi"/>
                <w:b/>
                <w:i/>
              </w:rPr>
              <w:t>in deliberate violation of law or</w:t>
            </w:r>
            <w:r w:rsidRPr="005963E4">
              <w:rPr>
                <w:rFonts w:cstheme="minorHAnsi"/>
              </w:rPr>
              <w:t xml:space="preserve"> </w:t>
            </w:r>
            <w:r w:rsidRPr="005963E4">
              <w:rPr>
                <w:rFonts w:cstheme="minorHAnsi"/>
                <w:b/>
                <w:i/>
              </w:rPr>
              <w:t>with reckless disregard for applicable obligations</w:t>
            </w:r>
            <w:r w:rsidRPr="005963E4">
              <w:rPr>
                <w:rFonts w:cstheme="minorHAnsi"/>
              </w:rPr>
              <w:t>:</w:t>
            </w:r>
          </w:p>
          <w:p w:rsidR="00FC01D7" w:rsidRPr="005963E4" w:rsidRDefault="00FC01D7" w:rsidP="00364E8D">
            <w:pPr>
              <w:spacing w:after="0" w:line="240" w:lineRule="auto"/>
              <w:ind w:left="397"/>
              <w:jc w:val="both"/>
              <w:rPr>
                <w:rFonts w:cstheme="minorHAnsi"/>
              </w:rPr>
            </w:pPr>
          </w:p>
          <w:p w:rsidR="00FC01D7" w:rsidRPr="005963E4" w:rsidRDefault="00FC01D7" w:rsidP="00364E8D">
            <w:pPr>
              <w:spacing w:after="0" w:line="240" w:lineRule="auto"/>
              <w:ind w:left="397"/>
              <w:jc w:val="both"/>
              <w:rPr>
                <w:rFonts w:cstheme="minorHAnsi"/>
              </w:rPr>
            </w:pPr>
            <w:r w:rsidRPr="005963E4">
              <w:rPr>
                <w:rFonts w:cstheme="minorHAnsi"/>
              </w:rPr>
              <w:t>. . . .</w:t>
            </w:r>
          </w:p>
          <w:p w:rsidR="00AA70ED" w:rsidRPr="005963E4" w:rsidRDefault="00AA70ED" w:rsidP="00364E8D">
            <w:pPr>
              <w:autoSpaceDE w:val="0"/>
              <w:autoSpaceDN w:val="0"/>
              <w:adjustRightInd w:val="0"/>
              <w:spacing w:after="0" w:line="240" w:lineRule="auto"/>
              <w:ind w:left="397"/>
              <w:rPr>
                <w:rFonts w:cstheme="minorHAnsi"/>
                <w:lang w:val="en-GB"/>
              </w:rPr>
            </w:pPr>
          </w:p>
          <w:p w:rsidR="000C3CF8" w:rsidRPr="005963E4" w:rsidRDefault="000C3CF8" w:rsidP="00364E8D">
            <w:pPr>
              <w:autoSpaceDE w:val="0"/>
              <w:autoSpaceDN w:val="0"/>
              <w:adjustRightInd w:val="0"/>
              <w:spacing w:after="0" w:line="240" w:lineRule="auto"/>
              <w:ind w:left="397"/>
              <w:jc w:val="both"/>
              <w:rPr>
                <w:rFonts w:cstheme="minorHAnsi"/>
                <w:lang w:val="en-GB"/>
              </w:rPr>
            </w:pPr>
            <w:r w:rsidRPr="005963E4">
              <w:rPr>
                <w:rFonts w:cstheme="minorHAnsi"/>
                <w:lang w:val="en-GB"/>
              </w:rPr>
              <w:t>5. The supervisory authority</w:t>
            </w:r>
            <w:r w:rsidRPr="005963E4">
              <w:rPr>
                <w:rFonts w:cstheme="minorHAnsi"/>
                <w:b/>
                <w:i/>
                <w:lang w:val="en-GB"/>
              </w:rPr>
              <w:t xml:space="preserve"> may, in its </w:t>
            </w:r>
            <w:r w:rsidRPr="005963E4">
              <w:rPr>
                <w:rFonts w:cstheme="minorHAnsi"/>
                <w:b/>
                <w:i/>
                <w:lang w:val="en-GB"/>
              </w:rPr>
              <w:lastRenderedPageBreak/>
              <w:t>discretion,</w:t>
            </w:r>
            <w:r w:rsidRPr="005963E4">
              <w:rPr>
                <w:rFonts w:cstheme="minorHAnsi"/>
                <w:lang w:val="en-GB"/>
              </w:rPr>
              <w:t xml:space="preserve"> impose a</w:t>
            </w:r>
            <w:r w:rsidR="00EC6D58" w:rsidRPr="005963E4">
              <w:rPr>
                <w:rFonts w:cstheme="minorHAnsi"/>
                <w:lang w:val="en-GB"/>
              </w:rPr>
              <w:t xml:space="preserve"> </w:t>
            </w:r>
            <w:r w:rsidR="00EC6D58" w:rsidRPr="005963E4">
              <w:rPr>
                <w:rFonts w:cstheme="minorHAnsi"/>
                <w:b/>
                <w:i/>
                <w:lang w:val="en-GB"/>
              </w:rPr>
              <w:t>total</w:t>
            </w:r>
            <w:r w:rsidRPr="005963E4">
              <w:rPr>
                <w:rFonts w:cstheme="minorHAnsi"/>
                <w:lang w:val="en-GB"/>
              </w:rPr>
              <w:t xml:space="preserve"> fine up to 500 000 EUR, or in case of an enterprise up to 1 % of its annual worldwide turnover, </w:t>
            </w:r>
            <w:r w:rsidR="00981EB6" w:rsidRPr="005963E4">
              <w:rPr>
                <w:rFonts w:cstheme="minorHAnsi"/>
                <w:b/>
                <w:i/>
              </w:rPr>
              <w:t>up</w:t>
            </w:r>
            <w:r w:rsidR="00981EB6" w:rsidRPr="005963E4">
              <w:rPr>
                <w:rFonts w:cstheme="minorHAnsi"/>
                <w:b/>
                <w:i/>
                <w:lang w:val="en-GB"/>
              </w:rPr>
              <w:t xml:space="preserve"> </w:t>
            </w:r>
            <w:r w:rsidRPr="005963E4">
              <w:rPr>
                <w:rFonts w:cstheme="minorHAnsi"/>
                <w:b/>
                <w:i/>
                <w:lang w:val="en-GB"/>
              </w:rPr>
              <w:t>to a maximum of 1 000 000 EUR</w:t>
            </w:r>
            <w:r w:rsidR="00E050A9" w:rsidRPr="005963E4">
              <w:rPr>
                <w:rFonts w:cstheme="minorHAnsi"/>
                <w:b/>
                <w:i/>
                <w:lang w:val="en-GB"/>
              </w:rPr>
              <w:t xml:space="preserve"> per case</w:t>
            </w:r>
            <w:r w:rsidRPr="005963E4">
              <w:rPr>
                <w:rFonts w:cstheme="minorHAnsi"/>
                <w:lang w:val="en-GB"/>
              </w:rPr>
              <w:t>, to anyone who,</w:t>
            </w:r>
            <w:r w:rsidRPr="005963E4">
              <w:rPr>
                <w:rFonts w:cstheme="minorHAnsi"/>
                <w:b/>
                <w:i/>
                <w:lang w:val="en-GB"/>
              </w:rPr>
              <w:t xml:space="preserve"> in deliberate violation of law or with reckless disregard for applicable obligations</w:t>
            </w:r>
            <w:r w:rsidRPr="005963E4">
              <w:rPr>
                <w:rFonts w:cstheme="minorHAnsi"/>
                <w:lang w:val="en-GB"/>
              </w:rPr>
              <w:t>:</w:t>
            </w:r>
          </w:p>
          <w:p w:rsidR="002216C8" w:rsidRPr="005963E4" w:rsidRDefault="002216C8" w:rsidP="00364E8D">
            <w:pPr>
              <w:autoSpaceDE w:val="0"/>
              <w:autoSpaceDN w:val="0"/>
              <w:adjustRightInd w:val="0"/>
              <w:spacing w:after="0" w:line="240" w:lineRule="auto"/>
              <w:ind w:left="397"/>
              <w:jc w:val="both"/>
              <w:rPr>
                <w:rFonts w:cstheme="minorHAnsi"/>
                <w:lang w:val="en-GB"/>
              </w:rPr>
            </w:pPr>
          </w:p>
          <w:p w:rsidR="002216C8" w:rsidRPr="005963E4" w:rsidRDefault="002216C8" w:rsidP="00364E8D">
            <w:pPr>
              <w:autoSpaceDE w:val="0"/>
              <w:autoSpaceDN w:val="0"/>
              <w:adjustRightInd w:val="0"/>
              <w:spacing w:after="0" w:line="240" w:lineRule="auto"/>
              <w:ind w:left="397"/>
              <w:jc w:val="both"/>
              <w:rPr>
                <w:rFonts w:cstheme="minorHAnsi"/>
                <w:lang w:val="en-GB"/>
              </w:rPr>
            </w:pPr>
            <w:r w:rsidRPr="005963E4">
              <w:rPr>
                <w:rFonts w:cstheme="minorHAnsi"/>
                <w:lang w:val="en-GB"/>
              </w:rPr>
              <w:t>. . . .</w:t>
            </w:r>
          </w:p>
          <w:p w:rsidR="000C3CF8" w:rsidRPr="005963E4" w:rsidRDefault="000C3CF8" w:rsidP="00364E8D">
            <w:pPr>
              <w:autoSpaceDE w:val="0"/>
              <w:autoSpaceDN w:val="0"/>
              <w:adjustRightInd w:val="0"/>
              <w:spacing w:after="0" w:line="240" w:lineRule="auto"/>
              <w:jc w:val="both"/>
              <w:rPr>
                <w:rFonts w:cstheme="minorHAnsi"/>
                <w:lang w:val="en-GB"/>
              </w:rPr>
            </w:pPr>
          </w:p>
          <w:p w:rsidR="000C3CF8" w:rsidRPr="005963E4" w:rsidRDefault="000C3CF8" w:rsidP="00364E8D">
            <w:pPr>
              <w:autoSpaceDE w:val="0"/>
              <w:autoSpaceDN w:val="0"/>
              <w:adjustRightInd w:val="0"/>
              <w:spacing w:after="0" w:line="240" w:lineRule="auto"/>
              <w:ind w:left="397"/>
              <w:jc w:val="both"/>
              <w:rPr>
                <w:rFonts w:cstheme="minorHAnsi"/>
                <w:lang w:val="en-GB"/>
              </w:rPr>
            </w:pPr>
            <w:r w:rsidRPr="005963E4">
              <w:rPr>
                <w:rFonts w:cstheme="minorHAnsi"/>
                <w:lang w:val="en-GB"/>
              </w:rPr>
              <w:t xml:space="preserve">6. The supervisory authority </w:t>
            </w:r>
            <w:r w:rsidRPr="005963E4">
              <w:rPr>
                <w:rFonts w:cstheme="minorHAnsi"/>
                <w:b/>
                <w:i/>
                <w:lang w:val="en-GB"/>
              </w:rPr>
              <w:t>may, in its discretion,</w:t>
            </w:r>
            <w:r w:rsidRPr="005963E4">
              <w:rPr>
                <w:rFonts w:cstheme="minorHAnsi"/>
                <w:lang w:val="en-GB"/>
              </w:rPr>
              <w:t xml:space="preserve"> impose a </w:t>
            </w:r>
            <w:r w:rsidR="00EC6D58" w:rsidRPr="005963E4">
              <w:rPr>
                <w:rFonts w:cstheme="minorHAnsi"/>
                <w:b/>
                <w:i/>
                <w:lang w:val="en-GB"/>
              </w:rPr>
              <w:t xml:space="preserve">total </w:t>
            </w:r>
            <w:r w:rsidRPr="005963E4">
              <w:rPr>
                <w:rFonts w:cstheme="minorHAnsi"/>
                <w:lang w:val="en-GB"/>
              </w:rPr>
              <w:t>fine up to 1 000 000 EUR or, in case of an enterprise up to 2 % of its annual worldwide turnover</w:t>
            </w:r>
            <w:r w:rsidR="00981EB6" w:rsidRPr="005963E4">
              <w:rPr>
                <w:rFonts w:cstheme="minorHAnsi"/>
                <w:lang w:val="en-GB"/>
              </w:rPr>
              <w:t xml:space="preserve"> </w:t>
            </w:r>
            <w:r w:rsidR="00981EB6" w:rsidRPr="005963E4">
              <w:rPr>
                <w:rFonts w:cstheme="minorHAnsi"/>
                <w:b/>
                <w:i/>
              </w:rPr>
              <w:t>up</w:t>
            </w:r>
            <w:r w:rsidRPr="005963E4">
              <w:rPr>
                <w:rFonts w:cstheme="minorHAnsi"/>
                <w:lang w:val="en-GB"/>
              </w:rPr>
              <w:t xml:space="preserve"> </w:t>
            </w:r>
            <w:r w:rsidRPr="005963E4">
              <w:rPr>
                <w:rFonts w:cstheme="minorHAnsi"/>
                <w:b/>
                <w:i/>
                <w:lang w:val="en-GB"/>
              </w:rPr>
              <w:t>to a maximum of 2 000 000 EUR</w:t>
            </w:r>
            <w:r w:rsidR="00E050A9" w:rsidRPr="005963E4">
              <w:rPr>
                <w:rFonts w:cstheme="minorHAnsi"/>
                <w:b/>
                <w:i/>
                <w:lang w:val="en-GB"/>
              </w:rPr>
              <w:t xml:space="preserve"> per case</w:t>
            </w:r>
            <w:r w:rsidRPr="005963E4">
              <w:rPr>
                <w:rFonts w:cstheme="minorHAnsi"/>
                <w:lang w:val="en-GB"/>
              </w:rPr>
              <w:t xml:space="preserve">, to anyone who, </w:t>
            </w:r>
            <w:r w:rsidRPr="005963E4">
              <w:rPr>
                <w:rFonts w:cstheme="minorHAnsi"/>
                <w:b/>
                <w:i/>
                <w:lang w:val="en-GB"/>
              </w:rPr>
              <w:t>in deliberate violation of law or with reckless disregard for applicable obligations</w:t>
            </w:r>
            <w:r w:rsidRPr="005963E4">
              <w:rPr>
                <w:rFonts w:cstheme="minorHAnsi"/>
                <w:lang w:val="en-GB"/>
              </w:rPr>
              <w:t>:</w:t>
            </w:r>
          </w:p>
          <w:p w:rsidR="000C3CF8" w:rsidRPr="005963E4" w:rsidRDefault="000C3CF8" w:rsidP="00364E8D">
            <w:pPr>
              <w:autoSpaceDE w:val="0"/>
              <w:autoSpaceDN w:val="0"/>
              <w:adjustRightInd w:val="0"/>
              <w:spacing w:after="0" w:line="240" w:lineRule="auto"/>
              <w:ind w:left="397"/>
              <w:jc w:val="both"/>
              <w:rPr>
                <w:rFonts w:cstheme="minorHAnsi"/>
                <w:lang w:val="en-GB"/>
              </w:rPr>
            </w:pPr>
          </w:p>
          <w:p w:rsidR="002216C8" w:rsidRPr="005963E4" w:rsidRDefault="002216C8" w:rsidP="00364E8D">
            <w:pPr>
              <w:autoSpaceDE w:val="0"/>
              <w:autoSpaceDN w:val="0"/>
              <w:adjustRightInd w:val="0"/>
              <w:spacing w:after="0" w:line="240" w:lineRule="auto"/>
              <w:ind w:left="397"/>
              <w:jc w:val="both"/>
              <w:rPr>
                <w:rFonts w:cstheme="minorHAnsi"/>
                <w:lang w:val="en-GB"/>
              </w:rPr>
            </w:pPr>
            <w:r w:rsidRPr="005963E4">
              <w:rPr>
                <w:rFonts w:cstheme="minorHAnsi"/>
                <w:lang w:val="en-GB"/>
              </w:rPr>
              <w:t>. . . .</w:t>
            </w:r>
          </w:p>
          <w:p w:rsidR="009F6629" w:rsidRPr="005963E4" w:rsidRDefault="009F6629" w:rsidP="00364E8D">
            <w:pPr>
              <w:autoSpaceDE w:val="0"/>
              <w:autoSpaceDN w:val="0"/>
              <w:adjustRightInd w:val="0"/>
              <w:spacing w:after="0" w:line="240" w:lineRule="auto"/>
              <w:ind w:left="397"/>
              <w:jc w:val="both"/>
              <w:rPr>
                <w:rFonts w:cstheme="minorHAnsi"/>
                <w:lang w:val="en-GB"/>
              </w:rPr>
            </w:pPr>
          </w:p>
          <w:p w:rsidR="009F6629" w:rsidRPr="005963E4" w:rsidRDefault="009F6629" w:rsidP="009F6629">
            <w:pPr>
              <w:autoSpaceDE w:val="0"/>
              <w:autoSpaceDN w:val="0"/>
              <w:adjustRightInd w:val="0"/>
              <w:spacing w:after="0" w:line="240" w:lineRule="auto"/>
              <w:ind w:left="397"/>
              <w:jc w:val="both"/>
              <w:rPr>
                <w:rFonts w:cstheme="minorHAnsi"/>
                <w:lang w:val="en-GB"/>
              </w:rPr>
            </w:pPr>
          </w:p>
          <w:p w:rsidR="009F6629" w:rsidRPr="005963E4" w:rsidRDefault="009F6629" w:rsidP="009F6629">
            <w:pPr>
              <w:autoSpaceDE w:val="0"/>
              <w:autoSpaceDN w:val="0"/>
              <w:adjustRightInd w:val="0"/>
              <w:spacing w:after="0" w:line="240" w:lineRule="auto"/>
              <w:ind w:left="397"/>
              <w:jc w:val="both"/>
              <w:rPr>
                <w:rFonts w:cstheme="minorHAnsi"/>
                <w:lang w:val="en-GB"/>
              </w:rPr>
            </w:pPr>
            <w:r w:rsidRPr="005963E4">
              <w:rPr>
                <w:rFonts w:cstheme="minorHAnsi"/>
                <w:b/>
                <w:i/>
                <w:lang w:val="en-GB"/>
              </w:rPr>
              <w:t xml:space="preserve">Where evidence exists to demonstrate the continued failure of the sanctions established in  paragraphs 1 to 6 of this Article to </w:t>
            </w:r>
            <w:r w:rsidR="00FD21C7" w:rsidRPr="005963E4">
              <w:rPr>
                <w:rFonts w:cstheme="minorHAnsi"/>
                <w:b/>
                <w:i/>
                <w:lang w:val="en-GB"/>
              </w:rPr>
              <w:t xml:space="preserve">address </w:t>
            </w:r>
            <w:r w:rsidRPr="005963E4">
              <w:rPr>
                <w:rFonts w:cstheme="minorHAnsi"/>
                <w:b/>
                <w:i/>
                <w:lang w:val="en-GB"/>
              </w:rPr>
              <w:t>serious abuses, t</w:t>
            </w:r>
            <w:r w:rsidRPr="005963E4">
              <w:rPr>
                <w:rFonts w:cstheme="minorHAnsi"/>
                <w:lang w:val="en-GB"/>
              </w:rPr>
              <w:t>he Commission shall be empowered to adopt delegated acts in accordance with</w:t>
            </w:r>
          </w:p>
          <w:p w:rsidR="009F6629" w:rsidRPr="005963E4" w:rsidRDefault="009F6629" w:rsidP="009F6629">
            <w:pPr>
              <w:autoSpaceDE w:val="0"/>
              <w:autoSpaceDN w:val="0"/>
              <w:adjustRightInd w:val="0"/>
              <w:spacing w:after="0" w:line="240" w:lineRule="auto"/>
              <w:ind w:left="397"/>
              <w:jc w:val="both"/>
              <w:rPr>
                <w:rFonts w:cstheme="minorHAnsi"/>
                <w:lang w:val="en-GB"/>
              </w:rPr>
            </w:pPr>
            <w:r w:rsidRPr="005963E4">
              <w:rPr>
                <w:rFonts w:cstheme="minorHAnsi"/>
                <w:lang w:val="en-GB"/>
              </w:rPr>
              <w:t>Article 86 for the purpose of updating the amounts of the administrative fines</w:t>
            </w:r>
          </w:p>
          <w:p w:rsidR="009F6629" w:rsidRPr="005963E4" w:rsidRDefault="009F6629" w:rsidP="009F6629">
            <w:pPr>
              <w:autoSpaceDE w:val="0"/>
              <w:autoSpaceDN w:val="0"/>
              <w:adjustRightInd w:val="0"/>
              <w:spacing w:after="0" w:line="240" w:lineRule="auto"/>
              <w:ind w:left="397"/>
              <w:jc w:val="both"/>
              <w:rPr>
                <w:rFonts w:cstheme="minorHAnsi"/>
                <w:lang w:val="en-GB"/>
              </w:rPr>
            </w:pPr>
            <w:r w:rsidRPr="005963E4">
              <w:rPr>
                <w:rFonts w:cstheme="minorHAnsi"/>
                <w:lang w:val="en-GB"/>
              </w:rPr>
              <w:t>referred to in paragraphs 4, 5 and 6, taking into account the criteria referred to in</w:t>
            </w:r>
          </w:p>
          <w:p w:rsidR="009F6629" w:rsidRPr="005963E4" w:rsidRDefault="009F6629" w:rsidP="009F6629">
            <w:pPr>
              <w:autoSpaceDE w:val="0"/>
              <w:autoSpaceDN w:val="0"/>
              <w:adjustRightInd w:val="0"/>
              <w:spacing w:after="0" w:line="240" w:lineRule="auto"/>
              <w:ind w:left="397"/>
              <w:jc w:val="both"/>
              <w:rPr>
                <w:rFonts w:cstheme="minorHAnsi"/>
                <w:lang w:val="en-GB"/>
              </w:rPr>
            </w:pPr>
            <w:proofErr w:type="gramStart"/>
            <w:r w:rsidRPr="005963E4">
              <w:rPr>
                <w:rFonts w:cstheme="minorHAnsi"/>
                <w:lang w:val="en-GB"/>
              </w:rPr>
              <w:t>paragraph</w:t>
            </w:r>
            <w:proofErr w:type="gramEnd"/>
            <w:r w:rsidRPr="005963E4">
              <w:rPr>
                <w:rFonts w:cstheme="minorHAnsi"/>
                <w:lang w:val="en-GB"/>
              </w:rPr>
              <w:t xml:space="preserve"> 2.</w:t>
            </w:r>
          </w:p>
          <w:p w:rsidR="00024DD8" w:rsidRPr="005963E4" w:rsidRDefault="00024DD8" w:rsidP="00364E8D">
            <w:pPr>
              <w:spacing w:after="0" w:line="240" w:lineRule="auto"/>
              <w:ind w:left="397"/>
              <w:jc w:val="both"/>
              <w:rPr>
                <w:rFonts w:cstheme="minorHAnsi"/>
              </w:rPr>
            </w:pPr>
          </w:p>
          <w:p w:rsidR="00024DD8" w:rsidRPr="005963E4" w:rsidRDefault="00024DD8" w:rsidP="00364E8D">
            <w:pPr>
              <w:spacing w:after="0" w:line="240" w:lineRule="auto"/>
              <w:ind w:left="397"/>
              <w:jc w:val="both"/>
              <w:rPr>
                <w:rFonts w:cstheme="minorHAnsi"/>
              </w:rPr>
            </w:pPr>
          </w:p>
          <w:p w:rsidR="00054974" w:rsidRPr="005963E4" w:rsidRDefault="00054974" w:rsidP="00364E8D">
            <w:pPr>
              <w:spacing w:after="0" w:line="240" w:lineRule="auto"/>
              <w:ind w:left="397"/>
              <w:jc w:val="both"/>
              <w:rPr>
                <w:rFonts w:cstheme="minorHAnsi"/>
              </w:rPr>
            </w:pPr>
          </w:p>
          <w:p w:rsidR="00024DD8" w:rsidRPr="005963E4" w:rsidRDefault="00024DD8" w:rsidP="00364E8D">
            <w:pPr>
              <w:spacing w:after="0" w:line="240" w:lineRule="auto"/>
              <w:jc w:val="both"/>
              <w:rPr>
                <w:rFonts w:cstheme="minorHAnsi"/>
                <w:lang w:val="en-GB" w:eastAsia="en-GB"/>
              </w:rPr>
            </w:pPr>
            <w:r w:rsidRPr="005963E4">
              <w:rPr>
                <w:rFonts w:cstheme="minorHAnsi"/>
                <w:b/>
                <w:i/>
              </w:rPr>
              <w:t xml:space="preserve"> </w:t>
            </w:r>
          </w:p>
        </w:tc>
      </w:tr>
    </w:tbl>
    <w:p w:rsidR="00C00175" w:rsidRPr="005963E4" w:rsidRDefault="00024DD8" w:rsidP="00364E8D">
      <w:pPr>
        <w:spacing w:after="0" w:line="240" w:lineRule="auto"/>
        <w:jc w:val="center"/>
        <w:rPr>
          <w:rFonts w:cstheme="minorHAnsi"/>
          <w:i/>
        </w:rPr>
      </w:pPr>
      <w:r w:rsidRPr="005963E4">
        <w:rPr>
          <w:rFonts w:cstheme="minorHAnsi"/>
          <w:i/>
        </w:rPr>
        <w:lastRenderedPageBreak/>
        <w:t>Justification</w:t>
      </w:r>
    </w:p>
    <w:p w:rsidR="00C00175" w:rsidRPr="005963E4" w:rsidRDefault="00C00175" w:rsidP="00364E8D">
      <w:pPr>
        <w:spacing w:after="0" w:line="240" w:lineRule="auto"/>
        <w:jc w:val="both"/>
        <w:rPr>
          <w:rFonts w:cstheme="minorHAnsi"/>
          <w:b/>
          <w:i/>
          <w:u w:val="single"/>
        </w:rPr>
      </w:pPr>
    </w:p>
    <w:p w:rsidR="00E16458" w:rsidRPr="005963E4" w:rsidRDefault="00024DD8" w:rsidP="00364E8D">
      <w:pPr>
        <w:spacing w:after="0" w:line="240" w:lineRule="auto"/>
        <w:jc w:val="both"/>
        <w:rPr>
          <w:rFonts w:cstheme="minorHAnsi"/>
          <w:i/>
        </w:rPr>
      </w:pPr>
      <w:r w:rsidRPr="005963E4">
        <w:rPr>
          <w:rFonts w:cstheme="minorHAnsi"/>
          <w:i/>
        </w:rPr>
        <w:t xml:space="preserve">These amendments modify the proposal in </w:t>
      </w:r>
      <w:r w:rsidR="004733E4" w:rsidRPr="005963E4">
        <w:rPr>
          <w:rFonts w:cstheme="minorHAnsi"/>
          <w:i/>
        </w:rPr>
        <w:t xml:space="preserve">four </w:t>
      </w:r>
      <w:r w:rsidRPr="005963E4">
        <w:rPr>
          <w:rFonts w:cstheme="minorHAnsi"/>
          <w:i/>
        </w:rPr>
        <w:t>key ways:</w:t>
      </w:r>
    </w:p>
    <w:p w:rsidR="00E16458" w:rsidRPr="005963E4" w:rsidRDefault="00E16458" w:rsidP="00364E8D">
      <w:pPr>
        <w:spacing w:after="0" w:line="240" w:lineRule="auto"/>
        <w:jc w:val="both"/>
        <w:rPr>
          <w:rFonts w:cstheme="minorHAnsi"/>
          <w:i/>
        </w:rPr>
      </w:pPr>
    </w:p>
    <w:p w:rsidR="00024DD8" w:rsidRPr="005963E4" w:rsidRDefault="00E16458" w:rsidP="00364E8D">
      <w:pPr>
        <w:numPr>
          <w:ilvl w:val="0"/>
          <w:numId w:val="7"/>
        </w:numPr>
        <w:tabs>
          <w:tab w:val="left" w:pos="284"/>
        </w:tabs>
        <w:spacing w:after="0" w:line="240" w:lineRule="auto"/>
        <w:jc w:val="both"/>
        <w:rPr>
          <w:rFonts w:cstheme="minorHAnsi"/>
          <w:i/>
        </w:rPr>
      </w:pPr>
      <w:r w:rsidRPr="005963E4">
        <w:rPr>
          <w:rFonts w:cstheme="minorHAnsi"/>
          <w:i/>
        </w:rPr>
        <w:tab/>
      </w:r>
      <w:r w:rsidR="00024DD8" w:rsidRPr="005963E4">
        <w:rPr>
          <w:rFonts w:cstheme="minorHAnsi"/>
          <w:i/>
        </w:rPr>
        <w:t>First, the amendments specify the mitigating and aggravating factors that supervisory authorities should consider when imposing fines.  In doing so, the amendments ensure that higher fines are imposed on more serious misconduct, and also encourage compliance and co</w:t>
      </w:r>
      <w:r w:rsidRPr="005963E4">
        <w:rPr>
          <w:rFonts w:cstheme="minorHAnsi"/>
          <w:i/>
        </w:rPr>
        <w:t>-</w:t>
      </w:r>
      <w:r w:rsidR="00024DD8" w:rsidRPr="005963E4">
        <w:rPr>
          <w:rFonts w:cstheme="minorHAnsi"/>
          <w:i/>
        </w:rPr>
        <w:t xml:space="preserve">operation once a violation is discovered.  Specifying these factors will also promote greater consistency across the Member States in terms of the fines imposed. </w:t>
      </w:r>
    </w:p>
    <w:p w:rsidR="00024DD8" w:rsidRPr="005963E4" w:rsidRDefault="00024DD8" w:rsidP="00364E8D">
      <w:pPr>
        <w:tabs>
          <w:tab w:val="left" w:pos="284"/>
        </w:tabs>
        <w:spacing w:after="0" w:line="240" w:lineRule="auto"/>
        <w:ind w:left="284"/>
        <w:jc w:val="both"/>
        <w:rPr>
          <w:rFonts w:cstheme="minorHAnsi"/>
          <w:i/>
        </w:rPr>
      </w:pPr>
    </w:p>
    <w:p w:rsidR="00024DD8" w:rsidRPr="005963E4" w:rsidRDefault="00024DD8" w:rsidP="00364E8D">
      <w:pPr>
        <w:numPr>
          <w:ilvl w:val="0"/>
          <w:numId w:val="6"/>
        </w:numPr>
        <w:tabs>
          <w:tab w:val="left" w:pos="284"/>
        </w:tabs>
        <w:spacing w:after="0" w:line="240" w:lineRule="auto"/>
        <w:ind w:left="284" w:hanging="284"/>
        <w:jc w:val="both"/>
        <w:rPr>
          <w:rFonts w:cstheme="minorHAnsi"/>
          <w:i/>
        </w:rPr>
      </w:pPr>
      <w:r w:rsidRPr="005963E4">
        <w:rPr>
          <w:rFonts w:cstheme="minorHAnsi"/>
          <w:i/>
        </w:rPr>
        <w:t xml:space="preserve">Second, on the role that the Supervisory Authority will play, the amendment proposes to replace the term "shall" by “may in its discretion”.  This is to avoid burdensome and bureaucratic procedures for minor infringements and to </w:t>
      </w:r>
      <w:proofErr w:type="spellStart"/>
      <w:r w:rsidRPr="005963E4">
        <w:rPr>
          <w:rFonts w:cstheme="minorHAnsi"/>
          <w:i/>
        </w:rPr>
        <w:t>emphasi</w:t>
      </w:r>
      <w:r w:rsidR="00E16458" w:rsidRPr="005963E4">
        <w:rPr>
          <w:rFonts w:cstheme="minorHAnsi"/>
          <w:i/>
        </w:rPr>
        <w:t>s</w:t>
      </w:r>
      <w:r w:rsidRPr="005963E4">
        <w:rPr>
          <w:rFonts w:cstheme="minorHAnsi"/>
          <w:i/>
        </w:rPr>
        <w:t>e</w:t>
      </w:r>
      <w:proofErr w:type="spellEnd"/>
      <w:r w:rsidRPr="005963E4">
        <w:rPr>
          <w:rFonts w:cstheme="minorHAnsi"/>
          <w:i/>
        </w:rPr>
        <w:t xml:space="preserve"> the fact that there are circumstances where such administrative fines would be disproportionate. </w:t>
      </w:r>
      <w:r w:rsidR="00E16458" w:rsidRPr="005963E4">
        <w:rPr>
          <w:rFonts w:cstheme="minorHAnsi"/>
          <w:i/>
        </w:rPr>
        <w:t xml:space="preserve"> </w:t>
      </w:r>
      <w:r w:rsidRPr="005963E4">
        <w:rPr>
          <w:rFonts w:cstheme="minorHAnsi"/>
          <w:i/>
        </w:rPr>
        <w:t>It is up the independence and discretion to the Supervisory Authority to decide how to use this sanction.</w:t>
      </w:r>
    </w:p>
    <w:p w:rsidR="00024DD8" w:rsidRPr="005963E4" w:rsidRDefault="00024DD8" w:rsidP="00364E8D">
      <w:pPr>
        <w:pStyle w:val="ListParagraph"/>
        <w:rPr>
          <w:rFonts w:asciiTheme="minorHAnsi" w:hAnsiTheme="minorHAnsi" w:cstheme="minorHAnsi"/>
          <w:i/>
          <w:sz w:val="22"/>
          <w:szCs w:val="22"/>
        </w:rPr>
      </w:pPr>
    </w:p>
    <w:p w:rsidR="00024DD8" w:rsidRPr="005963E4" w:rsidRDefault="00024DD8" w:rsidP="00364E8D">
      <w:pPr>
        <w:numPr>
          <w:ilvl w:val="0"/>
          <w:numId w:val="6"/>
        </w:numPr>
        <w:tabs>
          <w:tab w:val="left" w:pos="284"/>
        </w:tabs>
        <w:spacing w:after="0" w:line="240" w:lineRule="auto"/>
        <w:ind w:left="284" w:hanging="284"/>
        <w:jc w:val="both"/>
        <w:rPr>
          <w:rFonts w:cstheme="minorHAnsi"/>
          <w:i/>
        </w:rPr>
      </w:pPr>
      <w:r w:rsidRPr="005963E4">
        <w:rPr>
          <w:rFonts w:cstheme="minorHAnsi"/>
          <w:i/>
        </w:rPr>
        <w:t>Third, the amendments make clear that where an individual or entity has already been subject to sanction in another proceeding (such as a civil judgment), that fact should be considered in assessing a fine.  This avoids</w:t>
      </w:r>
      <w:r w:rsidRPr="005963E4">
        <w:rPr>
          <w:rFonts w:cstheme="minorHAnsi"/>
          <w:i/>
          <w:lang w:val="en-GB"/>
        </w:rPr>
        <w:t xml:space="preserve"> penali</w:t>
      </w:r>
      <w:r w:rsidR="00E16458" w:rsidRPr="005963E4">
        <w:rPr>
          <w:rFonts w:cstheme="minorHAnsi"/>
          <w:i/>
          <w:lang w:val="en-GB"/>
        </w:rPr>
        <w:t>s</w:t>
      </w:r>
      <w:r w:rsidRPr="005963E4">
        <w:rPr>
          <w:rFonts w:cstheme="minorHAnsi"/>
          <w:i/>
          <w:lang w:val="en-GB"/>
        </w:rPr>
        <w:t>ing</w:t>
      </w:r>
      <w:r w:rsidRPr="005963E4">
        <w:rPr>
          <w:rFonts w:cstheme="minorHAnsi"/>
          <w:i/>
        </w:rPr>
        <w:t xml:space="preserve"> a party twice for the same conduct. </w:t>
      </w:r>
    </w:p>
    <w:p w:rsidR="00024DD8" w:rsidRPr="005963E4" w:rsidRDefault="00024DD8" w:rsidP="00364E8D">
      <w:pPr>
        <w:tabs>
          <w:tab w:val="left" w:pos="284"/>
        </w:tabs>
        <w:spacing w:after="0" w:line="240" w:lineRule="auto"/>
        <w:ind w:left="284" w:hanging="284"/>
        <w:jc w:val="both"/>
        <w:rPr>
          <w:rFonts w:cstheme="minorHAnsi"/>
          <w:i/>
        </w:rPr>
      </w:pPr>
    </w:p>
    <w:p w:rsidR="00024DD8" w:rsidRPr="005963E4" w:rsidRDefault="00024DD8" w:rsidP="00364E8D">
      <w:pPr>
        <w:numPr>
          <w:ilvl w:val="0"/>
          <w:numId w:val="6"/>
        </w:numPr>
        <w:tabs>
          <w:tab w:val="left" w:pos="284"/>
        </w:tabs>
        <w:spacing w:after="0" w:line="240" w:lineRule="auto"/>
        <w:ind w:left="284" w:hanging="284"/>
        <w:jc w:val="both"/>
        <w:rPr>
          <w:rFonts w:cstheme="minorHAnsi"/>
          <w:i/>
        </w:rPr>
      </w:pPr>
      <w:r w:rsidRPr="005963E4">
        <w:rPr>
          <w:rFonts w:cstheme="minorHAnsi"/>
          <w:i/>
        </w:rPr>
        <w:t xml:space="preserve">Finally, the amendments reflect the fact that while deliberate or reckless violations of the proposed Regulation should merit substantial penalties, imposing the same penalties on merely negligent violations would be disproportionate.  The proposed amendments allow supervisory authorities to impose administrative fines that constitute meaningful deterrents; at the same time, these provisions ensure that the most punitive sanctions are reserved for truly bad actors.  </w:t>
      </w:r>
    </w:p>
    <w:p w:rsidR="00024DD8" w:rsidRPr="005963E4" w:rsidRDefault="00024DD8" w:rsidP="00364E8D">
      <w:pPr>
        <w:spacing w:after="0" w:line="240" w:lineRule="auto"/>
        <w:jc w:val="both"/>
        <w:rPr>
          <w:rFonts w:cstheme="minorHAnsi"/>
          <w:i/>
        </w:rPr>
      </w:pPr>
    </w:p>
    <w:p w:rsidR="00024DD8" w:rsidRPr="005963E4" w:rsidRDefault="00024DD8" w:rsidP="00364E8D">
      <w:pPr>
        <w:spacing w:after="0" w:line="240" w:lineRule="auto"/>
        <w:jc w:val="both"/>
        <w:rPr>
          <w:rFonts w:cstheme="minorHAnsi"/>
          <w:i/>
        </w:rPr>
      </w:pPr>
      <w:r w:rsidRPr="005963E4">
        <w:rPr>
          <w:rFonts w:cstheme="minorHAnsi"/>
          <w:i/>
        </w:rPr>
        <w:t>If the Commission nonetheless concludes that negligent conduct should also be covered in the Regulation, it</w:t>
      </w:r>
      <w:r w:rsidR="00C85356" w:rsidRPr="005963E4">
        <w:rPr>
          <w:rFonts w:cstheme="minorHAnsi"/>
          <w:i/>
        </w:rPr>
        <w:t xml:space="preserve"> i</w:t>
      </w:r>
      <w:r w:rsidRPr="005963E4">
        <w:rPr>
          <w:rFonts w:cstheme="minorHAnsi"/>
          <w:i/>
        </w:rPr>
        <w:t>s crucial to specify the language on how negligence should be assessed</w:t>
      </w:r>
      <w:r w:rsidR="003D0B6F" w:rsidRPr="005963E4">
        <w:rPr>
          <w:rFonts w:cstheme="minorHAnsi"/>
          <w:i/>
        </w:rPr>
        <w:t>.  We would recommend the following</w:t>
      </w:r>
      <w:r w:rsidRPr="005963E4">
        <w:rPr>
          <w:rFonts w:cstheme="minorHAnsi"/>
          <w:i/>
        </w:rPr>
        <w:t xml:space="preserve">: </w:t>
      </w:r>
    </w:p>
    <w:p w:rsidR="00C85356" w:rsidRPr="005963E4" w:rsidRDefault="00C85356" w:rsidP="00364E8D">
      <w:pPr>
        <w:spacing w:after="0" w:line="240" w:lineRule="auto"/>
        <w:jc w:val="both"/>
        <w:rPr>
          <w:rFonts w:cstheme="minorHAnsi"/>
          <w:i/>
        </w:rPr>
      </w:pPr>
    </w:p>
    <w:p w:rsidR="00024DD8" w:rsidRPr="005963E4" w:rsidRDefault="00024DD8" w:rsidP="00364E8D">
      <w:pPr>
        <w:spacing w:after="0" w:line="240" w:lineRule="auto"/>
        <w:ind w:left="284" w:hanging="284"/>
        <w:jc w:val="both"/>
        <w:rPr>
          <w:rFonts w:cstheme="minorHAnsi"/>
          <w:i/>
        </w:rPr>
      </w:pPr>
      <w:r w:rsidRPr="005963E4">
        <w:rPr>
          <w:rFonts w:cstheme="minorHAnsi"/>
          <w:i/>
        </w:rPr>
        <w:t>1.  The supervisory authority may also impose administrative sanctions in the case of negligent violations of the provisions identified in paragraphs 4, 5 and 6.  In cases of negligent violation, the administrative fine shall be set at the lower limit of the ranges established in paragraphs 4, 5 and 6, and shall take into account the criteria referred to in paragraphs 2, 2(a) and 2(b).</w:t>
      </w:r>
    </w:p>
    <w:p w:rsidR="00C85356" w:rsidRPr="005963E4" w:rsidRDefault="00C85356" w:rsidP="00364E8D">
      <w:pPr>
        <w:spacing w:after="0" w:line="240" w:lineRule="auto"/>
        <w:ind w:left="284" w:hanging="284"/>
        <w:jc w:val="both"/>
        <w:rPr>
          <w:rFonts w:cstheme="minorHAnsi"/>
          <w:i/>
        </w:rPr>
      </w:pPr>
    </w:p>
    <w:p w:rsidR="00024DD8" w:rsidRPr="005963E4" w:rsidRDefault="00024DD8" w:rsidP="00364E8D">
      <w:pPr>
        <w:spacing w:after="0" w:line="240" w:lineRule="auto"/>
        <w:jc w:val="both"/>
        <w:rPr>
          <w:rFonts w:cstheme="minorHAnsi"/>
          <w:i/>
        </w:rPr>
      </w:pPr>
      <w:r w:rsidRPr="005963E4">
        <w:rPr>
          <w:rFonts w:cstheme="minorHAnsi"/>
          <w:i/>
        </w:rPr>
        <w:t>2.  Negligent violations are those where the natural or legal person:</w:t>
      </w:r>
    </w:p>
    <w:p w:rsidR="00024DD8" w:rsidRPr="005963E4" w:rsidRDefault="00024DD8" w:rsidP="00364E8D">
      <w:pPr>
        <w:pStyle w:val="ListParagraph"/>
        <w:numPr>
          <w:ilvl w:val="0"/>
          <w:numId w:val="13"/>
        </w:numPr>
        <w:jc w:val="both"/>
        <w:rPr>
          <w:rFonts w:asciiTheme="minorHAnsi" w:hAnsiTheme="minorHAnsi" w:cstheme="minorHAnsi"/>
          <w:i/>
        </w:rPr>
      </w:pPr>
      <w:r w:rsidRPr="005963E4">
        <w:rPr>
          <w:rFonts w:asciiTheme="minorHAnsi" w:hAnsiTheme="minorHAnsi" w:cstheme="minorHAnsi"/>
          <w:i/>
          <w:sz w:val="22"/>
          <w:szCs w:val="22"/>
        </w:rPr>
        <w:t>fails to take appropriate measures to ensure that the processing of personal data is performed in compliance with its obligations;</w:t>
      </w:r>
    </w:p>
    <w:p w:rsidR="00024DD8" w:rsidRPr="005963E4" w:rsidRDefault="00024DD8" w:rsidP="00364E8D">
      <w:pPr>
        <w:pStyle w:val="ListParagraph"/>
        <w:numPr>
          <w:ilvl w:val="0"/>
          <w:numId w:val="13"/>
        </w:numPr>
        <w:jc w:val="both"/>
        <w:rPr>
          <w:rFonts w:asciiTheme="minorHAnsi" w:hAnsiTheme="minorHAnsi" w:cstheme="minorHAnsi"/>
          <w:i/>
        </w:rPr>
      </w:pPr>
      <w:r w:rsidRPr="005963E4">
        <w:rPr>
          <w:rFonts w:asciiTheme="minorHAnsi" w:hAnsiTheme="minorHAnsi" w:cstheme="minorHAnsi"/>
          <w:i/>
          <w:sz w:val="22"/>
          <w:szCs w:val="22"/>
        </w:rPr>
        <w:t xml:space="preserve">does not commit the violation deliberately or with reckless disregard of the relevant obligations; and </w:t>
      </w:r>
    </w:p>
    <w:p w:rsidR="00FE25F8" w:rsidRPr="005963E4" w:rsidRDefault="00024DD8" w:rsidP="00364E8D">
      <w:pPr>
        <w:pStyle w:val="ListParagraph"/>
        <w:numPr>
          <w:ilvl w:val="0"/>
          <w:numId w:val="13"/>
        </w:numPr>
        <w:jc w:val="both"/>
        <w:rPr>
          <w:rFonts w:asciiTheme="minorHAnsi" w:hAnsiTheme="minorHAnsi" w:cstheme="minorHAnsi"/>
          <w:i/>
        </w:rPr>
      </w:pPr>
      <w:proofErr w:type="gramStart"/>
      <w:r w:rsidRPr="005963E4">
        <w:rPr>
          <w:rFonts w:asciiTheme="minorHAnsi" w:hAnsiTheme="minorHAnsi" w:cstheme="minorHAnsi"/>
          <w:i/>
          <w:sz w:val="22"/>
          <w:szCs w:val="22"/>
        </w:rPr>
        <w:t>in</w:t>
      </w:r>
      <w:proofErr w:type="gramEnd"/>
      <w:r w:rsidRPr="005963E4">
        <w:rPr>
          <w:rFonts w:asciiTheme="minorHAnsi" w:hAnsiTheme="minorHAnsi" w:cstheme="minorHAnsi"/>
          <w:i/>
          <w:sz w:val="22"/>
          <w:szCs w:val="22"/>
        </w:rPr>
        <w:t xml:space="preserve"> committing the violation, exposes the data subject(s) to substantial risk of harm. </w:t>
      </w:r>
    </w:p>
    <w:p w:rsidR="00FE25F8" w:rsidRPr="005963E4" w:rsidRDefault="00FE25F8" w:rsidP="00364E8D">
      <w:pPr>
        <w:spacing w:line="240" w:lineRule="auto"/>
        <w:rPr>
          <w:rFonts w:cstheme="minorHAnsi"/>
          <w:i/>
        </w:rPr>
      </w:pPr>
      <w:r w:rsidRPr="005963E4">
        <w:rPr>
          <w:rFonts w:cstheme="minorHAnsi"/>
          <w:i/>
        </w:rPr>
        <w:br w:type="page"/>
      </w:r>
    </w:p>
    <w:p w:rsidR="00024DD8" w:rsidRPr="005963E4" w:rsidRDefault="00FE25F8" w:rsidP="00364E8D">
      <w:pPr>
        <w:spacing w:line="240" w:lineRule="auto"/>
        <w:jc w:val="center"/>
        <w:rPr>
          <w:rFonts w:cstheme="minorHAnsi"/>
          <w:b/>
          <w:u w:val="single"/>
        </w:rPr>
      </w:pPr>
      <w:r w:rsidRPr="005963E4">
        <w:rPr>
          <w:rFonts w:cstheme="minorHAnsi"/>
          <w:b/>
          <w:u w:val="single"/>
        </w:rPr>
        <w:lastRenderedPageBreak/>
        <w:t>Data Breach</w:t>
      </w:r>
    </w:p>
    <w:p w:rsidR="00FE25F8" w:rsidRPr="005963E4" w:rsidRDefault="00FE25F8" w:rsidP="00364E8D">
      <w:pPr>
        <w:pStyle w:val="AMNumberTabs"/>
        <w:keepNext/>
        <w:rPr>
          <w:rFonts w:asciiTheme="minorHAnsi" w:hAnsiTheme="minorHAnsi" w:cstheme="minorHAnsi"/>
          <w:sz w:val="22"/>
          <w:szCs w:val="22"/>
        </w:rPr>
      </w:pPr>
      <w:r w:rsidRPr="005963E4">
        <w:rPr>
          <w:rFonts w:asciiTheme="minorHAnsi" w:hAnsiTheme="minorHAnsi" w:cstheme="minorHAnsi"/>
          <w:sz w:val="22"/>
          <w:szCs w:val="22"/>
        </w:rPr>
        <w:t>Amendment</w:t>
      </w:r>
      <w:r w:rsidRPr="005963E4">
        <w:rPr>
          <w:rFonts w:asciiTheme="minorHAnsi" w:hAnsiTheme="minorHAnsi" w:cstheme="minorHAnsi"/>
          <w:sz w:val="22"/>
          <w:szCs w:val="22"/>
        </w:rPr>
        <w:tab/>
      </w:r>
      <w:r w:rsidRPr="005963E4">
        <w:rPr>
          <w:rFonts w:asciiTheme="minorHAnsi" w:hAnsiTheme="minorHAnsi" w:cstheme="minorHAnsi"/>
          <w:sz w:val="22"/>
          <w:szCs w:val="22"/>
        </w:rPr>
        <w:tab/>
      </w:r>
    </w:p>
    <w:p w:rsidR="00FE25F8" w:rsidRPr="005963E4" w:rsidRDefault="00FE25F8" w:rsidP="00364E8D">
      <w:pPr>
        <w:pStyle w:val="NormalBold"/>
        <w:keepNext/>
        <w:rPr>
          <w:rFonts w:asciiTheme="minorHAnsi" w:hAnsiTheme="minorHAnsi" w:cstheme="minorHAnsi"/>
          <w:sz w:val="22"/>
          <w:szCs w:val="22"/>
        </w:rPr>
      </w:pPr>
      <w:r w:rsidRPr="005963E4">
        <w:rPr>
          <w:rFonts w:asciiTheme="minorHAnsi" w:hAnsiTheme="minorHAnsi" w:cstheme="minorHAnsi"/>
          <w:sz w:val="22"/>
          <w:szCs w:val="22"/>
        </w:rPr>
        <w:t>Proposal for a regulation</w:t>
      </w:r>
    </w:p>
    <w:p w:rsidR="00FE25F8" w:rsidRPr="005963E4" w:rsidRDefault="00FE25F8" w:rsidP="00364E8D">
      <w:pPr>
        <w:spacing w:line="240" w:lineRule="auto"/>
        <w:rPr>
          <w:rFonts w:cstheme="minorHAnsi"/>
          <w:b/>
        </w:rPr>
      </w:pPr>
      <w:r w:rsidRPr="005963E4">
        <w:rPr>
          <w:rFonts w:cstheme="minorHAnsi"/>
          <w:b/>
        </w:rPr>
        <w:t xml:space="preserve">Article </w:t>
      </w:r>
      <w:r w:rsidR="008319C1" w:rsidRPr="005963E4">
        <w:rPr>
          <w:rFonts w:cstheme="minorHAnsi"/>
          <w:b/>
        </w:rPr>
        <w:t>3</w:t>
      </w:r>
      <w:r w:rsidR="006C554F" w:rsidRPr="005963E4">
        <w:rPr>
          <w:rFonts w:cstheme="minorHAnsi"/>
          <w:b/>
        </w:rPr>
        <w:t>1</w:t>
      </w:r>
      <w:r w:rsidR="008319C1" w:rsidRPr="005963E4">
        <w:rPr>
          <w:rFonts w:cstheme="minorHAnsi"/>
          <w:b/>
        </w:rPr>
        <w:t xml:space="preserve"> – paragraph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319C1" w:rsidRPr="005963E4" w:rsidTr="003D0B6F">
        <w:tc>
          <w:tcPr>
            <w:tcW w:w="4788" w:type="dxa"/>
          </w:tcPr>
          <w:p w:rsidR="008319C1" w:rsidRPr="005963E4" w:rsidRDefault="008319C1" w:rsidP="00364E8D">
            <w:pPr>
              <w:spacing w:after="200"/>
              <w:jc w:val="center"/>
              <w:rPr>
                <w:rFonts w:cstheme="minorHAnsi"/>
                <w:i/>
                <w:sz w:val="22"/>
                <w:szCs w:val="22"/>
              </w:rPr>
            </w:pPr>
            <w:r w:rsidRPr="005963E4">
              <w:rPr>
                <w:rFonts w:cstheme="minorHAnsi"/>
                <w:i/>
                <w:sz w:val="22"/>
                <w:szCs w:val="22"/>
              </w:rPr>
              <w:t>Text proposed by the Commission</w:t>
            </w:r>
          </w:p>
        </w:tc>
        <w:tc>
          <w:tcPr>
            <w:tcW w:w="4788" w:type="dxa"/>
          </w:tcPr>
          <w:p w:rsidR="008319C1" w:rsidRPr="005963E4" w:rsidRDefault="008319C1" w:rsidP="00364E8D">
            <w:pPr>
              <w:spacing w:after="200"/>
              <w:jc w:val="center"/>
              <w:rPr>
                <w:rFonts w:cstheme="minorHAnsi"/>
                <w:i/>
                <w:sz w:val="22"/>
                <w:szCs w:val="22"/>
              </w:rPr>
            </w:pPr>
            <w:r w:rsidRPr="005963E4">
              <w:rPr>
                <w:rFonts w:cstheme="minorHAnsi"/>
                <w:i/>
                <w:sz w:val="22"/>
                <w:szCs w:val="22"/>
              </w:rPr>
              <w:t>Amendment</w:t>
            </w:r>
          </w:p>
        </w:tc>
      </w:tr>
      <w:tr w:rsidR="008319C1" w:rsidRPr="005963E4" w:rsidTr="003D0B6F">
        <w:tc>
          <w:tcPr>
            <w:tcW w:w="4788" w:type="dxa"/>
          </w:tcPr>
          <w:p w:rsidR="008319C1" w:rsidRPr="005963E4" w:rsidRDefault="001D7382" w:rsidP="00364E8D">
            <w:pPr>
              <w:ind w:right="177"/>
              <w:jc w:val="both"/>
              <w:rPr>
                <w:rFonts w:cstheme="minorHAnsi"/>
                <w:b/>
                <w:i/>
                <w:sz w:val="22"/>
                <w:szCs w:val="22"/>
              </w:rPr>
            </w:pPr>
            <w:r w:rsidRPr="005963E4">
              <w:rPr>
                <w:rFonts w:cstheme="minorHAnsi"/>
                <w:sz w:val="22"/>
                <w:szCs w:val="22"/>
              </w:rPr>
              <w:t xml:space="preserve">1. </w:t>
            </w:r>
            <w:r w:rsidR="008319C1" w:rsidRPr="005963E4">
              <w:rPr>
                <w:rFonts w:cstheme="minorHAnsi"/>
                <w:sz w:val="22"/>
                <w:szCs w:val="22"/>
              </w:rPr>
              <w:t xml:space="preserve">In the case of a personal data breach, the controller shall without undue delay </w:t>
            </w:r>
            <w:r w:rsidR="008319C1" w:rsidRPr="005963E4">
              <w:rPr>
                <w:rFonts w:cstheme="minorHAnsi"/>
                <w:b/>
                <w:i/>
                <w:sz w:val="22"/>
                <w:szCs w:val="22"/>
              </w:rPr>
              <w:t>and,</w:t>
            </w:r>
            <w:r w:rsidR="00C85356" w:rsidRPr="005963E4">
              <w:rPr>
                <w:rFonts w:cstheme="minorHAnsi"/>
                <w:b/>
                <w:i/>
                <w:sz w:val="22"/>
                <w:szCs w:val="22"/>
              </w:rPr>
              <w:t xml:space="preserve"> </w:t>
            </w:r>
            <w:r w:rsidR="008319C1" w:rsidRPr="005963E4">
              <w:rPr>
                <w:rFonts w:cstheme="minorHAnsi"/>
                <w:b/>
                <w:i/>
                <w:sz w:val="22"/>
                <w:szCs w:val="22"/>
              </w:rPr>
              <w:t>where feasible, not later than 24 hours after having become aware of it,</w:t>
            </w:r>
            <w:r w:rsidR="008319C1" w:rsidRPr="005963E4">
              <w:rPr>
                <w:rFonts w:cstheme="minorHAnsi"/>
                <w:sz w:val="22"/>
                <w:szCs w:val="22"/>
              </w:rPr>
              <w:t xml:space="preserve"> notify the</w:t>
            </w:r>
            <w:r w:rsidR="00F51DDE" w:rsidRPr="005963E4">
              <w:rPr>
                <w:rFonts w:cstheme="minorHAnsi"/>
                <w:sz w:val="22"/>
                <w:szCs w:val="22"/>
              </w:rPr>
              <w:t xml:space="preserve"> </w:t>
            </w:r>
            <w:r w:rsidR="008319C1" w:rsidRPr="005963E4">
              <w:rPr>
                <w:rFonts w:cstheme="minorHAnsi"/>
                <w:sz w:val="22"/>
                <w:szCs w:val="22"/>
              </w:rPr>
              <w:t xml:space="preserve">personal data breach to </w:t>
            </w:r>
            <w:r w:rsidR="008319C1" w:rsidRPr="005963E4">
              <w:rPr>
                <w:rFonts w:cstheme="minorHAnsi"/>
                <w:b/>
                <w:i/>
                <w:sz w:val="22"/>
                <w:szCs w:val="22"/>
              </w:rPr>
              <w:t>the</w:t>
            </w:r>
            <w:r w:rsidR="008319C1" w:rsidRPr="005963E4">
              <w:rPr>
                <w:rFonts w:cstheme="minorHAnsi"/>
                <w:sz w:val="22"/>
                <w:szCs w:val="22"/>
              </w:rPr>
              <w:t xml:space="preserve"> supervisory authority.</w:t>
            </w:r>
            <w:r w:rsidR="006514F8" w:rsidRPr="005963E4">
              <w:rPr>
                <w:rFonts w:cstheme="minorHAnsi"/>
                <w:sz w:val="22"/>
                <w:szCs w:val="22"/>
              </w:rPr>
              <w:t xml:space="preserve">  </w:t>
            </w:r>
            <w:r w:rsidR="008319C1" w:rsidRPr="005963E4">
              <w:rPr>
                <w:rFonts w:cstheme="minorHAnsi"/>
                <w:b/>
                <w:i/>
                <w:sz w:val="22"/>
                <w:szCs w:val="22"/>
              </w:rPr>
              <w:t>The notification to the supervisory</w:t>
            </w:r>
            <w:r w:rsidR="00C85356" w:rsidRPr="005963E4">
              <w:rPr>
                <w:rFonts w:cstheme="minorHAnsi"/>
                <w:b/>
                <w:i/>
                <w:sz w:val="22"/>
                <w:szCs w:val="22"/>
              </w:rPr>
              <w:t xml:space="preserve"> </w:t>
            </w:r>
            <w:r w:rsidR="008319C1" w:rsidRPr="005963E4">
              <w:rPr>
                <w:rFonts w:cstheme="minorHAnsi"/>
                <w:b/>
                <w:i/>
                <w:sz w:val="22"/>
                <w:szCs w:val="22"/>
              </w:rPr>
              <w:t>authority shall be accompanied by a reasoned justification in cases where it is not</w:t>
            </w:r>
          </w:p>
          <w:p w:rsidR="008319C1" w:rsidRPr="005963E4" w:rsidRDefault="008319C1" w:rsidP="00364E8D">
            <w:pPr>
              <w:ind w:right="177"/>
              <w:jc w:val="both"/>
              <w:rPr>
                <w:rFonts w:cstheme="minorHAnsi"/>
                <w:sz w:val="22"/>
                <w:szCs w:val="22"/>
              </w:rPr>
            </w:pPr>
            <w:proofErr w:type="gramStart"/>
            <w:r w:rsidRPr="005963E4">
              <w:rPr>
                <w:rFonts w:cstheme="minorHAnsi"/>
                <w:b/>
                <w:i/>
                <w:sz w:val="22"/>
                <w:szCs w:val="22"/>
              </w:rPr>
              <w:t>made</w:t>
            </w:r>
            <w:proofErr w:type="gramEnd"/>
            <w:r w:rsidRPr="005963E4">
              <w:rPr>
                <w:rFonts w:cstheme="minorHAnsi"/>
                <w:b/>
                <w:i/>
                <w:sz w:val="22"/>
                <w:szCs w:val="22"/>
              </w:rPr>
              <w:t xml:space="preserve"> within 24 hours.</w:t>
            </w:r>
          </w:p>
        </w:tc>
        <w:tc>
          <w:tcPr>
            <w:tcW w:w="4788" w:type="dxa"/>
          </w:tcPr>
          <w:p w:rsidR="008319C1" w:rsidRPr="005963E4" w:rsidRDefault="001D7382" w:rsidP="00364E8D">
            <w:pPr>
              <w:ind w:left="397" w:right="288"/>
              <w:jc w:val="both"/>
              <w:rPr>
                <w:rFonts w:cstheme="minorHAnsi"/>
                <w:sz w:val="22"/>
                <w:szCs w:val="22"/>
              </w:rPr>
            </w:pPr>
            <w:r w:rsidRPr="005963E4">
              <w:rPr>
                <w:rFonts w:cstheme="minorHAnsi"/>
                <w:sz w:val="22"/>
                <w:szCs w:val="22"/>
              </w:rPr>
              <w:t xml:space="preserve">1. </w:t>
            </w:r>
            <w:r w:rsidR="008319C1" w:rsidRPr="005963E4">
              <w:rPr>
                <w:rFonts w:cstheme="minorHAnsi"/>
                <w:sz w:val="22"/>
                <w:szCs w:val="22"/>
              </w:rPr>
              <w:t>In the case of a personal data breach</w:t>
            </w:r>
            <w:r w:rsidR="006C554F" w:rsidRPr="005963E4">
              <w:rPr>
                <w:rFonts w:cstheme="minorHAnsi"/>
                <w:sz w:val="22"/>
                <w:szCs w:val="22"/>
              </w:rPr>
              <w:t xml:space="preserve"> </w:t>
            </w:r>
            <w:r w:rsidR="006C554F" w:rsidRPr="005963E4">
              <w:rPr>
                <w:rFonts w:cstheme="minorHAnsi"/>
                <w:b/>
                <w:i/>
                <w:sz w:val="22"/>
                <w:szCs w:val="22"/>
              </w:rPr>
              <w:t>that is likely to lead to significant risk of substantial harm to a data subject</w:t>
            </w:r>
            <w:r w:rsidR="008319C1" w:rsidRPr="005963E4">
              <w:rPr>
                <w:rFonts w:cstheme="minorHAnsi"/>
                <w:sz w:val="22"/>
                <w:szCs w:val="22"/>
              </w:rPr>
              <w:t>, the controller shall without undue delay notify the</w:t>
            </w:r>
            <w:r w:rsidR="006C554F" w:rsidRPr="005963E4">
              <w:rPr>
                <w:rFonts w:cstheme="minorHAnsi"/>
                <w:sz w:val="22"/>
                <w:szCs w:val="22"/>
              </w:rPr>
              <w:t xml:space="preserve"> </w:t>
            </w:r>
            <w:r w:rsidR="008319C1" w:rsidRPr="005963E4">
              <w:rPr>
                <w:rFonts w:cstheme="minorHAnsi"/>
                <w:sz w:val="22"/>
                <w:szCs w:val="22"/>
              </w:rPr>
              <w:t xml:space="preserve">personal data breach to </w:t>
            </w:r>
            <w:r w:rsidR="003B02B3" w:rsidRPr="005963E4">
              <w:rPr>
                <w:rFonts w:cstheme="minorHAnsi"/>
                <w:b/>
                <w:i/>
                <w:sz w:val="22"/>
                <w:szCs w:val="22"/>
              </w:rPr>
              <w:t xml:space="preserve">its competent </w:t>
            </w:r>
            <w:r w:rsidR="008319C1" w:rsidRPr="005963E4">
              <w:rPr>
                <w:rFonts w:cstheme="minorHAnsi"/>
                <w:sz w:val="22"/>
                <w:szCs w:val="22"/>
              </w:rPr>
              <w:t xml:space="preserve">supervisory authority. </w:t>
            </w:r>
            <w:r w:rsidR="00836286" w:rsidRPr="005963E4">
              <w:rPr>
                <w:rFonts w:cstheme="minorHAnsi"/>
                <w:sz w:val="22"/>
                <w:szCs w:val="22"/>
              </w:rPr>
              <w:t xml:space="preserve">  </w:t>
            </w:r>
          </w:p>
        </w:tc>
      </w:tr>
    </w:tbl>
    <w:p w:rsidR="00A11A17" w:rsidRPr="005963E4" w:rsidRDefault="00A11A17" w:rsidP="00364E8D">
      <w:pPr>
        <w:spacing w:line="240" w:lineRule="auto"/>
        <w:rPr>
          <w:rFonts w:cstheme="minorHAnsi"/>
        </w:rPr>
      </w:pPr>
    </w:p>
    <w:p w:rsidR="00A11A17" w:rsidRPr="005963E4" w:rsidRDefault="00A11A17" w:rsidP="00364E8D">
      <w:pPr>
        <w:pStyle w:val="AMNumberTabs"/>
        <w:keepNext/>
        <w:rPr>
          <w:rFonts w:asciiTheme="minorHAnsi" w:hAnsiTheme="minorHAnsi" w:cstheme="minorHAnsi"/>
          <w:sz w:val="22"/>
          <w:szCs w:val="22"/>
        </w:rPr>
      </w:pPr>
      <w:r w:rsidRPr="005963E4">
        <w:rPr>
          <w:rFonts w:asciiTheme="minorHAnsi" w:hAnsiTheme="minorHAnsi" w:cstheme="minorHAnsi"/>
          <w:sz w:val="22"/>
          <w:szCs w:val="22"/>
        </w:rPr>
        <w:t>Amendment</w:t>
      </w:r>
      <w:r w:rsidRPr="005963E4">
        <w:rPr>
          <w:rFonts w:asciiTheme="minorHAnsi" w:hAnsiTheme="minorHAnsi" w:cstheme="minorHAnsi"/>
          <w:sz w:val="22"/>
          <w:szCs w:val="22"/>
        </w:rPr>
        <w:tab/>
      </w:r>
      <w:r w:rsidRPr="005963E4">
        <w:rPr>
          <w:rFonts w:asciiTheme="minorHAnsi" w:hAnsiTheme="minorHAnsi" w:cstheme="minorHAnsi"/>
          <w:sz w:val="22"/>
          <w:szCs w:val="22"/>
        </w:rPr>
        <w:tab/>
      </w:r>
    </w:p>
    <w:p w:rsidR="00A11A17" w:rsidRPr="005963E4" w:rsidRDefault="00A11A17" w:rsidP="00364E8D">
      <w:pPr>
        <w:pStyle w:val="NormalBold"/>
        <w:keepNext/>
        <w:rPr>
          <w:rFonts w:asciiTheme="minorHAnsi" w:hAnsiTheme="minorHAnsi" w:cstheme="minorHAnsi"/>
          <w:sz w:val="22"/>
          <w:szCs w:val="22"/>
        </w:rPr>
      </w:pPr>
      <w:r w:rsidRPr="005963E4">
        <w:rPr>
          <w:rFonts w:asciiTheme="minorHAnsi" w:hAnsiTheme="minorHAnsi" w:cstheme="minorHAnsi"/>
          <w:sz w:val="22"/>
          <w:szCs w:val="22"/>
        </w:rPr>
        <w:t>Proposal for a regulation</w:t>
      </w:r>
    </w:p>
    <w:p w:rsidR="00A11A17" w:rsidRPr="005963E4" w:rsidRDefault="00A11A17" w:rsidP="00364E8D">
      <w:pPr>
        <w:spacing w:line="240" w:lineRule="auto"/>
        <w:rPr>
          <w:rFonts w:cstheme="minorHAnsi"/>
        </w:rPr>
      </w:pPr>
      <w:r w:rsidRPr="005963E4">
        <w:rPr>
          <w:rFonts w:cstheme="minorHAnsi"/>
          <w:b/>
        </w:rPr>
        <w:t>Article 31</w:t>
      </w:r>
      <w:r w:rsidR="004B5D2C" w:rsidRPr="005963E4">
        <w:rPr>
          <w:rFonts w:cstheme="minorHAnsi"/>
          <w:b/>
        </w:rPr>
        <w:t xml:space="preserve"> </w:t>
      </w:r>
      <w:r w:rsidRPr="005963E4">
        <w:rPr>
          <w:rFonts w:cstheme="minorHAnsi"/>
          <w:b/>
        </w:rPr>
        <w:t>a</w:t>
      </w:r>
      <w:r w:rsidR="001D7382" w:rsidRPr="005963E4">
        <w:rPr>
          <w:rFonts w:cstheme="minorHAnsi"/>
          <w:b/>
        </w:rPr>
        <w:t xml:space="preserve"> (new)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B205B" w:rsidRPr="005963E4" w:rsidTr="00F0476F">
        <w:tc>
          <w:tcPr>
            <w:tcW w:w="4788" w:type="dxa"/>
          </w:tcPr>
          <w:p w:rsidR="00AB205B" w:rsidRPr="005963E4" w:rsidRDefault="00AB205B" w:rsidP="00364E8D">
            <w:pPr>
              <w:spacing w:after="200"/>
              <w:jc w:val="center"/>
              <w:rPr>
                <w:rFonts w:cstheme="minorHAnsi"/>
                <w:i/>
                <w:sz w:val="22"/>
                <w:szCs w:val="22"/>
              </w:rPr>
            </w:pPr>
            <w:r w:rsidRPr="005963E4">
              <w:rPr>
                <w:rFonts w:cstheme="minorHAnsi"/>
                <w:i/>
                <w:sz w:val="22"/>
                <w:szCs w:val="22"/>
              </w:rPr>
              <w:t>Text proposed by the Commission</w:t>
            </w:r>
          </w:p>
        </w:tc>
        <w:tc>
          <w:tcPr>
            <w:tcW w:w="4788" w:type="dxa"/>
          </w:tcPr>
          <w:p w:rsidR="00AB205B" w:rsidRPr="005963E4" w:rsidRDefault="00AB205B" w:rsidP="00364E8D">
            <w:pPr>
              <w:spacing w:after="200"/>
              <w:jc w:val="center"/>
              <w:rPr>
                <w:rFonts w:cstheme="minorHAnsi"/>
                <w:i/>
                <w:sz w:val="22"/>
                <w:szCs w:val="22"/>
              </w:rPr>
            </w:pPr>
            <w:r w:rsidRPr="005963E4">
              <w:rPr>
                <w:rFonts w:cstheme="minorHAnsi"/>
                <w:i/>
                <w:sz w:val="22"/>
                <w:szCs w:val="22"/>
              </w:rPr>
              <w:t>Amendment</w:t>
            </w:r>
          </w:p>
        </w:tc>
      </w:tr>
      <w:tr w:rsidR="00AB205B" w:rsidRPr="005963E4" w:rsidTr="003D0B6F">
        <w:trPr>
          <w:trHeight w:val="2712"/>
        </w:trPr>
        <w:tc>
          <w:tcPr>
            <w:tcW w:w="4788" w:type="dxa"/>
          </w:tcPr>
          <w:p w:rsidR="00AB205B" w:rsidRPr="005963E4" w:rsidRDefault="00AB205B" w:rsidP="00364E8D">
            <w:pPr>
              <w:rPr>
                <w:rFonts w:cstheme="minorHAnsi"/>
                <w:sz w:val="22"/>
                <w:szCs w:val="22"/>
              </w:rPr>
            </w:pPr>
          </w:p>
          <w:p w:rsidR="00AB205B" w:rsidRPr="005963E4" w:rsidRDefault="00AB205B" w:rsidP="00364E8D">
            <w:pPr>
              <w:rPr>
                <w:rFonts w:cstheme="minorHAnsi"/>
                <w:sz w:val="22"/>
                <w:szCs w:val="22"/>
              </w:rPr>
            </w:pPr>
          </w:p>
          <w:p w:rsidR="00AB205B" w:rsidRPr="005963E4" w:rsidRDefault="00AB205B" w:rsidP="00364E8D">
            <w:pPr>
              <w:rPr>
                <w:rFonts w:cstheme="minorHAnsi"/>
                <w:sz w:val="22"/>
                <w:szCs w:val="22"/>
              </w:rPr>
            </w:pPr>
          </w:p>
          <w:p w:rsidR="00AB205B" w:rsidRPr="005963E4" w:rsidRDefault="00AB205B" w:rsidP="00364E8D">
            <w:pPr>
              <w:rPr>
                <w:rFonts w:cstheme="minorHAnsi"/>
                <w:sz w:val="22"/>
                <w:szCs w:val="22"/>
              </w:rPr>
            </w:pPr>
          </w:p>
          <w:p w:rsidR="00AB205B" w:rsidRPr="005963E4" w:rsidRDefault="00AB205B" w:rsidP="00364E8D">
            <w:pPr>
              <w:rPr>
                <w:rFonts w:cstheme="minorHAnsi"/>
                <w:sz w:val="22"/>
                <w:szCs w:val="22"/>
              </w:rPr>
            </w:pPr>
          </w:p>
          <w:p w:rsidR="00AB205B" w:rsidRPr="005963E4" w:rsidRDefault="00AB205B" w:rsidP="00364E8D">
            <w:pPr>
              <w:rPr>
                <w:rFonts w:cstheme="minorHAnsi"/>
                <w:sz w:val="22"/>
                <w:szCs w:val="22"/>
              </w:rPr>
            </w:pPr>
          </w:p>
          <w:p w:rsidR="00AB205B" w:rsidRPr="005963E4" w:rsidRDefault="00AB205B" w:rsidP="00364E8D">
            <w:pPr>
              <w:rPr>
                <w:rFonts w:cstheme="minorHAnsi"/>
                <w:sz w:val="22"/>
                <w:szCs w:val="22"/>
              </w:rPr>
            </w:pPr>
          </w:p>
          <w:p w:rsidR="00AB205B" w:rsidRPr="005963E4" w:rsidRDefault="00AB205B" w:rsidP="00364E8D">
            <w:pPr>
              <w:rPr>
                <w:rFonts w:cstheme="minorHAnsi"/>
                <w:sz w:val="22"/>
                <w:szCs w:val="22"/>
              </w:rPr>
            </w:pPr>
          </w:p>
          <w:p w:rsidR="00AB205B" w:rsidRPr="005963E4" w:rsidRDefault="00AB205B" w:rsidP="00364E8D">
            <w:pPr>
              <w:rPr>
                <w:rFonts w:cstheme="minorHAnsi"/>
                <w:sz w:val="22"/>
                <w:szCs w:val="22"/>
              </w:rPr>
            </w:pPr>
          </w:p>
          <w:p w:rsidR="00AB205B" w:rsidRPr="005963E4" w:rsidRDefault="00AB205B" w:rsidP="00364E8D">
            <w:pPr>
              <w:rPr>
                <w:rFonts w:cstheme="minorHAnsi"/>
                <w:sz w:val="22"/>
                <w:szCs w:val="22"/>
              </w:rPr>
            </w:pPr>
          </w:p>
        </w:tc>
        <w:tc>
          <w:tcPr>
            <w:tcW w:w="4788" w:type="dxa"/>
          </w:tcPr>
          <w:p w:rsidR="00AB205B" w:rsidRPr="005963E4" w:rsidRDefault="00AB205B" w:rsidP="00364E8D">
            <w:pPr>
              <w:ind w:left="397" w:right="288"/>
              <w:jc w:val="both"/>
              <w:rPr>
                <w:rFonts w:cstheme="minorHAnsi"/>
                <w:sz w:val="22"/>
                <w:szCs w:val="22"/>
              </w:rPr>
            </w:pPr>
            <w:r w:rsidRPr="005963E4">
              <w:rPr>
                <w:rFonts w:cstheme="minorHAnsi"/>
                <w:b/>
                <w:i/>
                <w:sz w:val="22"/>
                <w:szCs w:val="22"/>
              </w:rPr>
              <w:t xml:space="preserve">Notification of a personal data breach shall not be required if the controller demonstrates to the satisfaction of the competent authority that it has implemented appropriate </w:t>
            </w:r>
            <w:r w:rsidR="00B430F0" w:rsidRPr="005963E4">
              <w:rPr>
                <w:rFonts w:cstheme="minorHAnsi"/>
                <w:b/>
                <w:i/>
                <w:sz w:val="22"/>
                <w:szCs w:val="22"/>
              </w:rPr>
              <w:t>t</w:t>
            </w:r>
            <w:r w:rsidRPr="005963E4">
              <w:rPr>
                <w:rFonts w:cstheme="minorHAnsi"/>
                <w:b/>
                <w:i/>
                <w:sz w:val="22"/>
                <w:szCs w:val="22"/>
              </w:rPr>
              <w:t xml:space="preserve">echnological protection measures, and that those measures were applied to the data concerned by the security breach. </w:t>
            </w:r>
            <w:r w:rsidR="00B430F0" w:rsidRPr="005963E4">
              <w:rPr>
                <w:rFonts w:cstheme="minorHAnsi"/>
                <w:b/>
                <w:i/>
                <w:sz w:val="22"/>
                <w:szCs w:val="22"/>
              </w:rPr>
              <w:t xml:space="preserve"> </w:t>
            </w:r>
            <w:r w:rsidRPr="005963E4">
              <w:rPr>
                <w:rFonts w:cstheme="minorHAnsi"/>
                <w:b/>
                <w:i/>
                <w:sz w:val="22"/>
                <w:szCs w:val="22"/>
              </w:rPr>
              <w:t xml:space="preserve">Such technological protection measures shall render the data unintelligible to any person who is not </w:t>
            </w:r>
            <w:proofErr w:type="spellStart"/>
            <w:r w:rsidRPr="005963E4">
              <w:rPr>
                <w:rFonts w:cstheme="minorHAnsi"/>
                <w:b/>
                <w:i/>
                <w:sz w:val="22"/>
                <w:szCs w:val="22"/>
              </w:rPr>
              <w:t>authorised</w:t>
            </w:r>
            <w:proofErr w:type="spellEnd"/>
            <w:r w:rsidRPr="005963E4">
              <w:rPr>
                <w:rFonts w:cstheme="minorHAnsi"/>
                <w:b/>
                <w:i/>
                <w:sz w:val="22"/>
                <w:szCs w:val="22"/>
              </w:rPr>
              <w:t xml:space="preserve"> to access it.</w:t>
            </w:r>
            <w:r w:rsidRPr="005963E4">
              <w:rPr>
                <w:rFonts w:cstheme="minorHAnsi"/>
                <w:sz w:val="22"/>
                <w:szCs w:val="22"/>
              </w:rPr>
              <w:t xml:space="preserve">  </w:t>
            </w:r>
          </w:p>
        </w:tc>
      </w:tr>
    </w:tbl>
    <w:p w:rsidR="005D1247" w:rsidRPr="005963E4" w:rsidRDefault="005D1247" w:rsidP="00364E8D">
      <w:pPr>
        <w:pStyle w:val="AMNumberTabs"/>
        <w:keepNext/>
        <w:rPr>
          <w:rFonts w:asciiTheme="minorHAnsi" w:hAnsiTheme="minorHAnsi" w:cstheme="minorHAnsi"/>
          <w:sz w:val="22"/>
          <w:szCs w:val="22"/>
        </w:rPr>
      </w:pPr>
      <w:r w:rsidRPr="005963E4">
        <w:rPr>
          <w:rFonts w:asciiTheme="minorHAnsi" w:hAnsiTheme="minorHAnsi" w:cstheme="minorHAnsi"/>
          <w:sz w:val="22"/>
          <w:szCs w:val="22"/>
        </w:rPr>
        <w:t>Amendment</w:t>
      </w:r>
      <w:r w:rsidRPr="005963E4">
        <w:rPr>
          <w:rFonts w:asciiTheme="minorHAnsi" w:hAnsiTheme="minorHAnsi" w:cstheme="minorHAnsi"/>
          <w:sz w:val="22"/>
          <w:szCs w:val="22"/>
        </w:rPr>
        <w:tab/>
      </w:r>
      <w:r w:rsidRPr="005963E4">
        <w:rPr>
          <w:rFonts w:asciiTheme="minorHAnsi" w:hAnsiTheme="minorHAnsi" w:cstheme="minorHAnsi"/>
          <w:sz w:val="22"/>
          <w:szCs w:val="22"/>
        </w:rPr>
        <w:tab/>
      </w:r>
    </w:p>
    <w:p w:rsidR="005D1247" w:rsidRPr="005963E4" w:rsidRDefault="005D1247" w:rsidP="00364E8D">
      <w:pPr>
        <w:pStyle w:val="NormalBold"/>
        <w:keepNext/>
        <w:rPr>
          <w:rFonts w:asciiTheme="minorHAnsi" w:hAnsiTheme="minorHAnsi" w:cstheme="minorHAnsi"/>
          <w:sz w:val="22"/>
          <w:szCs w:val="22"/>
        </w:rPr>
      </w:pPr>
      <w:r w:rsidRPr="005963E4">
        <w:rPr>
          <w:rFonts w:asciiTheme="minorHAnsi" w:hAnsiTheme="minorHAnsi" w:cstheme="minorHAnsi"/>
          <w:sz w:val="22"/>
          <w:szCs w:val="22"/>
        </w:rPr>
        <w:t>Proposal for a regulation</w:t>
      </w:r>
    </w:p>
    <w:p w:rsidR="005D1247" w:rsidRPr="005963E4" w:rsidRDefault="005D1247" w:rsidP="00364E8D">
      <w:pPr>
        <w:pStyle w:val="NormalBold"/>
        <w:keepNext/>
        <w:rPr>
          <w:rFonts w:asciiTheme="minorHAnsi" w:hAnsiTheme="minorHAnsi" w:cstheme="minorHAnsi"/>
          <w:sz w:val="22"/>
          <w:szCs w:val="22"/>
        </w:rPr>
      </w:pPr>
      <w:r w:rsidRPr="005963E4">
        <w:rPr>
          <w:rFonts w:asciiTheme="minorHAnsi" w:hAnsiTheme="minorHAnsi" w:cstheme="minorHAnsi"/>
          <w:sz w:val="22"/>
          <w:szCs w:val="22"/>
        </w:rPr>
        <w:t>Article 31 – paragraph 5</w:t>
      </w:r>
    </w:p>
    <w:p w:rsidR="001D7382" w:rsidRPr="005963E4" w:rsidRDefault="001D7382" w:rsidP="00364E8D">
      <w:pPr>
        <w:pStyle w:val="NormalBold"/>
        <w:keepNext/>
        <w:rPr>
          <w:rFonts w:asciiTheme="minorHAnsi" w:hAnsiTheme="minorHAnsi"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7382" w:rsidRPr="005963E4" w:rsidTr="006E5EBD">
        <w:tc>
          <w:tcPr>
            <w:tcW w:w="4788" w:type="dxa"/>
          </w:tcPr>
          <w:p w:rsidR="001D7382" w:rsidRPr="005963E4" w:rsidRDefault="001D7382" w:rsidP="00364E8D">
            <w:pPr>
              <w:spacing w:after="200"/>
              <w:jc w:val="center"/>
              <w:rPr>
                <w:rFonts w:cstheme="minorHAnsi"/>
                <w:i/>
                <w:sz w:val="22"/>
                <w:szCs w:val="22"/>
              </w:rPr>
            </w:pPr>
            <w:r w:rsidRPr="005963E4">
              <w:rPr>
                <w:rFonts w:cstheme="minorHAnsi"/>
                <w:i/>
                <w:sz w:val="22"/>
                <w:szCs w:val="22"/>
              </w:rPr>
              <w:t>Text proposed by the Commission</w:t>
            </w:r>
          </w:p>
        </w:tc>
        <w:tc>
          <w:tcPr>
            <w:tcW w:w="4788" w:type="dxa"/>
          </w:tcPr>
          <w:p w:rsidR="001D7382" w:rsidRPr="005963E4" w:rsidRDefault="001D7382" w:rsidP="00364E8D">
            <w:pPr>
              <w:spacing w:after="200"/>
              <w:jc w:val="center"/>
              <w:rPr>
                <w:rFonts w:cstheme="minorHAnsi"/>
                <w:i/>
                <w:sz w:val="22"/>
                <w:szCs w:val="22"/>
              </w:rPr>
            </w:pPr>
            <w:r w:rsidRPr="005963E4">
              <w:rPr>
                <w:rFonts w:cstheme="minorHAnsi"/>
                <w:i/>
                <w:sz w:val="22"/>
                <w:szCs w:val="22"/>
              </w:rPr>
              <w:t>Amendment</w:t>
            </w:r>
          </w:p>
        </w:tc>
      </w:tr>
      <w:tr w:rsidR="001D7382" w:rsidRPr="005963E4" w:rsidTr="006E5EBD">
        <w:tc>
          <w:tcPr>
            <w:tcW w:w="4788" w:type="dxa"/>
          </w:tcPr>
          <w:p w:rsidR="001D7382" w:rsidRPr="005963E4" w:rsidRDefault="001D7382" w:rsidP="00364E8D">
            <w:pPr>
              <w:ind w:right="177"/>
              <w:jc w:val="both"/>
              <w:rPr>
                <w:rFonts w:cstheme="minorHAnsi"/>
                <w:sz w:val="22"/>
                <w:szCs w:val="22"/>
              </w:rPr>
            </w:pPr>
            <w:r w:rsidRPr="005963E4">
              <w:rPr>
                <w:rFonts w:cstheme="minorHAnsi"/>
                <w:b/>
                <w:i/>
                <w:sz w:val="22"/>
                <w:szCs w:val="22"/>
              </w:rPr>
              <w:t xml:space="preserve">5. The Commission shall be empowered to adopt delegated acts in accordance with Article 86 for the purpose of further specifying the criteria and requirements for establishing the data breach referred to in paragraphs 1 and 2 and for the particular circumstances in which a </w:t>
            </w:r>
            <w:r w:rsidRPr="005963E4">
              <w:rPr>
                <w:rFonts w:cstheme="minorHAnsi"/>
                <w:b/>
                <w:i/>
                <w:sz w:val="22"/>
                <w:szCs w:val="22"/>
              </w:rPr>
              <w:lastRenderedPageBreak/>
              <w:t>controller and a processor is required to notify the personal</w:t>
            </w:r>
            <w:r w:rsidR="006514F8" w:rsidRPr="005963E4">
              <w:rPr>
                <w:rFonts w:cstheme="minorHAnsi"/>
                <w:b/>
                <w:i/>
                <w:sz w:val="22"/>
                <w:szCs w:val="22"/>
              </w:rPr>
              <w:t xml:space="preserve"> </w:t>
            </w:r>
            <w:r w:rsidRPr="005963E4">
              <w:rPr>
                <w:rFonts w:cstheme="minorHAnsi"/>
                <w:b/>
                <w:i/>
                <w:sz w:val="22"/>
                <w:szCs w:val="22"/>
              </w:rPr>
              <w:t>data breach.</w:t>
            </w:r>
          </w:p>
        </w:tc>
        <w:tc>
          <w:tcPr>
            <w:tcW w:w="4788" w:type="dxa"/>
          </w:tcPr>
          <w:p w:rsidR="001D7382" w:rsidRPr="005963E4" w:rsidRDefault="001D7382" w:rsidP="00364E8D">
            <w:pPr>
              <w:spacing w:after="200"/>
              <w:ind w:left="397"/>
              <w:rPr>
                <w:rFonts w:cstheme="minorHAnsi"/>
                <w:b/>
                <w:i/>
                <w:sz w:val="22"/>
                <w:szCs w:val="22"/>
              </w:rPr>
            </w:pPr>
            <w:r w:rsidRPr="005963E4">
              <w:rPr>
                <w:rFonts w:cstheme="minorHAnsi"/>
                <w:b/>
                <w:i/>
                <w:sz w:val="22"/>
                <w:szCs w:val="22"/>
              </w:rPr>
              <w:lastRenderedPageBreak/>
              <w:t>deleted</w:t>
            </w:r>
            <w:r w:rsidRPr="005963E4">
              <w:rPr>
                <w:rFonts w:cstheme="minorHAnsi"/>
                <w:b/>
                <w:i/>
              </w:rPr>
              <w:t xml:space="preserve">   </w:t>
            </w:r>
          </w:p>
        </w:tc>
      </w:tr>
    </w:tbl>
    <w:p w:rsidR="001D7382" w:rsidRPr="005963E4" w:rsidRDefault="001D7382" w:rsidP="00364E8D">
      <w:pPr>
        <w:pStyle w:val="NormalBold"/>
        <w:keepNext/>
        <w:rPr>
          <w:rFonts w:asciiTheme="minorHAnsi" w:hAnsiTheme="minorHAnsi" w:cstheme="minorHAnsi"/>
          <w:b w:val="0"/>
          <w:sz w:val="22"/>
          <w:szCs w:val="22"/>
        </w:rPr>
      </w:pPr>
    </w:p>
    <w:p w:rsidR="008319C1" w:rsidRPr="005963E4" w:rsidRDefault="008319C1" w:rsidP="00364E8D">
      <w:pPr>
        <w:pStyle w:val="AMNumberTabs"/>
        <w:keepNext/>
        <w:spacing w:before="0"/>
        <w:rPr>
          <w:rFonts w:asciiTheme="minorHAnsi" w:hAnsiTheme="minorHAnsi" w:cstheme="minorHAnsi"/>
          <w:sz w:val="22"/>
          <w:szCs w:val="22"/>
        </w:rPr>
      </w:pPr>
      <w:r w:rsidRPr="005963E4">
        <w:rPr>
          <w:rFonts w:asciiTheme="minorHAnsi" w:hAnsiTheme="minorHAnsi" w:cstheme="minorHAnsi"/>
          <w:sz w:val="22"/>
          <w:szCs w:val="22"/>
        </w:rPr>
        <w:t>Amendment</w:t>
      </w:r>
      <w:r w:rsidRPr="005963E4">
        <w:rPr>
          <w:rFonts w:asciiTheme="minorHAnsi" w:hAnsiTheme="minorHAnsi" w:cstheme="minorHAnsi"/>
          <w:sz w:val="22"/>
          <w:szCs w:val="22"/>
        </w:rPr>
        <w:tab/>
      </w:r>
      <w:r w:rsidRPr="005963E4">
        <w:rPr>
          <w:rFonts w:asciiTheme="minorHAnsi" w:hAnsiTheme="minorHAnsi" w:cstheme="minorHAnsi"/>
          <w:sz w:val="22"/>
          <w:szCs w:val="22"/>
        </w:rPr>
        <w:tab/>
      </w:r>
    </w:p>
    <w:p w:rsidR="008319C1" w:rsidRPr="005963E4" w:rsidRDefault="008319C1" w:rsidP="00364E8D">
      <w:pPr>
        <w:pStyle w:val="NormalBold"/>
        <w:keepNext/>
        <w:rPr>
          <w:rFonts w:asciiTheme="minorHAnsi" w:hAnsiTheme="minorHAnsi" w:cstheme="minorHAnsi"/>
          <w:sz w:val="22"/>
          <w:szCs w:val="22"/>
        </w:rPr>
      </w:pPr>
      <w:r w:rsidRPr="005963E4">
        <w:rPr>
          <w:rFonts w:asciiTheme="minorHAnsi" w:hAnsiTheme="minorHAnsi" w:cstheme="minorHAnsi"/>
          <w:sz w:val="22"/>
          <w:szCs w:val="22"/>
        </w:rPr>
        <w:t>Proposal for a regulation</w:t>
      </w:r>
    </w:p>
    <w:p w:rsidR="008319C1" w:rsidRPr="005963E4" w:rsidRDefault="008319C1" w:rsidP="00364E8D">
      <w:pPr>
        <w:spacing w:after="0" w:line="240" w:lineRule="auto"/>
        <w:rPr>
          <w:rFonts w:cstheme="minorHAnsi"/>
          <w:b/>
          <w:u w:val="single"/>
        </w:rPr>
      </w:pPr>
      <w:r w:rsidRPr="005963E4">
        <w:rPr>
          <w:rFonts w:cstheme="minorHAnsi"/>
          <w:b/>
        </w:rPr>
        <w:t>Article 32 – paragraph 1</w:t>
      </w:r>
    </w:p>
    <w:p w:rsidR="00FE25F8" w:rsidRPr="005963E4" w:rsidRDefault="00FE25F8" w:rsidP="00364E8D">
      <w:pPr>
        <w:spacing w:after="0" w:line="240" w:lineRule="auto"/>
        <w:rPr>
          <w:rFonts w:cstheme="minorHAnsi"/>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E25F8" w:rsidRPr="005963E4" w:rsidTr="003D0B6F">
        <w:tc>
          <w:tcPr>
            <w:tcW w:w="4788" w:type="dxa"/>
          </w:tcPr>
          <w:p w:rsidR="00FE25F8" w:rsidRPr="005963E4" w:rsidRDefault="008319C1" w:rsidP="00364E8D">
            <w:pPr>
              <w:jc w:val="center"/>
              <w:rPr>
                <w:rFonts w:cstheme="minorHAnsi"/>
                <w:i/>
                <w:sz w:val="22"/>
                <w:szCs w:val="22"/>
              </w:rPr>
            </w:pPr>
            <w:r w:rsidRPr="005963E4">
              <w:rPr>
                <w:rFonts w:cstheme="minorHAnsi"/>
                <w:i/>
                <w:sz w:val="22"/>
                <w:szCs w:val="22"/>
              </w:rPr>
              <w:t>Text proposed by the Commission</w:t>
            </w:r>
          </w:p>
        </w:tc>
        <w:tc>
          <w:tcPr>
            <w:tcW w:w="4788" w:type="dxa"/>
          </w:tcPr>
          <w:p w:rsidR="00FE25F8" w:rsidRPr="005963E4" w:rsidRDefault="008319C1" w:rsidP="00364E8D">
            <w:pPr>
              <w:jc w:val="center"/>
              <w:rPr>
                <w:rFonts w:cstheme="minorHAnsi"/>
                <w:i/>
                <w:sz w:val="22"/>
                <w:szCs w:val="22"/>
              </w:rPr>
            </w:pPr>
            <w:r w:rsidRPr="005963E4">
              <w:rPr>
                <w:rFonts w:cstheme="minorHAnsi"/>
                <w:i/>
                <w:sz w:val="22"/>
                <w:szCs w:val="22"/>
              </w:rPr>
              <w:t>Amendment</w:t>
            </w:r>
          </w:p>
          <w:p w:rsidR="008319C1" w:rsidRPr="005963E4" w:rsidRDefault="008319C1" w:rsidP="00364E8D">
            <w:pPr>
              <w:rPr>
                <w:rFonts w:cstheme="minorHAnsi"/>
                <w:i/>
                <w:sz w:val="22"/>
                <w:szCs w:val="22"/>
              </w:rPr>
            </w:pPr>
          </w:p>
        </w:tc>
      </w:tr>
      <w:tr w:rsidR="00FE25F8" w:rsidRPr="005963E4" w:rsidTr="003D0B6F">
        <w:tc>
          <w:tcPr>
            <w:tcW w:w="4788" w:type="dxa"/>
          </w:tcPr>
          <w:p w:rsidR="00FE25F8" w:rsidRPr="005963E4" w:rsidRDefault="00F51DDE" w:rsidP="00364E8D">
            <w:pPr>
              <w:ind w:right="319"/>
              <w:jc w:val="both"/>
              <w:rPr>
                <w:rFonts w:cstheme="minorHAnsi"/>
                <w:sz w:val="22"/>
                <w:szCs w:val="22"/>
              </w:rPr>
            </w:pPr>
            <w:r w:rsidRPr="005963E4">
              <w:rPr>
                <w:rFonts w:cstheme="minorHAnsi"/>
                <w:sz w:val="22"/>
                <w:szCs w:val="22"/>
              </w:rPr>
              <w:t xml:space="preserve">1. </w:t>
            </w:r>
            <w:r w:rsidR="00FE25F8" w:rsidRPr="005963E4">
              <w:rPr>
                <w:rFonts w:cstheme="minorHAnsi"/>
                <w:sz w:val="22"/>
                <w:szCs w:val="22"/>
              </w:rPr>
              <w:t xml:space="preserve">When the personal data breach is likely to </w:t>
            </w:r>
            <w:r w:rsidR="00FE25F8" w:rsidRPr="005963E4">
              <w:rPr>
                <w:rFonts w:cstheme="minorHAnsi"/>
                <w:b/>
                <w:i/>
                <w:sz w:val="22"/>
                <w:szCs w:val="22"/>
              </w:rPr>
              <w:t>adversely affect the protection of the</w:t>
            </w:r>
            <w:r w:rsidR="006B11FD" w:rsidRPr="005963E4">
              <w:rPr>
                <w:rFonts w:cstheme="minorHAnsi"/>
                <w:b/>
                <w:i/>
                <w:sz w:val="22"/>
                <w:szCs w:val="22"/>
              </w:rPr>
              <w:t xml:space="preserve"> </w:t>
            </w:r>
            <w:r w:rsidR="00FE25F8" w:rsidRPr="005963E4">
              <w:rPr>
                <w:rFonts w:cstheme="minorHAnsi"/>
                <w:b/>
                <w:i/>
                <w:sz w:val="22"/>
                <w:szCs w:val="22"/>
              </w:rPr>
              <w:t>personal data or privacy of</w:t>
            </w:r>
            <w:r w:rsidR="00FE25F8" w:rsidRPr="005963E4">
              <w:rPr>
                <w:rFonts w:cstheme="minorHAnsi"/>
                <w:sz w:val="22"/>
                <w:szCs w:val="22"/>
              </w:rPr>
              <w:t xml:space="preserve"> the data subject, the controller shall, after the notification</w:t>
            </w:r>
            <w:r w:rsidR="006B11FD" w:rsidRPr="005963E4">
              <w:rPr>
                <w:rFonts w:cstheme="minorHAnsi"/>
                <w:sz w:val="22"/>
                <w:szCs w:val="22"/>
              </w:rPr>
              <w:t xml:space="preserve"> </w:t>
            </w:r>
            <w:r w:rsidR="00FE25F8" w:rsidRPr="005963E4">
              <w:rPr>
                <w:rFonts w:cstheme="minorHAnsi"/>
                <w:sz w:val="22"/>
                <w:szCs w:val="22"/>
              </w:rPr>
              <w:t>referred to in Article 31, communicate the personal data breach to the data subject</w:t>
            </w:r>
            <w:r w:rsidR="006B11FD" w:rsidRPr="005963E4">
              <w:rPr>
                <w:rFonts w:cstheme="minorHAnsi"/>
                <w:sz w:val="22"/>
                <w:szCs w:val="22"/>
              </w:rPr>
              <w:t xml:space="preserve"> </w:t>
            </w:r>
            <w:r w:rsidR="00FE25F8" w:rsidRPr="005963E4">
              <w:rPr>
                <w:rFonts w:cstheme="minorHAnsi"/>
                <w:sz w:val="22"/>
                <w:szCs w:val="22"/>
              </w:rPr>
              <w:t>without undue delay.</w:t>
            </w:r>
          </w:p>
        </w:tc>
        <w:tc>
          <w:tcPr>
            <w:tcW w:w="4788" w:type="dxa"/>
          </w:tcPr>
          <w:p w:rsidR="00FE25F8" w:rsidRPr="005963E4" w:rsidRDefault="00F51DDE" w:rsidP="00364E8D">
            <w:pPr>
              <w:ind w:left="397" w:right="288"/>
              <w:jc w:val="both"/>
              <w:rPr>
                <w:rFonts w:cstheme="minorHAnsi"/>
                <w:sz w:val="22"/>
                <w:szCs w:val="22"/>
              </w:rPr>
            </w:pPr>
            <w:r w:rsidRPr="005963E4">
              <w:rPr>
                <w:rFonts w:cstheme="minorHAnsi"/>
              </w:rPr>
              <w:t xml:space="preserve">1. </w:t>
            </w:r>
            <w:r w:rsidR="003B02B3" w:rsidRPr="005963E4">
              <w:rPr>
                <w:rFonts w:cstheme="minorHAnsi"/>
                <w:b/>
                <w:i/>
                <w:sz w:val="22"/>
                <w:szCs w:val="22"/>
              </w:rPr>
              <w:t xml:space="preserve">Upon determination by the competent supervisory authority, </w:t>
            </w:r>
            <w:r w:rsidR="003B02B3" w:rsidRPr="005963E4">
              <w:rPr>
                <w:rFonts w:cstheme="minorHAnsi"/>
              </w:rPr>
              <w:t>w</w:t>
            </w:r>
            <w:r w:rsidR="00FE25F8" w:rsidRPr="005963E4">
              <w:rPr>
                <w:rFonts w:cstheme="minorHAnsi"/>
                <w:sz w:val="22"/>
                <w:szCs w:val="22"/>
              </w:rPr>
              <w:t xml:space="preserve">hen the personal data breach is likely to </w:t>
            </w:r>
            <w:r w:rsidR="008319C1" w:rsidRPr="005963E4">
              <w:rPr>
                <w:rFonts w:cstheme="minorHAnsi"/>
                <w:b/>
                <w:i/>
                <w:sz w:val="22"/>
                <w:szCs w:val="22"/>
              </w:rPr>
              <w:t>lead to significant risk of substantial harm</w:t>
            </w:r>
            <w:r w:rsidR="008319C1" w:rsidRPr="005963E4">
              <w:rPr>
                <w:rFonts w:cstheme="minorHAnsi"/>
                <w:sz w:val="22"/>
                <w:szCs w:val="22"/>
              </w:rPr>
              <w:t xml:space="preserve"> </w:t>
            </w:r>
            <w:r w:rsidR="008319C1" w:rsidRPr="005963E4">
              <w:rPr>
                <w:rFonts w:cstheme="minorHAnsi"/>
                <w:b/>
                <w:i/>
                <w:sz w:val="22"/>
                <w:szCs w:val="22"/>
              </w:rPr>
              <w:t>to</w:t>
            </w:r>
            <w:r w:rsidR="00FE25F8" w:rsidRPr="005963E4">
              <w:rPr>
                <w:rFonts w:cstheme="minorHAnsi"/>
                <w:sz w:val="22"/>
                <w:szCs w:val="22"/>
              </w:rPr>
              <w:t xml:space="preserve"> the data subject, the controller shall, after the notification</w:t>
            </w:r>
            <w:r w:rsidR="003B02B3" w:rsidRPr="005963E4">
              <w:rPr>
                <w:rFonts w:cstheme="minorHAnsi"/>
                <w:sz w:val="22"/>
                <w:szCs w:val="22"/>
              </w:rPr>
              <w:t xml:space="preserve"> </w:t>
            </w:r>
            <w:r w:rsidR="00FE25F8" w:rsidRPr="005963E4">
              <w:rPr>
                <w:rFonts w:cstheme="minorHAnsi"/>
                <w:sz w:val="22"/>
                <w:szCs w:val="22"/>
              </w:rPr>
              <w:t>referred to in Article 31, communicate the personal data breach to the data subject</w:t>
            </w:r>
            <w:r w:rsidR="008319C1" w:rsidRPr="005963E4">
              <w:rPr>
                <w:rFonts w:cstheme="minorHAnsi"/>
                <w:sz w:val="22"/>
                <w:szCs w:val="22"/>
              </w:rPr>
              <w:t xml:space="preserve"> </w:t>
            </w:r>
            <w:r w:rsidR="00FE25F8" w:rsidRPr="005963E4">
              <w:rPr>
                <w:rFonts w:cstheme="minorHAnsi"/>
                <w:sz w:val="22"/>
                <w:szCs w:val="22"/>
              </w:rPr>
              <w:t>without undue delay.</w:t>
            </w:r>
          </w:p>
        </w:tc>
      </w:tr>
    </w:tbl>
    <w:p w:rsidR="00FE25F8" w:rsidRPr="005963E4" w:rsidRDefault="00FE25F8" w:rsidP="00364E8D">
      <w:pPr>
        <w:spacing w:after="0" w:line="240" w:lineRule="auto"/>
        <w:rPr>
          <w:rFonts w:cstheme="minorHAnsi"/>
          <w:b/>
          <w:u w:val="single"/>
        </w:rPr>
      </w:pPr>
    </w:p>
    <w:p w:rsidR="005D1247" w:rsidRPr="005963E4" w:rsidRDefault="005D1247" w:rsidP="00364E8D">
      <w:pPr>
        <w:pStyle w:val="AMNumberTabs"/>
        <w:keepNext/>
        <w:spacing w:before="0"/>
        <w:rPr>
          <w:rFonts w:asciiTheme="minorHAnsi" w:hAnsiTheme="minorHAnsi" w:cstheme="minorHAnsi"/>
          <w:sz w:val="22"/>
          <w:szCs w:val="22"/>
        </w:rPr>
      </w:pPr>
      <w:r w:rsidRPr="005963E4">
        <w:rPr>
          <w:rFonts w:asciiTheme="minorHAnsi" w:hAnsiTheme="minorHAnsi" w:cstheme="minorHAnsi"/>
          <w:sz w:val="22"/>
          <w:szCs w:val="22"/>
        </w:rPr>
        <w:t>Amendment</w:t>
      </w:r>
      <w:r w:rsidRPr="005963E4">
        <w:rPr>
          <w:rFonts w:asciiTheme="minorHAnsi" w:hAnsiTheme="minorHAnsi" w:cstheme="minorHAnsi"/>
          <w:sz w:val="22"/>
          <w:szCs w:val="22"/>
        </w:rPr>
        <w:tab/>
      </w:r>
      <w:r w:rsidRPr="005963E4">
        <w:rPr>
          <w:rFonts w:asciiTheme="minorHAnsi" w:hAnsiTheme="minorHAnsi" w:cstheme="minorHAnsi"/>
          <w:sz w:val="22"/>
          <w:szCs w:val="22"/>
        </w:rPr>
        <w:tab/>
      </w:r>
    </w:p>
    <w:p w:rsidR="005D1247" w:rsidRPr="005963E4" w:rsidRDefault="005D1247" w:rsidP="00364E8D">
      <w:pPr>
        <w:pStyle w:val="NormalBold"/>
        <w:keepNext/>
        <w:rPr>
          <w:rFonts w:asciiTheme="minorHAnsi" w:hAnsiTheme="minorHAnsi" w:cstheme="minorHAnsi"/>
          <w:sz w:val="22"/>
          <w:szCs w:val="22"/>
        </w:rPr>
      </w:pPr>
      <w:r w:rsidRPr="005963E4">
        <w:rPr>
          <w:rFonts w:asciiTheme="minorHAnsi" w:hAnsiTheme="minorHAnsi" w:cstheme="minorHAnsi"/>
          <w:sz w:val="22"/>
          <w:szCs w:val="22"/>
        </w:rPr>
        <w:t>Proposal for a regulation</w:t>
      </w:r>
    </w:p>
    <w:p w:rsidR="00FE25F8" w:rsidRPr="005963E4" w:rsidRDefault="005D1247" w:rsidP="00364E8D">
      <w:pPr>
        <w:spacing w:after="0" w:line="240" w:lineRule="auto"/>
        <w:rPr>
          <w:rFonts w:cstheme="minorHAnsi"/>
          <w:b/>
        </w:rPr>
      </w:pPr>
      <w:r w:rsidRPr="005963E4">
        <w:rPr>
          <w:rFonts w:cstheme="minorHAnsi"/>
          <w:b/>
        </w:rPr>
        <w:t>Article 32 – paragraph 5</w:t>
      </w:r>
    </w:p>
    <w:p w:rsidR="00B430F0" w:rsidRPr="005963E4" w:rsidRDefault="00B430F0" w:rsidP="00364E8D">
      <w:pPr>
        <w:spacing w:after="0" w:line="240" w:lineRule="auto"/>
        <w:rPr>
          <w:rFonts w:cstheme="minorHAnsi"/>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7382" w:rsidRPr="005963E4" w:rsidTr="006E5EBD">
        <w:tc>
          <w:tcPr>
            <w:tcW w:w="4788" w:type="dxa"/>
          </w:tcPr>
          <w:p w:rsidR="001D7382" w:rsidRPr="005963E4" w:rsidRDefault="001D7382" w:rsidP="00364E8D">
            <w:pPr>
              <w:jc w:val="center"/>
              <w:rPr>
                <w:rFonts w:cstheme="minorHAnsi"/>
                <w:i/>
                <w:sz w:val="22"/>
                <w:szCs w:val="22"/>
              </w:rPr>
            </w:pPr>
            <w:r w:rsidRPr="005963E4">
              <w:rPr>
                <w:rFonts w:cstheme="minorHAnsi"/>
                <w:i/>
                <w:sz w:val="22"/>
                <w:szCs w:val="22"/>
              </w:rPr>
              <w:t>Text proposed by the Commission</w:t>
            </w:r>
          </w:p>
        </w:tc>
        <w:tc>
          <w:tcPr>
            <w:tcW w:w="4788" w:type="dxa"/>
          </w:tcPr>
          <w:p w:rsidR="001D7382" w:rsidRPr="005963E4" w:rsidRDefault="001D7382" w:rsidP="00364E8D">
            <w:pPr>
              <w:jc w:val="center"/>
              <w:rPr>
                <w:rFonts w:cstheme="minorHAnsi"/>
                <w:i/>
                <w:sz w:val="22"/>
                <w:szCs w:val="22"/>
              </w:rPr>
            </w:pPr>
            <w:r w:rsidRPr="005963E4">
              <w:rPr>
                <w:rFonts w:cstheme="minorHAnsi"/>
                <w:i/>
                <w:sz w:val="22"/>
                <w:szCs w:val="22"/>
              </w:rPr>
              <w:t>Amendment</w:t>
            </w:r>
          </w:p>
          <w:p w:rsidR="001D7382" w:rsidRPr="005963E4" w:rsidRDefault="001D7382" w:rsidP="00364E8D">
            <w:pPr>
              <w:rPr>
                <w:rFonts w:cstheme="minorHAnsi"/>
                <w:i/>
                <w:sz w:val="22"/>
                <w:szCs w:val="22"/>
              </w:rPr>
            </w:pPr>
          </w:p>
        </w:tc>
      </w:tr>
      <w:tr w:rsidR="001D7382" w:rsidRPr="005963E4" w:rsidTr="006E5EBD">
        <w:tc>
          <w:tcPr>
            <w:tcW w:w="4788" w:type="dxa"/>
          </w:tcPr>
          <w:p w:rsidR="001D7382" w:rsidRPr="005963E4" w:rsidRDefault="001D7382" w:rsidP="00364E8D">
            <w:pPr>
              <w:ind w:right="319"/>
              <w:jc w:val="both"/>
              <w:rPr>
                <w:rFonts w:cstheme="minorHAnsi"/>
                <w:sz w:val="22"/>
                <w:szCs w:val="22"/>
              </w:rPr>
            </w:pPr>
            <w:r w:rsidRPr="005963E4">
              <w:rPr>
                <w:rFonts w:cstheme="minorHAnsi"/>
                <w:b/>
                <w:i/>
                <w:sz w:val="22"/>
                <w:szCs w:val="22"/>
              </w:rPr>
              <w:t>5. The Commission shall be empowered to adopt delegated acts in accordance with Article 86 for the purpose of further specifying the criteria and requirements as to the circumstances in which a personal data breach is likely to adversely affect the personal data referred to in paragraph 1.</w:t>
            </w:r>
          </w:p>
        </w:tc>
        <w:tc>
          <w:tcPr>
            <w:tcW w:w="4788" w:type="dxa"/>
          </w:tcPr>
          <w:p w:rsidR="001D7382" w:rsidRPr="005963E4" w:rsidRDefault="001D7382" w:rsidP="00364E8D">
            <w:pPr>
              <w:spacing w:after="200"/>
              <w:ind w:left="397"/>
              <w:jc w:val="both"/>
              <w:rPr>
                <w:rFonts w:cstheme="minorHAnsi"/>
                <w:b/>
                <w:i/>
                <w:sz w:val="22"/>
                <w:szCs w:val="22"/>
              </w:rPr>
            </w:pPr>
            <w:r w:rsidRPr="005963E4">
              <w:rPr>
                <w:rFonts w:cstheme="minorHAnsi"/>
                <w:b/>
                <w:i/>
                <w:sz w:val="22"/>
                <w:szCs w:val="22"/>
              </w:rPr>
              <w:t>deleted</w:t>
            </w:r>
          </w:p>
        </w:tc>
      </w:tr>
    </w:tbl>
    <w:p w:rsidR="00FE25F8" w:rsidRPr="005963E4" w:rsidRDefault="00FE25F8" w:rsidP="00364E8D">
      <w:pPr>
        <w:spacing w:after="0" w:line="240" w:lineRule="auto"/>
        <w:rPr>
          <w:rFonts w:cstheme="minorHAnsi"/>
          <w:b/>
          <w:u w:val="single"/>
        </w:rPr>
      </w:pPr>
    </w:p>
    <w:p w:rsidR="00661291" w:rsidRPr="005963E4" w:rsidRDefault="00661291" w:rsidP="00364E8D">
      <w:pPr>
        <w:spacing w:after="0" w:line="240" w:lineRule="auto"/>
        <w:jc w:val="center"/>
        <w:rPr>
          <w:rFonts w:cstheme="minorHAnsi"/>
          <w:i/>
        </w:rPr>
      </w:pPr>
      <w:r w:rsidRPr="005963E4">
        <w:rPr>
          <w:rFonts w:cstheme="minorHAnsi"/>
          <w:i/>
        </w:rPr>
        <w:t>Justification</w:t>
      </w:r>
    </w:p>
    <w:p w:rsidR="00140DF6" w:rsidRPr="005963E4" w:rsidRDefault="00140DF6" w:rsidP="00364E8D">
      <w:pPr>
        <w:spacing w:after="0" w:line="240" w:lineRule="auto"/>
        <w:jc w:val="center"/>
        <w:rPr>
          <w:rFonts w:cstheme="minorHAnsi"/>
          <w:i/>
        </w:rPr>
      </w:pPr>
    </w:p>
    <w:p w:rsidR="00661291" w:rsidRPr="005963E4" w:rsidRDefault="00661291" w:rsidP="00364E8D">
      <w:pPr>
        <w:spacing w:after="0" w:line="240" w:lineRule="auto"/>
        <w:rPr>
          <w:rFonts w:cstheme="minorHAnsi"/>
          <w:i/>
        </w:rPr>
      </w:pPr>
      <w:r w:rsidRPr="005963E4">
        <w:rPr>
          <w:rFonts w:cstheme="minorHAnsi"/>
          <w:i/>
        </w:rPr>
        <w:t>Breach notice obligations provide important incentives to data controllers to be responsible in their management of data, and will help to drive a higher standard of data security across industry.</w:t>
      </w:r>
      <w:r w:rsidR="00945987" w:rsidRPr="005963E4">
        <w:rPr>
          <w:rFonts w:cstheme="minorHAnsi"/>
          <w:i/>
        </w:rPr>
        <w:t xml:space="preserve">  </w:t>
      </w:r>
      <w:r w:rsidRPr="005963E4">
        <w:rPr>
          <w:rFonts w:cstheme="minorHAnsi"/>
          <w:i/>
        </w:rPr>
        <w:t>Requiring notice of breaches also foster</w:t>
      </w:r>
      <w:r w:rsidR="006B11FD" w:rsidRPr="005963E4">
        <w:rPr>
          <w:rFonts w:cstheme="minorHAnsi"/>
          <w:i/>
        </w:rPr>
        <w:t>s</w:t>
      </w:r>
      <w:r w:rsidRPr="005963E4">
        <w:rPr>
          <w:rFonts w:cstheme="minorHAnsi"/>
          <w:i/>
        </w:rPr>
        <w:t xml:space="preserve"> confidence of data subjects in third party processing.  </w:t>
      </w:r>
    </w:p>
    <w:p w:rsidR="00140DF6" w:rsidRPr="005963E4" w:rsidRDefault="00140DF6" w:rsidP="00364E8D">
      <w:pPr>
        <w:spacing w:after="0" w:line="240" w:lineRule="auto"/>
        <w:rPr>
          <w:rFonts w:cstheme="minorHAnsi"/>
          <w:i/>
        </w:rPr>
      </w:pPr>
    </w:p>
    <w:p w:rsidR="00661291" w:rsidRPr="005963E4" w:rsidRDefault="006A657C" w:rsidP="00364E8D">
      <w:pPr>
        <w:spacing w:after="0" w:line="240" w:lineRule="auto"/>
        <w:rPr>
          <w:rFonts w:cstheme="minorHAnsi"/>
          <w:i/>
        </w:rPr>
      </w:pPr>
      <w:r w:rsidRPr="005963E4">
        <w:rPr>
          <w:rFonts w:cstheme="minorHAnsi"/>
          <w:i/>
        </w:rPr>
        <w:t xml:space="preserve">To be effective, the breach notice regime must be practical and workable.  The regime should not overly burden DPAs </w:t>
      </w:r>
      <w:r w:rsidR="004275FE" w:rsidRPr="005963E4">
        <w:rPr>
          <w:rFonts w:cstheme="minorHAnsi"/>
          <w:i/>
        </w:rPr>
        <w:t>nor should it require that controllers notify breaches that prove harmless, which could</w:t>
      </w:r>
      <w:r w:rsidRPr="005963E4">
        <w:rPr>
          <w:rFonts w:cstheme="minorHAnsi"/>
          <w:i/>
        </w:rPr>
        <w:t xml:space="preserve"> lead data subjects to su</w:t>
      </w:r>
      <w:r w:rsidR="004275FE" w:rsidRPr="005963E4">
        <w:rPr>
          <w:rFonts w:cstheme="minorHAnsi"/>
          <w:i/>
        </w:rPr>
        <w:t>ffer from “notification fatigue”.</w:t>
      </w:r>
      <w:r w:rsidR="006B11FD" w:rsidRPr="005963E4">
        <w:rPr>
          <w:rFonts w:cstheme="minorHAnsi"/>
          <w:i/>
        </w:rPr>
        <w:t xml:space="preserve"> </w:t>
      </w:r>
      <w:r w:rsidRPr="005963E4">
        <w:rPr>
          <w:rFonts w:cstheme="minorHAnsi"/>
          <w:i/>
        </w:rPr>
        <w:t xml:space="preserve"> To achieve these ends, the amendments above </w:t>
      </w:r>
      <w:r w:rsidR="00661291" w:rsidRPr="005963E4">
        <w:rPr>
          <w:rFonts w:cstheme="minorHAnsi"/>
          <w:i/>
        </w:rPr>
        <w:t>make</w:t>
      </w:r>
      <w:r w:rsidR="00945987" w:rsidRPr="005963E4">
        <w:rPr>
          <w:rFonts w:cstheme="minorHAnsi"/>
          <w:i/>
        </w:rPr>
        <w:t xml:space="preserve"> three</w:t>
      </w:r>
      <w:r w:rsidR="00661291" w:rsidRPr="005963E4">
        <w:rPr>
          <w:rFonts w:cstheme="minorHAnsi"/>
          <w:i/>
        </w:rPr>
        <w:t xml:space="preserve"> important changes to the proposed Regulation:</w:t>
      </w:r>
    </w:p>
    <w:p w:rsidR="00140DF6" w:rsidRPr="005963E4" w:rsidRDefault="00140DF6" w:rsidP="00364E8D">
      <w:pPr>
        <w:spacing w:after="0" w:line="240" w:lineRule="auto"/>
        <w:rPr>
          <w:rFonts w:cstheme="minorHAnsi"/>
          <w:i/>
        </w:rPr>
      </w:pPr>
    </w:p>
    <w:p w:rsidR="00661291" w:rsidRPr="005963E4" w:rsidRDefault="00661291" w:rsidP="00364E8D">
      <w:pPr>
        <w:pStyle w:val="ListParagraph"/>
        <w:numPr>
          <w:ilvl w:val="0"/>
          <w:numId w:val="10"/>
        </w:numPr>
        <w:rPr>
          <w:rFonts w:asciiTheme="minorHAnsi" w:hAnsiTheme="minorHAnsi" w:cstheme="minorHAnsi"/>
          <w:i/>
          <w:sz w:val="22"/>
          <w:szCs w:val="22"/>
        </w:rPr>
      </w:pPr>
      <w:r w:rsidRPr="005963E4">
        <w:rPr>
          <w:rFonts w:asciiTheme="minorHAnsi" w:hAnsiTheme="minorHAnsi" w:cstheme="minorHAnsi"/>
          <w:b/>
          <w:i/>
          <w:sz w:val="22"/>
          <w:szCs w:val="22"/>
        </w:rPr>
        <w:t xml:space="preserve">First, the amendments would eliminate the obligation to notify within 24 hours.  </w:t>
      </w:r>
      <w:r w:rsidRPr="005963E4">
        <w:rPr>
          <w:rFonts w:asciiTheme="minorHAnsi" w:hAnsiTheme="minorHAnsi" w:cstheme="minorHAnsi"/>
          <w:i/>
          <w:sz w:val="22"/>
          <w:szCs w:val="22"/>
        </w:rPr>
        <w:t xml:space="preserve">There is </w:t>
      </w:r>
      <w:r w:rsidR="006A657C" w:rsidRPr="005963E4">
        <w:rPr>
          <w:rFonts w:asciiTheme="minorHAnsi" w:hAnsiTheme="minorHAnsi" w:cstheme="minorHAnsi"/>
          <w:i/>
          <w:sz w:val="22"/>
          <w:szCs w:val="22"/>
        </w:rPr>
        <w:t>significant</w:t>
      </w:r>
      <w:r w:rsidRPr="005963E4">
        <w:rPr>
          <w:rFonts w:asciiTheme="minorHAnsi" w:hAnsiTheme="minorHAnsi" w:cstheme="minorHAnsi"/>
          <w:i/>
          <w:sz w:val="22"/>
          <w:szCs w:val="22"/>
        </w:rPr>
        <w:t xml:space="preserve"> consensus</w:t>
      </w:r>
      <w:r w:rsidR="006A657C" w:rsidRPr="005963E4">
        <w:rPr>
          <w:rFonts w:asciiTheme="minorHAnsi" w:hAnsiTheme="minorHAnsi" w:cstheme="minorHAnsi"/>
          <w:i/>
          <w:sz w:val="22"/>
          <w:szCs w:val="22"/>
        </w:rPr>
        <w:t xml:space="preserve"> among industry and regulators</w:t>
      </w:r>
      <w:r w:rsidRPr="005963E4">
        <w:rPr>
          <w:rFonts w:asciiTheme="minorHAnsi" w:hAnsiTheme="minorHAnsi" w:cstheme="minorHAnsi"/>
          <w:i/>
          <w:sz w:val="22"/>
          <w:szCs w:val="22"/>
        </w:rPr>
        <w:t xml:space="preserve"> that </w:t>
      </w:r>
      <w:r w:rsidR="006A657C" w:rsidRPr="005963E4">
        <w:rPr>
          <w:rFonts w:asciiTheme="minorHAnsi" w:hAnsiTheme="minorHAnsi" w:cstheme="minorHAnsi"/>
          <w:i/>
          <w:sz w:val="22"/>
          <w:szCs w:val="22"/>
        </w:rPr>
        <w:t>notice within 24 hours</w:t>
      </w:r>
      <w:r w:rsidRPr="005963E4">
        <w:rPr>
          <w:rFonts w:asciiTheme="minorHAnsi" w:hAnsiTheme="minorHAnsi" w:cstheme="minorHAnsi"/>
          <w:i/>
          <w:sz w:val="22"/>
          <w:szCs w:val="22"/>
        </w:rPr>
        <w:t xml:space="preserve"> is not feasible.</w:t>
      </w:r>
      <w:r w:rsidR="004275FE" w:rsidRPr="005963E4">
        <w:rPr>
          <w:rFonts w:asciiTheme="minorHAnsi" w:hAnsiTheme="minorHAnsi" w:cstheme="minorHAnsi"/>
          <w:i/>
          <w:sz w:val="22"/>
          <w:szCs w:val="22"/>
        </w:rPr>
        <w:t xml:space="preserve">  Controllers need more time to understand the nature of the breach, who is affected, and whether the breach poses harm to the data subjects involved.</w:t>
      </w:r>
    </w:p>
    <w:p w:rsidR="00945987" w:rsidRPr="005963E4" w:rsidRDefault="00945987" w:rsidP="00364E8D">
      <w:pPr>
        <w:pStyle w:val="ListParagraph"/>
        <w:rPr>
          <w:rFonts w:asciiTheme="minorHAnsi" w:hAnsiTheme="minorHAnsi" w:cstheme="minorHAnsi"/>
          <w:i/>
          <w:sz w:val="22"/>
          <w:szCs w:val="22"/>
        </w:rPr>
      </w:pPr>
    </w:p>
    <w:p w:rsidR="00661291" w:rsidRPr="005963E4" w:rsidRDefault="00661291" w:rsidP="00364E8D">
      <w:pPr>
        <w:pStyle w:val="ListParagraph"/>
        <w:numPr>
          <w:ilvl w:val="0"/>
          <w:numId w:val="10"/>
        </w:numPr>
        <w:rPr>
          <w:rFonts w:asciiTheme="minorHAnsi" w:hAnsiTheme="minorHAnsi" w:cstheme="minorHAnsi"/>
          <w:i/>
          <w:sz w:val="22"/>
          <w:szCs w:val="22"/>
        </w:rPr>
      </w:pPr>
      <w:r w:rsidRPr="005963E4">
        <w:rPr>
          <w:rFonts w:asciiTheme="minorHAnsi" w:hAnsiTheme="minorHAnsi" w:cstheme="minorHAnsi"/>
          <w:b/>
          <w:i/>
          <w:sz w:val="22"/>
          <w:szCs w:val="22"/>
        </w:rPr>
        <w:lastRenderedPageBreak/>
        <w:t>Second, the amendments make clear that notice is required only where the breach threatens significant risk of serious harm to the data subject.</w:t>
      </w:r>
      <w:r w:rsidR="00945987" w:rsidRPr="005963E4">
        <w:rPr>
          <w:rFonts w:asciiTheme="minorHAnsi" w:hAnsiTheme="minorHAnsi" w:cstheme="minorHAnsi"/>
          <w:i/>
          <w:sz w:val="22"/>
          <w:szCs w:val="22"/>
        </w:rPr>
        <w:t xml:space="preserve">  Requiring notifications only where serious harm is threatened reduces the likelihood that data controllers issue immaterial notices that may lead, over time, to consumers ignoring them.  This requirement also reduces the burden on DPAs, which would otherwise be obligated to spend time and resources investigating harmless breaches.  For this same reason, the amendments make clear that no notification is required where data has been rendered unintelligible through the application of technological protection measures.  </w:t>
      </w:r>
    </w:p>
    <w:p w:rsidR="00945987" w:rsidRPr="005963E4" w:rsidRDefault="00945987" w:rsidP="00364E8D">
      <w:pPr>
        <w:pStyle w:val="ListParagraph"/>
        <w:rPr>
          <w:rFonts w:asciiTheme="minorHAnsi" w:hAnsiTheme="minorHAnsi" w:cstheme="minorHAnsi"/>
          <w:i/>
          <w:sz w:val="22"/>
          <w:szCs w:val="22"/>
        </w:rPr>
      </w:pPr>
    </w:p>
    <w:p w:rsidR="00661291" w:rsidRPr="005963E4" w:rsidRDefault="00945987" w:rsidP="00364E8D">
      <w:pPr>
        <w:pStyle w:val="ListParagraph"/>
        <w:numPr>
          <w:ilvl w:val="0"/>
          <w:numId w:val="10"/>
        </w:numPr>
        <w:rPr>
          <w:rFonts w:asciiTheme="minorHAnsi" w:hAnsiTheme="minorHAnsi" w:cstheme="minorHAnsi"/>
          <w:i/>
          <w:sz w:val="22"/>
          <w:szCs w:val="22"/>
        </w:rPr>
      </w:pPr>
      <w:r w:rsidRPr="005963E4">
        <w:rPr>
          <w:rFonts w:asciiTheme="minorHAnsi" w:hAnsiTheme="minorHAnsi" w:cstheme="minorHAnsi"/>
          <w:b/>
          <w:i/>
          <w:sz w:val="22"/>
          <w:szCs w:val="22"/>
        </w:rPr>
        <w:t>Finally, the amendments delete references to delegated acts.</w:t>
      </w:r>
      <w:r w:rsidRPr="005963E4">
        <w:rPr>
          <w:rFonts w:asciiTheme="minorHAnsi" w:hAnsiTheme="minorHAnsi" w:cstheme="minorHAnsi"/>
          <w:i/>
          <w:sz w:val="22"/>
          <w:szCs w:val="22"/>
        </w:rPr>
        <w:t xml:space="preserve">  Given the essential nature of breach obligations to the Union’s data protection framework, the rules on breach should be </w:t>
      </w:r>
      <w:r w:rsidR="004275FE" w:rsidRPr="005963E4">
        <w:rPr>
          <w:rFonts w:asciiTheme="minorHAnsi" w:hAnsiTheme="minorHAnsi" w:cstheme="minorHAnsi"/>
          <w:i/>
          <w:sz w:val="22"/>
          <w:szCs w:val="22"/>
        </w:rPr>
        <w:t>addressed</w:t>
      </w:r>
      <w:r w:rsidRPr="005963E4">
        <w:rPr>
          <w:rFonts w:asciiTheme="minorHAnsi" w:hAnsiTheme="minorHAnsi" w:cstheme="minorHAnsi"/>
          <w:i/>
          <w:sz w:val="22"/>
          <w:szCs w:val="22"/>
        </w:rPr>
        <w:t xml:space="preserve"> in the Regulation itself -- and not left to secondary rulemaking.</w:t>
      </w:r>
    </w:p>
    <w:p w:rsidR="00945987" w:rsidRPr="005963E4" w:rsidRDefault="00945987" w:rsidP="00364E8D">
      <w:pPr>
        <w:pStyle w:val="ListParagraph"/>
        <w:rPr>
          <w:rFonts w:asciiTheme="minorHAnsi" w:hAnsiTheme="minorHAnsi" w:cstheme="minorHAnsi"/>
          <w:i/>
          <w:sz w:val="22"/>
          <w:szCs w:val="22"/>
        </w:rPr>
      </w:pPr>
    </w:p>
    <w:p w:rsidR="00661291" w:rsidRPr="005963E4" w:rsidRDefault="00661291" w:rsidP="00364E8D">
      <w:pPr>
        <w:spacing w:after="0" w:line="240" w:lineRule="auto"/>
        <w:rPr>
          <w:rFonts w:cstheme="minorHAnsi"/>
          <w:i/>
        </w:rPr>
      </w:pPr>
      <w:r w:rsidRPr="005963E4">
        <w:rPr>
          <w:rFonts w:cstheme="minorHAnsi"/>
          <w:i/>
        </w:rPr>
        <w:t>Note that corresponding amendments will be required to Recital 67.</w:t>
      </w:r>
    </w:p>
    <w:p w:rsidR="00F036F2" w:rsidRPr="005963E4" w:rsidRDefault="00F036F2" w:rsidP="00364E8D">
      <w:pPr>
        <w:spacing w:line="240" w:lineRule="auto"/>
        <w:rPr>
          <w:rFonts w:cstheme="minorHAnsi"/>
          <w:lang w:val="en-GB"/>
        </w:rPr>
      </w:pPr>
    </w:p>
    <w:sectPr w:rsidR="00F036F2" w:rsidRPr="005963E4" w:rsidSect="0083293F">
      <w:footerReference w:type="default" r:id="rId9"/>
      <w:foot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C2A" w:rsidRDefault="00693C2A" w:rsidP="00D93D9A">
      <w:pPr>
        <w:spacing w:after="0" w:line="240" w:lineRule="auto"/>
      </w:pPr>
      <w:r>
        <w:separator/>
      </w:r>
    </w:p>
  </w:endnote>
  <w:endnote w:type="continuationSeparator" w:id="0">
    <w:p w:rsidR="00693C2A" w:rsidRDefault="00693C2A" w:rsidP="00D93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31303"/>
      <w:docPartObj>
        <w:docPartGallery w:val="Page Numbers (Bottom of Page)"/>
        <w:docPartUnique/>
      </w:docPartObj>
    </w:sdtPr>
    <w:sdtEndPr/>
    <w:sdtContent>
      <w:p w:rsidR="00581B08" w:rsidRDefault="00581B08">
        <w:pPr>
          <w:pStyle w:val="Footer"/>
          <w:jc w:val="right"/>
        </w:pPr>
        <w:r>
          <w:t xml:space="preserve">Page | </w:t>
        </w:r>
        <w:r>
          <w:fldChar w:fldCharType="begin"/>
        </w:r>
        <w:r>
          <w:instrText xml:space="preserve"> PAGE   \* MERGEFORMAT </w:instrText>
        </w:r>
        <w:r>
          <w:fldChar w:fldCharType="separate"/>
        </w:r>
        <w:r w:rsidR="004F0EF0">
          <w:rPr>
            <w:noProof/>
          </w:rPr>
          <w:t>2</w:t>
        </w:r>
        <w:r>
          <w:rPr>
            <w:noProof/>
          </w:rPr>
          <w:fldChar w:fldCharType="end"/>
        </w:r>
        <w:r>
          <w:t xml:space="preserve"> </w:t>
        </w:r>
      </w:p>
    </w:sdtContent>
  </w:sdt>
  <w:p w:rsidR="00581B08" w:rsidRDefault="00581B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B08" w:rsidRDefault="00581B08">
    <w:pPr>
      <w:pStyle w:val="Footer"/>
    </w:pPr>
    <w:r>
      <w:rPr>
        <w:noProof/>
        <w:sz w:val="20"/>
      </w:rPr>
      <mc:AlternateContent>
        <mc:Choice Requires="wps">
          <w:drawing>
            <wp:anchor distT="0" distB="0" distL="114300" distR="114300" simplePos="0" relativeHeight="251661312" behindDoc="0" locked="0" layoutInCell="1" allowOverlap="1" wp14:anchorId="4C6F25C0" wp14:editId="5F080D71">
              <wp:simplePos x="0" y="0"/>
              <wp:positionH relativeFrom="column">
                <wp:posOffset>0</wp:posOffset>
              </wp:positionH>
              <wp:positionV relativeFrom="paragraph">
                <wp:posOffset>0</wp:posOffset>
              </wp:positionV>
              <wp:extent cx="2743200" cy="457200"/>
              <wp:effectExtent l="0" t="0" r="0" b="0"/>
              <wp:wrapNone/>
              <wp:docPr id="1" name="IMFooterFirst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1B08" w:rsidRDefault="00581B08" w:rsidP="00357FD2">
                          <w:pPr>
                            <w:pStyle w:val="Imanage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IMFooterFirst1" o:spid="_x0000_s1026" type="#_x0000_t202" style="position:absolute;margin-left:0;margin-top:0;width:3in;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" filled="f" stroked="f">
              <v:textbox inset="0,0,0,0">
                <w:txbxContent>
                  <w:p w:rsidR="00581B08" w:rsidRDefault="00581B08" w:rsidP="00357FD2">
                    <w:pPr>
                      <w:pStyle w:val="ImanageFoote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C2A" w:rsidRDefault="00693C2A" w:rsidP="00D93D9A">
      <w:pPr>
        <w:spacing w:after="0" w:line="240" w:lineRule="auto"/>
      </w:pPr>
      <w:r>
        <w:separator/>
      </w:r>
    </w:p>
  </w:footnote>
  <w:footnote w:type="continuationSeparator" w:id="0">
    <w:p w:rsidR="00693C2A" w:rsidRDefault="00693C2A" w:rsidP="00D93D9A">
      <w:pPr>
        <w:spacing w:after="0" w:line="240" w:lineRule="auto"/>
      </w:pPr>
      <w:r>
        <w:continuationSeparator/>
      </w:r>
    </w:p>
  </w:footnote>
  <w:footnote w:id="1">
    <w:p w:rsidR="00581B08" w:rsidRPr="00B5373A" w:rsidRDefault="00581B08" w:rsidP="00D93D9A">
      <w:pPr>
        <w:pStyle w:val="FootnoteText"/>
        <w:spacing w:line="240" w:lineRule="auto"/>
        <w:rPr>
          <w:rFonts w:ascii="Times New Roman" w:hAnsi="Times New Roman" w:cs="Times New Roman"/>
          <w:i/>
          <w:sz w:val="20"/>
        </w:rPr>
      </w:pPr>
      <w:r w:rsidRPr="00B5373A">
        <w:rPr>
          <w:rStyle w:val="FootnoteReference"/>
          <w:rFonts w:ascii="Times New Roman" w:hAnsi="Times New Roman" w:cs="Times New Roman"/>
          <w:i/>
          <w:sz w:val="20"/>
        </w:rPr>
        <w:footnoteRef/>
      </w:r>
      <w:r>
        <w:rPr>
          <w:rFonts w:ascii="Times New Roman" w:hAnsi="Times New Roman" w:cs="Times New Roman"/>
          <w:i/>
          <w:sz w:val="20"/>
        </w:rPr>
        <w:t xml:space="preserve"> </w:t>
      </w:r>
      <w:r w:rsidRPr="00B5373A">
        <w:rPr>
          <w:rFonts w:ascii="Times New Roman" w:hAnsi="Times New Roman" w:cs="Times New Roman"/>
          <w:i/>
          <w:sz w:val="20"/>
        </w:rPr>
        <w:t xml:space="preserve"> Note that this Article is </w:t>
      </w:r>
      <w:proofErr w:type="spellStart"/>
      <w:r w:rsidRPr="00B5373A">
        <w:rPr>
          <w:rFonts w:ascii="Times New Roman" w:hAnsi="Times New Roman" w:cs="Times New Roman"/>
          <w:i/>
          <w:sz w:val="20"/>
        </w:rPr>
        <w:t>mis</w:t>
      </w:r>
      <w:proofErr w:type="spellEnd"/>
      <w:r w:rsidRPr="00B5373A">
        <w:rPr>
          <w:rFonts w:ascii="Times New Roman" w:hAnsi="Times New Roman" w:cs="Times New Roman"/>
          <w:i/>
          <w:sz w:val="20"/>
        </w:rPr>
        <w:t>-cited in the proposed Regulation as Article 79(6).  The correct reference is to Article 79(7).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1D64"/>
    <w:multiLevelType w:val="hybridMultilevel"/>
    <w:tmpl w:val="640C9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DB03AB"/>
    <w:multiLevelType w:val="hybridMultilevel"/>
    <w:tmpl w:val="9F76E6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2E4D6DF9"/>
    <w:multiLevelType w:val="hybridMultilevel"/>
    <w:tmpl w:val="F5B4A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9304AD"/>
    <w:multiLevelType w:val="hybridMultilevel"/>
    <w:tmpl w:val="0EE24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82B52F1"/>
    <w:multiLevelType w:val="hybridMultilevel"/>
    <w:tmpl w:val="456A6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89F52B2"/>
    <w:multiLevelType w:val="hybridMultilevel"/>
    <w:tmpl w:val="F4F89844"/>
    <w:lvl w:ilvl="0" w:tplc="D8966D8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73030A"/>
    <w:multiLevelType w:val="hybridMultilevel"/>
    <w:tmpl w:val="8ABCD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7B7ED3"/>
    <w:multiLevelType w:val="hybridMultilevel"/>
    <w:tmpl w:val="7ED64876"/>
    <w:lvl w:ilvl="0" w:tplc="BB36ACFA">
      <w:start w:val="1"/>
      <w:numFmt w:val="lowerRoman"/>
      <w:lvlText w:val="(%1)"/>
      <w:lvlJc w:val="righ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F886D9D"/>
    <w:multiLevelType w:val="hybridMultilevel"/>
    <w:tmpl w:val="5DCE2044"/>
    <w:lvl w:ilvl="0" w:tplc="9F5C191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77E797D"/>
    <w:multiLevelType w:val="hybridMultilevel"/>
    <w:tmpl w:val="DFCE6D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9435154"/>
    <w:multiLevelType w:val="hybridMultilevel"/>
    <w:tmpl w:val="7B340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C687399"/>
    <w:multiLevelType w:val="hybridMultilevel"/>
    <w:tmpl w:val="032CE7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FAD6304"/>
    <w:multiLevelType w:val="hybridMultilevel"/>
    <w:tmpl w:val="A178F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6"/>
  </w:num>
  <w:num w:numId="4">
    <w:abstractNumId w:val="9"/>
  </w:num>
  <w:num w:numId="5">
    <w:abstractNumId w:val="1"/>
  </w:num>
  <w:num w:numId="6">
    <w:abstractNumId w:val="11"/>
  </w:num>
  <w:num w:numId="7">
    <w:abstractNumId w:val="3"/>
  </w:num>
  <w:num w:numId="8">
    <w:abstractNumId w:val="12"/>
  </w:num>
  <w:num w:numId="9">
    <w:abstractNumId w:val="5"/>
  </w:num>
  <w:num w:numId="10">
    <w:abstractNumId w:val="4"/>
  </w:num>
  <w:num w:numId="11">
    <w:abstractNumId w:val="1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lientMatter" w:val="False"/>
    <w:docVar w:name="Database" w:val="True"/>
    <w:docVar w:name="Date" w:val="False"/>
    <w:docVar w:name="DocName" w:val="False"/>
    <w:docVar w:name="DocNumber" w:val="True"/>
    <w:docVar w:name="Time" w:val="False"/>
    <w:docVar w:name="Typist" w:val="False"/>
    <w:docVar w:name="Version" w:val="True"/>
  </w:docVars>
  <w:rsids>
    <w:rsidRoot w:val="00D93D9A"/>
    <w:rsid w:val="000134B8"/>
    <w:rsid w:val="00024DD8"/>
    <w:rsid w:val="00054974"/>
    <w:rsid w:val="00056E2C"/>
    <w:rsid w:val="00065660"/>
    <w:rsid w:val="00081D49"/>
    <w:rsid w:val="000C3CF8"/>
    <w:rsid w:val="000C5311"/>
    <w:rsid w:val="000D52C3"/>
    <w:rsid w:val="00140DF6"/>
    <w:rsid w:val="0014680A"/>
    <w:rsid w:val="00153480"/>
    <w:rsid w:val="00176B6E"/>
    <w:rsid w:val="001D7382"/>
    <w:rsid w:val="002216C8"/>
    <w:rsid w:val="0024234D"/>
    <w:rsid w:val="002538BE"/>
    <w:rsid w:val="00315411"/>
    <w:rsid w:val="00357FD2"/>
    <w:rsid w:val="00364E8D"/>
    <w:rsid w:val="003B02B3"/>
    <w:rsid w:val="003D0B6F"/>
    <w:rsid w:val="004275FE"/>
    <w:rsid w:val="00471AB6"/>
    <w:rsid w:val="004733E4"/>
    <w:rsid w:val="004B5D2C"/>
    <w:rsid w:val="004F0EF0"/>
    <w:rsid w:val="0050668D"/>
    <w:rsid w:val="00581B08"/>
    <w:rsid w:val="00587C3F"/>
    <w:rsid w:val="005963E4"/>
    <w:rsid w:val="005C3D8C"/>
    <w:rsid w:val="005D1247"/>
    <w:rsid w:val="005F6987"/>
    <w:rsid w:val="0063348D"/>
    <w:rsid w:val="006514F8"/>
    <w:rsid w:val="00661291"/>
    <w:rsid w:val="00693C2A"/>
    <w:rsid w:val="006A657C"/>
    <w:rsid w:val="006B11FD"/>
    <w:rsid w:val="006C554F"/>
    <w:rsid w:val="006E5EBD"/>
    <w:rsid w:val="00715E52"/>
    <w:rsid w:val="007833B4"/>
    <w:rsid w:val="007A2128"/>
    <w:rsid w:val="007D725E"/>
    <w:rsid w:val="008319C1"/>
    <w:rsid w:val="0083293F"/>
    <w:rsid w:val="00836286"/>
    <w:rsid w:val="00854250"/>
    <w:rsid w:val="008601E3"/>
    <w:rsid w:val="00870FC9"/>
    <w:rsid w:val="008A5884"/>
    <w:rsid w:val="008A74E0"/>
    <w:rsid w:val="008C783F"/>
    <w:rsid w:val="0091794D"/>
    <w:rsid w:val="00945987"/>
    <w:rsid w:val="009473A5"/>
    <w:rsid w:val="00971F0A"/>
    <w:rsid w:val="00981EB6"/>
    <w:rsid w:val="009F1E3D"/>
    <w:rsid w:val="009F331F"/>
    <w:rsid w:val="009F6629"/>
    <w:rsid w:val="00A11A17"/>
    <w:rsid w:val="00A4212B"/>
    <w:rsid w:val="00AA70ED"/>
    <w:rsid w:val="00AB205B"/>
    <w:rsid w:val="00AB30C4"/>
    <w:rsid w:val="00B23CBE"/>
    <w:rsid w:val="00B4089A"/>
    <w:rsid w:val="00B430F0"/>
    <w:rsid w:val="00B5373A"/>
    <w:rsid w:val="00B54730"/>
    <w:rsid w:val="00B818A3"/>
    <w:rsid w:val="00C00175"/>
    <w:rsid w:val="00C21E81"/>
    <w:rsid w:val="00C31EA9"/>
    <w:rsid w:val="00C85356"/>
    <w:rsid w:val="00CB11BF"/>
    <w:rsid w:val="00CC50CB"/>
    <w:rsid w:val="00CD5E45"/>
    <w:rsid w:val="00CE195F"/>
    <w:rsid w:val="00CF4E57"/>
    <w:rsid w:val="00D41F59"/>
    <w:rsid w:val="00D76CA5"/>
    <w:rsid w:val="00D93D9A"/>
    <w:rsid w:val="00DA3B21"/>
    <w:rsid w:val="00DC0ED6"/>
    <w:rsid w:val="00DC5751"/>
    <w:rsid w:val="00DD7F0A"/>
    <w:rsid w:val="00DF7A68"/>
    <w:rsid w:val="00E050A9"/>
    <w:rsid w:val="00E1400F"/>
    <w:rsid w:val="00E16458"/>
    <w:rsid w:val="00E175F9"/>
    <w:rsid w:val="00E7565A"/>
    <w:rsid w:val="00EC6D58"/>
    <w:rsid w:val="00F036F2"/>
    <w:rsid w:val="00F0476F"/>
    <w:rsid w:val="00F13F10"/>
    <w:rsid w:val="00F51DDE"/>
    <w:rsid w:val="00F55933"/>
    <w:rsid w:val="00F74AA0"/>
    <w:rsid w:val="00FC01D7"/>
    <w:rsid w:val="00FD21C7"/>
    <w:rsid w:val="00FE2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93D9A"/>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D93D9A"/>
    <w:rPr>
      <w:sz w:val="24"/>
      <w:szCs w:val="24"/>
    </w:rPr>
  </w:style>
  <w:style w:type="paragraph" w:styleId="FootnoteText">
    <w:name w:val="footnote text"/>
    <w:basedOn w:val="Normal"/>
    <w:link w:val="FootnoteTextChar"/>
    <w:uiPriority w:val="99"/>
    <w:semiHidden/>
    <w:unhideWhenUsed/>
    <w:rsid w:val="00D93D9A"/>
    <w:pPr>
      <w:spacing w:after="120" w:line="260" w:lineRule="exact"/>
    </w:pPr>
    <w:rPr>
      <w:sz w:val="24"/>
      <w:szCs w:val="20"/>
    </w:rPr>
  </w:style>
  <w:style w:type="character" w:customStyle="1" w:styleId="FootnoteTextChar">
    <w:name w:val="Footnote Text Char"/>
    <w:basedOn w:val="DefaultParagraphFont"/>
    <w:link w:val="FootnoteText"/>
    <w:uiPriority w:val="99"/>
    <w:semiHidden/>
    <w:rsid w:val="00D93D9A"/>
    <w:rPr>
      <w:sz w:val="24"/>
      <w:szCs w:val="20"/>
    </w:rPr>
  </w:style>
  <w:style w:type="character" w:styleId="FootnoteReference">
    <w:name w:val="footnote reference"/>
    <w:basedOn w:val="DefaultParagraphFont"/>
    <w:uiPriority w:val="99"/>
    <w:semiHidden/>
    <w:unhideWhenUsed/>
    <w:rsid w:val="00D93D9A"/>
    <w:rPr>
      <w:vertAlign w:val="superscript"/>
    </w:rPr>
  </w:style>
  <w:style w:type="paragraph" w:styleId="ListParagraph">
    <w:name w:val="List Paragraph"/>
    <w:basedOn w:val="Normal"/>
    <w:uiPriority w:val="34"/>
    <w:qFormat/>
    <w:rsid w:val="00D93D9A"/>
    <w:pPr>
      <w:spacing w:after="0" w:line="240" w:lineRule="auto"/>
      <w:ind w:left="720"/>
      <w:contextualSpacing/>
    </w:pPr>
    <w:rPr>
      <w:rFonts w:ascii="Times New Roman" w:eastAsia="Times New Roman" w:hAnsi="Times New Roman" w:cs="Times New Roman"/>
      <w:sz w:val="24"/>
      <w:szCs w:val="24"/>
    </w:rPr>
  </w:style>
  <w:style w:type="paragraph" w:customStyle="1" w:styleId="ImanageFooter">
    <w:name w:val="Imanage Footer"/>
    <w:basedOn w:val="Normal"/>
    <w:rsid w:val="00D93D9A"/>
    <w:pPr>
      <w:spacing w:after="0" w:line="240" w:lineRule="auto"/>
    </w:pPr>
    <w:rPr>
      <w:rFonts w:ascii="Times New Roman" w:eastAsia="Times New Roman" w:hAnsi="Times New Roman" w:cs="Times New Roman"/>
      <w:sz w:val="16"/>
      <w:szCs w:val="24"/>
    </w:rPr>
  </w:style>
  <w:style w:type="paragraph" w:customStyle="1" w:styleId="NormalBold">
    <w:name w:val="NormalBold"/>
    <w:basedOn w:val="Normal"/>
    <w:rsid w:val="00D93D9A"/>
    <w:pPr>
      <w:widowControl w:val="0"/>
      <w:spacing w:after="0" w:line="240" w:lineRule="auto"/>
    </w:pPr>
    <w:rPr>
      <w:rFonts w:ascii="Times New Roman" w:eastAsia="Times New Roman" w:hAnsi="Times New Roman" w:cs="Times New Roman"/>
      <w:b/>
      <w:sz w:val="24"/>
      <w:szCs w:val="20"/>
      <w:lang w:val="en-GB" w:eastAsia="en-GB"/>
    </w:rPr>
  </w:style>
  <w:style w:type="paragraph" w:customStyle="1" w:styleId="ColumnHeading">
    <w:name w:val="ColumnHeading"/>
    <w:basedOn w:val="Normal"/>
    <w:rsid w:val="00D93D9A"/>
    <w:pPr>
      <w:widowControl w:val="0"/>
      <w:spacing w:after="240" w:line="240" w:lineRule="auto"/>
      <w:jc w:val="center"/>
    </w:pPr>
    <w:rPr>
      <w:rFonts w:ascii="Times New Roman" w:eastAsia="Times New Roman" w:hAnsi="Times New Roman" w:cs="Times New Roman"/>
      <w:i/>
      <w:sz w:val="24"/>
      <w:szCs w:val="20"/>
      <w:lang w:val="en-GB" w:eastAsia="en-GB"/>
    </w:rPr>
  </w:style>
  <w:style w:type="paragraph" w:customStyle="1" w:styleId="AMNumberTabs">
    <w:name w:val="AMNumberTabs"/>
    <w:basedOn w:val="Normal"/>
    <w:rsid w:val="00D93D9A"/>
    <w:pPr>
      <w:widowControl w:val="0"/>
      <w:tabs>
        <w:tab w:val="left" w:pos="879"/>
        <w:tab w:val="left" w:pos="936"/>
        <w:tab w:val="left" w:pos="1021"/>
        <w:tab w:val="left" w:pos="1077"/>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2070"/>
        <w:tab w:val="left" w:pos="2126"/>
        <w:tab w:val="left" w:pos="3374"/>
        <w:tab w:val="left" w:pos="3430"/>
      </w:tabs>
      <w:spacing w:before="240" w:after="0" w:line="240" w:lineRule="auto"/>
    </w:pPr>
    <w:rPr>
      <w:rFonts w:ascii="Times New Roman" w:eastAsia="Times New Roman" w:hAnsi="Times New Roman" w:cs="Times New Roman"/>
      <w:b/>
      <w:sz w:val="24"/>
      <w:szCs w:val="20"/>
      <w:lang w:val="en-GB" w:eastAsia="en-GB"/>
    </w:rPr>
  </w:style>
  <w:style w:type="table" w:styleId="TableGrid">
    <w:name w:val="Table Grid"/>
    <w:basedOn w:val="TableNormal"/>
    <w:uiPriority w:val="59"/>
    <w:rsid w:val="00D93D9A"/>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93D9A"/>
    <w:pPr>
      <w:autoSpaceDE w:val="0"/>
      <w:autoSpaceDN w:val="0"/>
      <w:adjustRightInd w:val="0"/>
      <w:spacing w:after="0" w:line="240" w:lineRule="auto"/>
    </w:pPr>
    <w:rPr>
      <w:rFonts w:ascii="Calibri" w:hAnsi="Calibri" w:cs="Calibri"/>
      <w:color w:val="000000"/>
      <w:sz w:val="24"/>
      <w:szCs w:val="24"/>
      <w:lang w:val="en-GB"/>
    </w:rPr>
  </w:style>
  <w:style w:type="character" w:styleId="Hyperlink">
    <w:name w:val="Hyperlink"/>
    <w:basedOn w:val="DefaultParagraphFont"/>
    <w:uiPriority w:val="99"/>
    <w:unhideWhenUsed/>
    <w:rsid w:val="00D93D9A"/>
    <w:rPr>
      <w:color w:val="0000FF" w:themeColor="hyperlink"/>
      <w:u w:val="single"/>
    </w:rPr>
  </w:style>
  <w:style w:type="paragraph" w:styleId="Header">
    <w:name w:val="header"/>
    <w:basedOn w:val="Normal"/>
    <w:link w:val="HeaderChar"/>
    <w:uiPriority w:val="99"/>
    <w:unhideWhenUsed/>
    <w:rsid w:val="00971F0A"/>
    <w:pPr>
      <w:tabs>
        <w:tab w:val="center" w:pos="4703"/>
        <w:tab w:val="right" w:pos="9406"/>
      </w:tabs>
      <w:spacing w:after="0" w:line="240" w:lineRule="auto"/>
    </w:pPr>
  </w:style>
  <w:style w:type="character" w:customStyle="1" w:styleId="HeaderChar">
    <w:name w:val="Header Char"/>
    <w:basedOn w:val="DefaultParagraphFont"/>
    <w:link w:val="Header"/>
    <w:uiPriority w:val="99"/>
    <w:rsid w:val="00971F0A"/>
  </w:style>
  <w:style w:type="paragraph" w:styleId="BalloonText">
    <w:name w:val="Balloon Text"/>
    <w:basedOn w:val="Normal"/>
    <w:link w:val="BalloonTextChar"/>
    <w:uiPriority w:val="99"/>
    <w:semiHidden/>
    <w:unhideWhenUsed/>
    <w:rsid w:val="0047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3E4"/>
    <w:rPr>
      <w:rFonts w:ascii="Tahoma" w:hAnsi="Tahoma" w:cs="Tahoma"/>
      <w:sz w:val="16"/>
      <w:szCs w:val="16"/>
    </w:rPr>
  </w:style>
  <w:style w:type="table" w:customStyle="1" w:styleId="TableGrid1">
    <w:name w:val="Table Grid1"/>
    <w:basedOn w:val="TableNormal"/>
    <w:next w:val="TableGrid"/>
    <w:uiPriority w:val="59"/>
    <w:rsid w:val="00CB11BF"/>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C6D58"/>
    <w:rPr>
      <w:sz w:val="16"/>
      <w:szCs w:val="16"/>
    </w:rPr>
  </w:style>
  <w:style w:type="paragraph" w:styleId="CommentText">
    <w:name w:val="annotation text"/>
    <w:basedOn w:val="Normal"/>
    <w:link w:val="CommentTextChar"/>
    <w:uiPriority w:val="99"/>
    <w:semiHidden/>
    <w:unhideWhenUsed/>
    <w:rsid w:val="00EC6D58"/>
    <w:pPr>
      <w:spacing w:line="240" w:lineRule="auto"/>
    </w:pPr>
    <w:rPr>
      <w:sz w:val="20"/>
      <w:szCs w:val="20"/>
    </w:rPr>
  </w:style>
  <w:style w:type="character" w:customStyle="1" w:styleId="CommentTextChar">
    <w:name w:val="Comment Text Char"/>
    <w:basedOn w:val="DefaultParagraphFont"/>
    <w:link w:val="CommentText"/>
    <w:uiPriority w:val="99"/>
    <w:semiHidden/>
    <w:rsid w:val="00EC6D58"/>
    <w:rPr>
      <w:sz w:val="20"/>
      <w:szCs w:val="20"/>
    </w:rPr>
  </w:style>
  <w:style w:type="paragraph" w:styleId="CommentSubject">
    <w:name w:val="annotation subject"/>
    <w:basedOn w:val="CommentText"/>
    <w:next w:val="CommentText"/>
    <w:link w:val="CommentSubjectChar"/>
    <w:uiPriority w:val="99"/>
    <w:semiHidden/>
    <w:unhideWhenUsed/>
    <w:rsid w:val="00EC6D58"/>
    <w:rPr>
      <w:b/>
      <w:bCs/>
    </w:rPr>
  </w:style>
  <w:style w:type="character" w:customStyle="1" w:styleId="CommentSubjectChar">
    <w:name w:val="Comment Subject Char"/>
    <w:basedOn w:val="CommentTextChar"/>
    <w:link w:val="CommentSubject"/>
    <w:uiPriority w:val="99"/>
    <w:semiHidden/>
    <w:rsid w:val="00EC6D58"/>
    <w:rPr>
      <w:b/>
      <w:bCs/>
      <w:sz w:val="20"/>
      <w:szCs w:val="20"/>
    </w:rPr>
  </w:style>
  <w:style w:type="paragraph" w:styleId="Revision">
    <w:name w:val="Revision"/>
    <w:hidden/>
    <w:uiPriority w:val="99"/>
    <w:semiHidden/>
    <w:rsid w:val="00EC6D5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93D9A"/>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D93D9A"/>
    <w:rPr>
      <w:sz w:val="24"/>
      <w:szCs w:val="24"/>
    </w:rPr>
  </w:style>
  <w:style w:type="paragraph" w:styleId="FootnoteText">
    <w:name w:val="footnote text"/>
    <w:basedOn w:val="Normal"/>
    <w:link w:val="FootnoteTextChar"/>
    <w:uiPriority w:val="99"/>
    <w:semiHidden/>
    <w:unhideWhenUsed/>
    <w:rsid w:val="00D93D9A"/>
    <w:pPr>
      <w:spacing w:after="120" w:line="260" w:lineRule="exact"/>
    </w:pPr>
    <w:rPr>
      <w:sz w:val="24"/>
      <w:szCs w:val="20"/>
    </w:rPr>
  </w:style>
  <w:style w:type="character" w:customStyle="1" w:styleId="FootnoteTextChar">
    <w:name w:val="Footnote Text Char"/>
    <w:basedOn w:val="DefaultParagraphFont"/>
    <w:link w:val="FootnoteText"/>
    <w:uiPriority w:val="99"/>
    <w:semiHidden/>
    <w:rsid w:val="00D93D9A"/>
    <w:rPr>
      <w:sz w:val="24"/>
      <w:szCs w:val="20"/>
    </w:rPr>
  </w:style>
  <w:style w:type="character" w:styleId="FootnoteReference">
    <w:name w:val="footnote reference"/>
    <w:basedOn w:val="DefaultParagraphFont"/>
    <w:uiPriority w:val="99"/>
    <w:semiHidden/>
    <w:unhideWhenUsed/>
    <w:rsid w:val="00D93D9A"/>
    <w:rPr>
      <w:vertAlign w:val="superscript"/>
    </w:rPr>
  </w:style>
  <w:style w:type="paragraph" w:styleId="ListParagraph">
    <w:name w:val="List Paragraph"/>
    <w:basedOn w:val="Normal"/>
    <w:uiPriority w:val="34"/>
    <w:qFormat/>
    <w:rsid w:val="00D93D9A"/>
    <w:pPr>
      <w:spacing w:after="0" w:line="240" w:lineRule="auto"/>
      <w:ind w:left="720"/>
      <w:contextualSpacing/>
    </w:pPr>
    <w:rPr>
      <w:rFonts w:ascii="Times New Roman" w:eastAsia="Times New Roman" w:hAnsi="Times New Roman" w:cs="Times New Roman"/>
      <w:sz w:val="24"/>
      <w:szCs w:val="24"/>
    </w:rPr>
  </w:style>
  <w:style w:type="paragraph" w:customStyle="1" w:styleId="ImanageFooter">
    <w:name w:val="Imanage Footer"/>
    <w:basedOn w:val="Normal"/>
    <w:rsid w:val="00D93D9A"/>
    <w:pPr>
      <w:spacing w:after="0" w:line="240" w:lineRule="auto"/>
    </w:pPr>
    <w:rPr>
      <w:rFonts w:ascii="Times New Roman" w:eastAsia="Times New Roman" w:hAnsi="Times New Roman" w:cs="Times New Roman"/>
      <w:sz w:val="16"/>
      <w:szCs w:val="24"/>
    </w:rPr>
  </w:style>
  <w:style w:type="paragraph" w:customStyle="1" w:styleId="NormalBold">
    <w:name w:val="NormalBold"/>
    <w:basedOn w:val="Normal"/>
    <w:rsid w:val="00D93D9A"/>
    <w:pPr>
      <w:widowControl w:val="0"/>
      <w:spacing w:after="0" w:line="240" w:lineRule="auto"/>
    </w:pPr>
    <w:rPr>
      <w:rFonts w:ascii="Times New Roman" w:eastAsia="Times New Roman" w:hAnsi="Times New Roman" w:cs="Times New Roman"/>
      <w:b/>
      <w:sz w:val="24"/>
      <w:szCs w:val="20"/>
      <w:lang w:val="en-GB" w:eastAsia="en-GB"/>
    </w:rPr>
  </w:style>
  <w:style w:type="paragraph" w:customStyle="1" w:styleId="ColumnHeading">
    <w:name w:val="ColumnHeading"/>
    <w:basedOn w:val="Normal"/>
    <w:rsid w:val="00D93D9A"/>
    <w:pPr>
      <w:widowControl w:val="0"/>
      <w:spacing w:after="240" w:line="240" w:lineRule="auto"/>
      <w:jc w:val="center"/>
    </w:pPr>
    <w:rPr>
      <w:rFonts w:ascii="Times New Roman" w:eastAsia="Times New Roman" w:hAnsi="Times New Roman" w:cs="Times New Roman"/>
      <w:i/>
      <w:sz w:val="24"/>
      <w:szCs w:val="20"/>
      <w:lang w:val="en-GB" w:eastAsia="en-GB"/>
    </w:rPr>
  </w:style>
  <w:style w:type="paragraph" w:customStyle="1" w:styleId="AMNumberTabs">
    <w:name w:val="AMNumberTabs"/>
    <w:basedOn w:val="Normal"/>
    <w:rsid w:val="00D93D9A"/>
    <w:pPr>
      <w:widowControl w:val="0"/>
      <w:tabs>
        <w:tab w:val="left" w:pos="879"/>
        <w:tab w:val="left" w:pos="936"/>
        <w:tab w:val="left" w:pos="1021"/>
        <w:tab w:val="left" w:pos="1077"/>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2070"/>
        <w:tab w:val="left" w:pos="2126"/>
        <w:tab w:val="left" w:pos="3374"/>
        <w:tab w:val="left" w:pos="3430"/>
      </w:tabs>
      <w:spacing w:before="240" w:after="0" w:line="240" w:lineRule="auto"/>
    </w:pPr>
    <w:rPr>
      <w:rFonts w:ascii="Times New Roman" w:eastAsia="Times New Roman" w:hAnsi="Times New Roman" w:cs="Times New Roman"/>
      <w:b/>
      <w:sz w:val="24"/>
      <w:szCs w:val="20"/>
      <w:lang w:val="en-GB" w:eastAsia="en-GB"/>
    </w:rPr>
  </w:style>
  <w:style w:type="table" w:styleId="TableGrid">
    <w:name w:val="Table Grid"/>
    <w:basedOn w:val="TableNormal"/>
    <w:uiPriority w:val="59"/>
    <w:rsid w:val="00D93D9A"/>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93D9A"/>
    <w:pPr>
      <w:autoSpaceDE w:val="0"/>
      <w:autoSpaceDN w:val="0"/>
      <w:adjustRightInd w:val="0"/>
      <w:spacing w:after="0" w:line="240" w:lineRule="auto"/>
    </w:pPr>
    <w:rPr>
      <w:rFonts w:ascii="Calibri" w:hAnsi="Calibri" w:cs="Calibri"/>
      <w:color w:val="000000"/>
      <w:sz w:val="24"/>
      <w:szCs w:val="24"/>
      <w:lang w:val="en-GB"/>
    </w:rPr>
  </w:style>
  <w:style w:type="character" w:styleId="Hyperlink">
    <w:name w:val="Hyperlink"/>
    <w:basedOn w:val="DefaultParagraphFont"/>
    <w:uiPriority w:val="99"/>
    <w:unhideWhenUsed/>
    <w:rsid w:val="00D93D9A"/>
    <w:rPr>
      <w:color w:val="0000FF" w:themeColor="hyperlink"/>
      <w:u w:val="single"/>
    </w:rPr>
  </w:style>
  <w:style w:type="paragraph" w:styleId="Header">
    <w:name w:val="header"/>
    <w:basedOn w:val="Normal"/>
    <w:link w:val="HeaderChar"/>
    <w:uiPriority w:val="99"/>
    <w:unhideWhenUsed/>
    <w:rsid w:val="00971F0A"/>
    <w:pPr>
      <w:tabs>
        <w:tab w:val="center" w:pos="4703"/>
        <w:tab w:val="right" w:pos="9406"/>
      </w:tabs>
      <w:spacing w:after="0" w:line="240" w:lineRule="auto"/>
    </w:pPr>
  </w:style>
  <w:style w:type="character" w:customStyle="1" w:styleId="HeaderChar">
    <w:name w:val="Header Char"/>
    <w:basedOn w:val="DefaultParagraphFont"/>
    <w:link w:val="Header"/>
    <w:uiPriority w:val="99"/>
    <w:rsid w:val="00971F0A"/>
  </w:style>
  <w:style w:type="paragraph" w:styleId="BalloonText">
    <w:name w:val="Balloon Text"/>
    <w:basedOn w:val="Normal"/>
    <w:link w:val="BalloonTextChar"/>
    <w:uiPriority w:val="99"/>
    <w:semiHidden/>
    <w:unhideWhenUsed/>
    <w:rsid w:val="0047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3E4"/>
    <w:rPr>
      <w:rFonts w:ascii="Tahoma" w:hAnsi="Tahoma" w:cs="Tahoma"/>
      <w:sz w:val="16"/>
      <w:szCs w:val="16"/>
    </w:rPr>
  </w:style>
  <w:style w:type="table" w:customStyle="1" w:styleId="TableGrid1">
    <w:name w:val="Table Grid1"/>
    <w:basedOn w:val="TableNormal"/>
    <w:next w:val="TableGrid"/>
    <w:uiPriority w:val="59"/>
    <w:rsid w:val="00CB11BF"/>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C6D58"/>
    <w:rPr>
      <w:sz w:val="16"/>
      <w:szCs w:val="16"/>
    </w:rPr>
  </w:style>
  <w:style w:type="paragraph" w:styleId="CommentText">
    <w:name w:val="annotation text"/>
    <w:basedOn w:val="Normal"/>
    <w:link w:val="CommentTextChar"/>
    <w:uiPriority w:val="99"/>
    <w:semiHidden/>
    <w:unhideWhenUsed/>
    <w:rsid w:val="00EC6D58"/>
    <w:pPr>
      <w:spacing w:line="240" w:lineRule="auto"/>
    </w:pPr>
    <w:rPr>
      <w:sz w:val="20"/>
      <w:szCs w:val="20"/>
    </w:rPr>
  </w:style>
  <w:style w:type="character" w:customStyle="1" w:styleId="CommentTextChar">
    <w:name w:val="Comment Text Char"/>
    <w:basedOn w:val="DefaultParagraphFont"/>
    <w:link w:val="CommentText"/>
    <w:uiPriority w:val="99"/>
    <w:semiHidden/>
    <w:rsid w:val="00EC6D58"/>
    <w:rPr>
      <w:sz w:val="20"/>
      <w:szCs w:val="20"/>
    </w:rPr>
  </w:style>
  <w:style w:type="paragraph" w:styleId="CommentSubject">
    <w:name w:val="annotation subject"/>
    <w:basedOn w:val="CommentText"/>
    <w:next w:val="CommentText"/>
    <w:link w:val="CommentSubjectChar"/>
    <w:uiPriority w:val="99"/>
    <w:semiHidden/>
    <w:unhideWhenUsed/>
    <w:rsid w:val="00EC6D58"/>
    <w:rPr>
      <w:b/>
      <w:bCs/>
    </w:rPr>
  </w:style>
  <w:style w:type="character" w:customStyle="1" w:styleId="CommentSubjectChar">
    <w:name w:val="Comment Subject Char"/>
    <w:basedOn w:val="CommentTextChar"/>
    <w:link w:val="CommentSubject"/>
    <w:uiPriority w:val="99"/>
    <w:semiHidden/>
    <w:rsid w:val="00EC6D58"/>
    <w:rPr>
      <w:b/>
      <w:bCs/>
      <w:sz w:val="20"/>
      <w:szCs w:val="20"/>
    </w:rPr>
  </w:style>
  <w:style w:type="paragraph" w:styleId="Revision">
    <w:name w:val="Revision"/>
    <w:hidden/>
    <w:uiPriority w:val="99"/>
    <w:semiHidden/>
    <w:rsid w:val="00EC6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94092">
      <w:bodyDiv w:val="1"/>
      <w:marLeft w:val="0"/>
      <w:marRight w:val="0"/>
      <w:marTop w:val="0"/>
      <w:marBottom w:val="0"/>
      <w:divBdr>
        <w:top w:val="none" w:sz="0" w:space="0" w:color="auto"/>
        <w:left w:val="none" w:sz="0" w:space="0" w:color="auto"/>
        <w:bottom w:val="none" w:sz="0" w:space="0" w:color="auto"/>
        <w:right w:val="none" w:sz="0" w:space="0" w:color="auto"/>
      </w:divBdr>
    </w:div>
    <w:div w:id="1822427156">
      <w:bodyDiv w:val="1"/>
      <w:marLeft w:val="0"/>
      <w:marRight w:val="0"/>
      <w:marTop w:val="0"/>
      <w:marBottom w:val="0"/>
      <w:divBdr>
        <w:top w:val="none" w:sz="0" w:space="0" w:color="auto"/>
        <w:left w:val="none" w:sz="0" w:space="0" w:color="auto"/>
        <w:bottom w:val="none" w:sz="0" w:space="0" w:color="auto"/>
        <w:right w:val="none" w:sz="0" w:space="0" w:color="auto"/>
      </w:divBdr>
    </w:div>
    <w:div w:id="196511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4EFAF-E182-4A3C-9B9C-14F0AD42D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7171</Words>
  <Characters>40881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2012-07-23T08:32:00Z</dcterms:created>
  <dcterms:modified xsi:type="dcterms:W3CDTF">2012-07-23T08:32:00Z</dcterms:modified>
</cp:coreProperties>
</file>