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round-trip fixture</w:t>
      </w:r>
    </w:p>
    <w:p>
      <w:pPr>
        <w:pStyle w:val="Heading1"/>
      </w:pPr>
      <w:r>
        <w:t>LH-OFFICE-V1-DOC-H1</w:t>
      </w:r>
    </w:p>
    <w:p>
      <w:r>
        <w:rPr>
          <w:b w:val="0"/>
        </w:rPr>
        <w:t xml:space="preserve">This body paragraph keeps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underlined</w:t>
      </w:r>
      <w:r>
        <w:t xml:space="preserve"> runs after export.</w:t>
      </w:r>
    </w:p>
    <w:p>
      <w:pPr>
        <w:pStyle w:val="BodyText"/>
        <w:jc w:val="both"/>
      </w:pPr>
      <w:r>
        <w:t>Pasted body paragraph — T-328-PASTE</w:t>
      </w:r>
    </w:p>
    <w:p>
      <w:r>
        <w:t>中文保真检查 ✅ — edited</w:t>
      </w:r>
    </w:p>
    <w:p>
      <w:pPr>
        <w:pStyle w:val="Heading1"/>
      </w:pPr>
      <w:r>
        <w:t>Checklist</w:t>
      </w:r>
    </w:p>
    <w:p>
      <w:pPr>
        <w:pStyle w:val="ListNumber"/>
      </w:pPr>
      <w:r>
        <w:t>Import the source</w:t>
      </w:r>
    </w:p>
    <w:p>
      <w:pPr>
        <w:pStyle w:val="ListNumber"/>
      </w:pPr>
      <w:r>
        <w:t>Edit content and formatting</w:t>
      </w:r>
    </w:p>
    <w:p>
      <w:pPr>
        <w:pStyle w:val="ListNumber"/>
      </w:pPr>
      <w:r>
        <w:t>Save and reopen</w:t>
      </w:r>
    </w:p>
    <w:p>
      <w:pPr>
        <w:pStyle w:val="ListNumber"/>
      </w:pPr>
      <w:r>
        <w:t>Export the DOCX</w:t>
      </w:r>
    </w:p>
    <w:p>
      <w:pPr>
        <w:pStyle w:val="ListBullet"/>
      </w:pPr>
      <w:r>
        <w:t>No content loss</w:t>
      </w:r>
    </w:p>
    <w:p>
      <w:pPr>
        <w:pStyle w:val="ListBullet"/>
      </w:pPr>
      <w:r>
        <w:t>No layout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024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t>Draft</w:t>
            </w:r>
          </w:p>
        </w:tc>
        <w:tc>
          <w:tcPr>
            <w:tcW w:type="dxa" w:w="3024"/>
          </w:tcPr>
          <w:p>
            <w:r>
              <w:t>Ari</w:t>
            </w:r>
          </w:p>
        </w:tc>
        <w:tc>
          <w:tcPr>
            <w:tcW w:type="dxa" w:w="3024"/>
          </w:tcPr>
          <w:p>
            <w:r>
              <w:t>Ready</w:t>
            </w:r>
          </w:p>
        </w:tc>
      </w:tr>
      <w:tr>
        <w:tc>
          <w:tcPr>
            <w:tcW w:type="dxa" w:w="3024"/>
          </w:tcPr>
          <w:p>
            <w:r>
              <w:t>Export</w:t>
            </w:r>
          </w:p>
        </w:tc>
        <w:tc>
          <w:tcPr>
            <w:tcW w:type="dxa" w:w="3024"/>
          </w:tcPr>
          <w:p>
            <w:r>
              <w:t>Bo</w:t>
            </w:r>
          </w:p>
        </w:tc>
        <w:tc>
          <w:tcPr>
            <w:tcW w:type="dxa" w:w="3024"/>
          </w:tcPr>
          <w:p>
            <w:r>
              <w:t>Ready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 descr="LH-OFFICE-V1-IMAGE-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— Synthetic fidelity image</w:t>
      </w:r>
    </w:p>
    <w:p>
      <w:r>
        <w:t xml:space="preserve">Source: </w:t>
      </w:r>
      <w:hyperlink r:id="rId10">
        <w:r>
          <w:rPr>
            <w:color w:val="0563C1"/>
            <w:u w:val="single"/>
          </w:rPr>
          <w:t>LobeHub repository</w:t>
        </w:r>
      </w:hyperlink>
      <w:r>
        <w:t xml:space="preserve"> (target preserved).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LH-OFFICE-V1-DOC-END</w:t>
      </w:r>
    </w:p>
    <w:p>
      <w:r>
        <w:t>Reopen/export invariant: BODY + HIERARCHY + TABLE + IMAGE + LINK.</w:t>
      </w:r>
    </w:p>
    <w:sectPr w:rsidR="00FC693F" w:rsidRPr="0006063C" w:rsidSect="00034616">
      <w:footerReference w:type="default" r:id="rId11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LH-OFFICE-V1-DOC-FOOTER ·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6E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lobehub/lobehub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LH-OFFICE-V1-DOCX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