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11827"/>
          <w:sz w:val="36"/>
        </w:rPr>
        <w:t>MANUAL DE USUARIO DEL SISTEMA</w:t>
      </w:r>
    </w:p>
    <w:p>
      <w:pPr>
        <w:spacing w:after="480"/>
        <w:jc w:val="center"/>
      </w:pPr>
      <w:r>
        <w:rPr>
          <w:i/>
          <w:color w:val="4B5563"/>
          <w:sz w:val="20"/>
        </w:rPr>
        <w:t>Sistema: Gestión Comercial "Industrial del Sur"   |   Responsable: CAROLINA LOBO   |   Fecha: 17/06/2026</w:t>
      </w:r>
    </w:p>
    <w:p>
      <w:pPr>
        <w:keepNext/>
        <w:spacing w:before="320" w:after="120"/>
      </w:pPr>
      <w:r>
        <w:rPr>
          <w:rFonts w:ascii="Arial" w:hAnsi="Arial"/>
          <w:b/>
          <w:color w:val="111827"/>
          <w:sz w:val="28"/>
        </w:rPr>
        <w:t>1. Objetivo del manual</w:t>
      </w:r>
    </w:p>
    <w:p>
      <w:pPr>
        <w:spacing w:line="276" w:lineRule="auto" w:after="120"/>
      </w:pPr>
      <w:r>
        <w:t>El objetivo de este Manual de Usuario es explicar el funcionamiento detallado de la aplicación y describir los pasos necesarios para operar correctamente cada una de sus funcionalidades gráficas e interactivas. Este documento técnico permite que los operadores del sistema conozcan las opciones disponibles, aprendan a ingresar la información en las bases de datos planas de manera consistente y puedan emitir los comprobantes comerciales correspondientes de forma autónoma.</w:t>
      </w:r>
    </w:p>
    <w:p>
      <w:pPr>
        <w:keepNext/>
        <w:spacing w:before="320" w:after="120"/>
      </w:pPr>
      <w:r>
        <w:rPr>
          <w:rFonts w:ascii="Arial" w:hAnsi="Arial"/>
          <w:b/>
          <w:color w:val="111827"/>
          <w:sz w:val="28"/>
        </w:rPr>
        <w:t>2. Acceso al sistema</w:t>
      </w:r>
    </w:p>
    <w:p>
      <w:pPr>
        <w:spacing w:line="276" w:lineRule="auto" w:after="120"/>
      </w:pPr>
      <w:r>
        <w:t>La aplicación está estructurada bajo una arquitectura modular en Python utilizando interfaces gráficas nativas provistas por la librería Tkinter. Dado que el almacenamiento y persistencia del software se gestiona localmente en archivos planos indexados, el sistema no requiere de un servidor externo de base de datos ni de una interfaz intermedia de login mediante contraseña para iniciar su operación.</w:t>
      </w:r>
    </w:p>
    <w:p>
      <w:pPr>
        <w:spacing w:line="276" w:lineRule="auto" w:after="120"/>
      </w:pPr>
      <w:r>
        <w:t>Procedimiento de arranque:</w:t>
      </w:r>
    </w:p>
    <w:p>
      <w:pPr>
        <w:pStyle w:val="ListNumber"/>
        <w:spacing w:after="40"/>
      </w:pPr>
      <w:r>
        <w:t>1. Abrir la terminal de comandos o consola del sistema operativo posicionada sobre el directorio raíz del proyecto.</w:t>
      </w:r>
    </w:p>
    <w:p>
      <w:pPr>
        <w:pStyle w:val="ListNumber"/>
        <w:spacing w:after="40"/>
      </w:pPr>
      <w:r>
        <w:t>2. Ejecutar el comando de inicio de entorno: python menu.py</w:t>
      </w:r>
    </w:p>
    <w:p>
      <w:pPr>
        <w:pStyle w:val="ListNumber"/>
        <w:spacing w:after="120"/>
      </w:pPr>
      <w:r>
        <w:t>3. El sistema validará los archivos físicos locales y desplegará de forma inmediata el panel de navegación principal.</w:t>
      </w:r>
    </w:p>
    <w:p>
      <w:pPr>
        <w:keepNext/>
        <w:spacing w:before="320" w:after="120"/>
      </w:pPr>
      <w:r>
        <w:rPr>
          <w:rFonts w:ascii="Arial" w:hAnsi="Arial"/>
          <w:b/>
          <w:color w:val="111827"/>
          <w:sz w:val="28"/>
        </w:rPr>
        <w:t>3. Menú principal</w:t>
      </w:r>
    </w:p>
    <w:p>
      <w:pPr>
        <w:spacing w:line="276" w:lineRule="auto" w:after="120"/>
      </w:pPr>
      <w:r>
        <w:t>Al iniciar el entorno, el operador visualizará de forma centralizada la ventana del Menú Principal. Esta interfaz actúa como el despachador central del software y cuenta con un diseño de botones independientes controlados mediante subprocesos paralelos (subprocess.Popen). Esta arquitectura robusta permite abrir e interactuar con múltiples módulos del negocio en simultáneo sin bloquear la navegación de la ventana madre.</w:t>
      </w:r>
    </w:p>
    <w:p>
      <w:pPr>
        <w:spacing w:line="276" w:lineRule="auto" w:after="120"/>
      </w:pPr>
      <w:r>
        <w:t>Módulos disponibles en la barra de herramientas:</w:t>
      </w:r>
    </w:p>
    <w:p>
      <w:pPr>
        <w:pStyle w:val="ListBullet"/>
        <w:spacing w:after="40"/>
      </w:pPr>
      <w:r>
        <w:t>Administración de Clientes (Acceso al ABM y visualizador de registros).</w:t>
      </w:r>
    </w:p>
    <w:p>
      <w:pPr>
        <w:pStyle w:val="ListBullet"/>
        <w:spacing w:after="40"/>
      </w:pPr>
      <w:r>
        <w:t>Administración de Productos (Gestión del catálogo de prendas de vestir textiles).</w:t>
      </w:r>
    </w:p>
    <w:p>
      <w:pPr>
        <w:pStyle w:val="ListBullet"/>
        <w:spacing w:after="40"/>
      </w:pPr>
      <w:r>
        <w:t>Administración de Proveedores (Fichero de industrias de insumos, hilados y talleres).</w:t>
      </w:r>
    </w:p>
    <w:p>
      <w:pPr>
        <w:pStyle w:val="ListBullet"/>
        <w:spacing w:after="40"/>
      </w:pPr>
      <w:r>
        <w:t>Facturación (Módulo central de procesamiento de ventas y generación de facturas físicas).</w:t>
      </w:r>
    </w:p>
    <w:p>
      <w:pPr>
        <w:pStyle w:val="ListBullet"/>
        <w:spacing w:after="120"/>
      </w:pPr>
      <w:r>
        <w:t>Salir del sistema (Cierre controlado de ventanas y liberación de hilos del entorno).</w:t>
      </w:r>
    </w:p>
    <w:p>
      <w:pPr>
        <w:keepNext/>
        <w:spacing w:before="320" w:after="120"/>
      </w:pPr>
      <w:r>
        <w:rPr>
          <w:rFonts w:ascii="Arial" w:hAnsi="Arial"/>
          <w:b/>
          <w:color w:val="111827"/>
          <w:sz w:val="28"/>
        </w:rPr>
        <w:t>4. Administración de Clientes (ABM Clientes)</w:t>
      </w:r>
    </w:p>
    <w:p>
      <w:pPr>
        <w:spacing w:line="276" w:lineRule="auto" w:after="120"/>
      </w:pPr>
      <w:r>
        <w:t>Este módulo (cli.py) proporciona las herramientas para la gestión integral de la cartera de compradores de la empresa. Toda la información introducida se almacena y actualiza de manera persistente en el archivo local estructurado clientes.txt.</w:t>
      </w:r>
    </w:p>
    <w:p>
      <w:pPr>
        <w:keepNext/>
        <w:spacing w:before="240" w:after="80"/>
      </w:pPr>
      <w:r>
        <w:rPr>
          <w:rFonts w:ascii="Arial" w:hAnsi="Arial"/>
          <w:b/>
          <w:color w:val="374151"/>
          <w:sz w:val="24"/>
        </w:rPr>
        <w:t>Alta de un nuevo cliente</w:t>
      </w:r>
    </w:p>
    <w:p>
      <w:pPr>
        <w:pStyle w:val="ListNumber"/>
        <w:spacing w:after="40"/>
      </w:pPr>
      <w:r>
        <w:t>1. Hacer clic en el botón Clientes desde el panel del Menú Principal.</w:t>
      </w:r>
    </w:p>
    <w:p>
      <w:pPr>
        <w:pStyle w:val="ListNumber"/>
        <w:spacing w:after="40"/>
      </w:pPr>
      <w:r>
        <w:t>2. Completar los campos obligatorios del formulario de carga ubicado en el margen izquierdo:</w:t>
      </w:r>
    </w:p>
    <w:p>
      <w:pPr>
        <w:pStyle w:val="ListBullet"/>
        <w:spacing w:after="40"/>
      </w:pPr>
      <w:r>
        <w:t>ID: Código numérico único identificador del cliente.</w:t>
      </w:r>
    </w:p>
    <w:p>
      <w:pPr>
        <w:pStyle w:val="ListBullet"/>
        <w:spacing w:after="40"/>
      </w:pPr>
      <w:r>
        <w:t>Nombre / Apellido: Identificación nominal completa del comprador.</w:t>
      </w:r>
    </w:p>
    <w:p>
      <w:pPr>
        <w:pStyle w:val="ListBullet"/>
        <w:spacing w:after="40"/>
      </w:pPr>
      <w:r>
        <w:t>DNI: Documento Nacional de Identidad, ingresado como números corridos sin puntos.</w:t>
      </w:r>
    </w:p>
    <w:p>
      <w:pPr>
        <w:pStyle w:val="ListBullet"/>
        <w:spacing w:after="40"/>
      </w:pPr>
      <w:r>
        <w:t>Dirección: Domicilio de facturación o locación de destino.</w:t>
      </w:r>
    </w:p>
    <w:p>
      <w:pPr>
        <w:pStyle w:val="ListNumber"/>
        <w:spacing w:after="40"/>
      </w:pPr>
      <w:r>
        <w:t>3. Hacer clic en el botón Alta.</w:t>
      </w:r>
    </w:p>
    <w:p>
      <w:pPr>
        <w:pStyle w:val="ListNumber"/>
        <w:spacing w:after="120"/>
      </w:pPr>
      <w:r>
        <w:t>4. El sistema guardará el registro, refrescará la cuadrícula (Treeview) de la derecha mostrando el estado inicial 'ACTIVO' y emitirá una ventana emergente de confirmación.</w:t>
      </w:r>
    </w:p>
    <w:p>
      <w:pPr>
        <w:keepNext/>
        <w:spacing w:before="240" w:after="80"/>
      </w:pPr>
      <w:r>
        <w:rPr>
          <w:rFonts w:ascii="Arial" w:hAnsi="Arial"/>
          <w:b/>
          <w:color w:val="374151"/>
          <w:sz w:val="24"/>
        </w:rPr>
        <w:t>Modificación y Baja Lógica</w:t>
      </w:r>
    </w:p>
    <w:p>
      <w:pPr>
        <w:spacing w:line="276" w:lineRule="auto" w:after="120"/>
      </w:pPr>
      <w:r>
        <w:t>Para modificar un registro, el usuario debe seleccionar la fila correspondiente del cliente con un clic sobre el Treeview gráfico. El formulario de entrada recuperará la información automáticamente; el operador modificará el atributo deseado (por ejemplo, actualizando la dirección) y presionará el botón Modificar.</w:t>
        <w:br/>
        <w:t>Baja Lógica: Por criterios rigurosos de auditoría y consistencia histórica de transacciones, el botón Baja no elimina físicamente la línea del archivo clientes.txt, sino que cambia el indicador de estado a 'BAJA'. De esta forma, el cliente queda inhabilitado de manera inmediata para operar en el módulo de ventas.</w:t>
      </w:r>
    </w:p>
    <w:p>
      <w:pPr>
        <w:keepNext/>
        <w:spacing w:before="320" w:after="120"/>
      </w:pPr>
      <w:r>
        <w:rPr>
          <w:rFonts w:ascii="Arial" w:hAnsi="Arial"/>
          <w:b/>
          <w:color w:val="111827"/>
          <w:sz w:val="28"/>
        </w:rPr>
        <w:t>5. Administración de Productos (ABM Productos)</w:t>
      </w:r>
    </w:p>
    <w:p>
      <w:pPr>
        <w:spacing w:line="276" w:lineRule="auto" w:after="120"/>
      </w:pPr>
      <w:r>
        <w:t>El módulo prod.py centraliza el inventario de artículos de confección textil y prendas comerciales de la empresa, escribiendo de forma directa y ordenada las novedades dentro del archivo productos.txt.</w:t>
      </w:r>
    </w:p>
    <w:p>
      <w:pPr>
        <w:keepNext/>
        <w:spacing w:before="240" w:after="80"/>
      </w:pPr>
      <w:r>
        <w:rPr>
          <w:rFonts w:ascii="Arial" w:hAnsi="Arial"/>
          <w:b/>
          <w:color w:val="374151"/>
          <w:sz w:val="24"/>
        </w:rPr>
        <w:t>Alta y reglas de consistencia de productos</w:t>
      </w:r>
    </w:p>
    <w:p>
      <w:pPr>
        <w:pStyle w:val="ListNumber"/>
        <w:spacing w:after="40"/>
      </w:pPr>
      <w:r>
        <w:t>1. Ingresar a la interfaz de Productos desde el despachador central.</w:t>
      </w:r>
    </w:p>
    <w:p>
      <w:pPr>
        <w:pStyle w:val="ListNumber"/>
        <w:spacing w:after="40"/>
      </w:pPr>
      <w:r>
        <w:t>2. Completar los atributos específicos definidos para el rubro de indumentaria:</w:t>
      </w:r>
    </w:p>
    <w:p>
      <w:pPr>
        <w:pStyle w:val="ListBullet"/>
        <w:spacing w:after="40"/>
      </w:pPr>
      <w:r>
        <w:t>ID: Código numérico entero para referenciar el artículo.</w:t>
      </w:r>
    </w:p>
    <w:p>
      <w:pPr>
        <w:pStyle w:val="ListBullet"/>
        <w:spacing w:after="40"/>
      </w:pPr>
      <w:r>
        <w:t>Detalle: Descripción formal del tipo de prenda de vestir (ej: Remera, Campera, Pantalón).</w:t>
      </w:r>
    </w:p>
    <w:p>
      <w:pPr>
        <w:pStyle w:val="ListBullet"/>
        <w:spacing w:after="40"/>
      </w:pPr>
      <w:r>
        <w:t>Talle: Menú de selección desplegable (Combobox) con opciones estandarizadas: S, M, L, XL, XXL.</w:t>
      </w:r>
    </w:p>
    <w:p>
      <w:pPr>
        <w:pStyle w:val="ListBullet"/>
        <w:spacing w:after="40"/>
      </w:pPr>
      <w:r>
        <w:t>Color: Tonalidad específica de la tela o hilado.</w:t>
      </w:r>
    </w:p>
    <w:p>
      <w:pPr>
        <w:pStyle w:val="ListBullet"/>
        <w:spacing w:after="40"/>
      </w:pPr>
      <w:r>
        <w:t>Precio: Valor monetario unitario de venta. Debe ingresarse de forma obligatoria como un número entero sin signos monetarios, puntos ni comas decimales.</w:t>
      </w:r>
    </w:p>
    <w:p>
      <w:pPr>
        <w:pStyle w:val="ListNumber"/>
        <w:spacing w:after="120"/>
      </w:pPr>
      <w:r>
        <w:t>3. Presionar el botón Alta para consolidar el artículo con estado inicial 'ACTIVO'.</w:t>
      </w:r>
    </w:p>
    <w:p>
      <w:pPr>
        <w:keepNext/>
        <w:spacing w:before="320" w:after="120"/>
      </w:pPr>
      <w:r>
        <w:rPr>
          <w:rFonts w:ascii="Arial" w:hAnsi="Arial"/>
          <w:b/>
          <w:color w:val="111827"/>
          <w:sz w:val="28"/>
        </w:rPr>
        <w:t>6. Administración de Proveedores</w:t>
      </w:r>
    </w:p>
    <w:p>
      <w:pPr>
        <w:spacing w:line="276" w:lineRule="auto" w:after="120"/>
      </w:pPr>
      <w:r>
        <w:t>Este panel especializado (prov.py) coordina el registro de los proveedores de insumos (talleres de corte, tejedurías, tintorerías y fábricas de avíos) en el archivo local proveedores.txt. El formulario exige un ID numérico, la Razón Social de la empresa, el CUIT (ingresado sin guiones ni caracteres especiales), la selección estructurada del Rubro a través de una lista desplegable dedicada (Telas, Hilandería, Avíos o Tintorería) y el nombre del Contacto comercial. Soporta el ciclo completo de Modificación de datos y de Baja lógica (cambio automático a estado 'BAJA') para congelar cuentas inactivas.</w:t>
      </w:r>
    </w:p>
    <w:p>
      <w:pPr>
        <w:keepNext/>
        <w:spacing w:before="320" w:after="120"/>
      </w:pPr>
      <w:r>
        <w:rPr>
          <w:rFonts w:ascii="Arial" w:hAnsi="Arial"/>
          <w:b/>
          <w:color w:val="111827"/>
          <w:sz w:val="28"/>
        </w:rPr>
        <w:t>7. Generación de Facturas (Módulo Facturación)</w:t>
      </w:r>
    </w:p>
    <w:p>
      <w:pPr>
        <w:spacing w:line="276" w:lineRule="auto" w:after="120"/>
      </w:pPr>
      <w:r>
        <w:t>El entorno de facturación (fact.py) procesa de forma dinámica las transacciones comerciales, cruzando la información guardada en los distintos módulos para emitir la documentación legal sin alterar físicamente las tablas base debido a la arquitectura plana sin stock.</w:t>
      </w:r>
    </w:p>
    <w:p>
      <w:pPr>
        <w:keepNext/>
        <w:spacing w:before="240" w:after="80"/>
      </w:pPr>
      <w:r>
        <w:rPr>
          <w:rFonts w:ascii="Arial" w:hAnsi="Arial"/>
          <w:b/>
          <w:color w:val="374151"/>
          <w:sz w:val="24"/>
        </w:rPr>
        <w:t>Pasos operativos para concretar una venta</w:t>
      </w:r>
    </w:p>
    <w:p>
      <w:pPr>
        <w:pStyle w:val="ListNumber"/>
        <w:spacing w:after="40"/>
      </w:pPr>
      <w:r>
        <w:t>1. Acceder al módulo de Facturación desde la ventana raíz.</w:t>
      </w:r>
    </w:p>
    <w:p>
      <w:pPr>
        <w:pStyle w:val="ListNumber"/>
        <w:spacing w:after="40"/>
      </w:pPr>
      <w:r>
        <w:t>2. Desplegar el combo de Clientes: La interfaz cargará dinámicamente y mostrará de forma exclusiva a los compradores del archivo clientes.txt que cuenten con estado 'ACTIVO'. Seleccionar el receptor de la factura.</w:t>
      </w:r>
    </w:p>
    <w:p>
      <w:pPr>
        <w:pStyle w:val="ListNumber"/>
        <w:spacing w:after="40"/>
      </w:pPr>
      <w:r>
        <w:t>3. Desplegar el combo de Productos: Seleccionar el artículo textil a comercializar (el sistema filtra de manera estricta únicamente ítems con estado 'ACTIVO').</w:t>
      </w:r>
    </w:p>
    <w:p>
      <w:pPr>
        <w:pStyle w:val="ListNumber"/>
        <w:spacing w:after="40"/>
      </w:pPr>
      <w:r>
        <w:t>4. Introducir en el campo Cantidad las unidades deseadas (debe cargarse obligatoriamente un número entero mayor a cero).</w:t>
      </w:r>
    </w:p>
    <w:p>
      <w:pPr>
        <w:pStyle w:val="ListNumber"/>
        <w:spacing w:after="40"/>
      </w:pPr>
      <w:r>
        <w:t>5. Hacer clic en el botón Agregar Item: El sistema calcula el subtotal de la línea y transfiere el concepto a la grilla de transacciones en pantalla. Se puede repetir el proceso para sumar múltiples artículos a la orden.</w:t>
      </w:r>
    </w:p>
    <w:p>
      <w:pPr>
        <w:pStyle w:val="ListNumber"/>
        <w:spacing w:after="120"/>
      </w:pPr>
      <w:r>
        <w:t>6. Verificar los cálculos e importes en pantalla y presionar el botón Emitir Factura.</w:t>
      </w:r>
    </w:p>
    <w:p>
      <w:pPr>
        <w:keepNext/>
        <w:spacing w:before="240" w:after="80"/>
      </w:pPr>
      <w:r>
        <w:rPr>
          <w:rFonts w:ascii="Arial" w:hAnsi="Arial"/>
          <w:b/>
          <w:color w:val="374151"/>
          <w:sz w:val="24"/>
        </w:rPr>
        <w:t>Automatizaciones integradas del motor de facturación</w:t>
      </w:r>
    </w:p>
    <w:p>
      <w:pPr>
        <w:pStyle w:val="ListBullet"/>
        <w:spacing w:after="40"/>
      </w:pPr>
      <w:r>
        <w:t>Cálculo Impositivo Automatizado: El sistema computa de forma transparente la sumatoria de las líneas cargadas, aplica una tasa fija del 21% de IVA (Impuesto al Valor Agregado) y define el importe Neto Total de la venta.</w:t>
      </w:r>
    </w:p>
    <w:p>
      <w:pPr>
        <w:pStyle w:val="ListBullet"/>
        <w:spacing w:after="40"/>
      </w:pPr>
      <w:r>
        <w:t>Salida y Resguardo Físico: El software crea automáticamente un archivo de texto independiente (.txt) bautizado de manera única dentro del directorio local facturas_emitidas/. El documento incluye el membrete comercial de Industrial del Sur, fecha, datos completos del cliente, el desglose pormenorizado de los conceptos cargados con sus precios, el subtotal calculado, el IVA discriminado y el total final.</w:t>
      </w:r>
    </w:p>
    <w:p>
      <w:pPr>
        <w:pStyle w:val="ListBullet"/>
        <w:spacing w:after="120"/>
      </w:pPr>
      <w:r>
        <w:t>Reinicio de Terminal: Tras la escritura exitosa del archivo en disco, el Treeview de facturación se limpia de forma automática y los combos se restablecen para agilizar el procesamiento del siguiente comprobante.</w:t>
      </w:r>
    </w:p>
    <w:p>
      <w:pPr>
        <w:keepNext/>
        <w:spacing w:before="320" w:after="120"/>
      </w:pPr>
      <w:r>
        <w:rPr>
          <w:rFonts w:ascii="Arial" w:hAnsi="Arial"/>
          <w:b/>
          <w:color w:val="111827"/>
          <w:sz w:val="28"/>
        </w:rPr>
        <w:t>8. Consultas y reportes</w:t>
      </w:r>
    </w:p>
    <w:p>
      <w:pPr>
        <w:spacing w:line="276" w:lineRule="auto" w:after="120"/>
      </w:pPr>
      <w:r>
        <w:t>La consulta de información en caliente se realiza de manera integrada a través de las amplias grillas visuales (Treeview) dispuestas en cada uno de los módulos de Clientes, Productos y Proveedores, las cuales reflejan en tiempo real cualquier alta o modificación guardada en los archivos .txt.</w:t>
        <w:br/>
        <w:t>Para auditar o visualizar el histórico de las Facturas Emitidas, el usuario debe dirigirse externamente mediante el explorador de archivos a la carpeta facturas_emitidas/ generada en el directorio de la aplicación, donde se resguardan de forma cronológica los archivos de texto planos de cada venta generada.</w:t>
      </w:r>
    </w:p>
    <w:p>
      <w:pPr>
        <w:keepNext/>
        <w:spacing w:before="320" w:after="120"/>
      </w:pPr>
      <w:r>
        <w:rPr>
          <w:rFonts w:ascii="Arial" w:hAnsi="Arial"/>
          <w:b/>
          <w:color w:val="111827"/>
          <w:sz w:val="28"/>
        </w:rPr>
        <w:t>9. Errores frecuentes y Guía de Soluciones</w:t>
      </w:r>
    </w:p>
    <w:p>
      <w:pPr>
        <w:spacing w:line="276" w:lineRule="auto" w:after="120"/>
      </w:pPr>
      <w:r>
        <w:t>Para garantizar la robustez de los datos almacenados en los archivos de texto, la interfaz gráfica cuenta con un bloque interceptor de errores que impide el almacenamiento de datos corruptos mediante ventanas de aviso emergentes (messagebox). A continuación, se detallan las alertas del sistema:</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3456"/>
            <w:shd w:fill="172033"/>
            <w:tcMar>
              <w:top w:w="120" w:type="dxa"/>
              <w:bottom w:w="120" w:type="dxa"/>
              <w:left w:w="150" w:type="dxa"/>
              <w:right w:w="150" w:type="dxa"/>
            </w:tcMar>
          </w:tcPr>
          <w:p>
            <w:pPr>
              <w:jc w:val="center"/>
            </w:pPr>
            <w:r>
              <w:rPr>
                <w:b/>
                <w:color w:val="FFFFFF"/>
                <w:sz w:val="19"/>
              </w:rPr>
              <w:t>Mensaje de Alerta en Pantalla</w:t>
            </w:r>
          </w:p>
        </w:tc>
        <w:tc>
          <w:tcPr>
            <w:tcW w:type="dxa" w:w="3312"/>
            <w:shd w:fill="172033"/>
            <w:tcMar>
              <w:top w:w="120" w:type="dxa"/>
              <w:bottom w:w="120" w:type="dxa"/>
              <w:left w:w="150" w:type="dxa"/>
              <w:right w:w="150" w:type="dxa"/>
            </w:tcMar>
          </w:tcPr>
          <w:p>
            <w:r>
              <w:rPr>
                <w:b/>
                <w:color w:val="FFFFFF"/>
                <w:sz w:val="19"/>
              </w:rPr>
              <w:t>Causa Probable del Error</w:t>
            </w:r>
          </w:p>
        </w:tc>
        <w:tc>
          <w:tcPr>
            <w:tcW w:type="dxa" w:w="3600"/>
            <w:shd w:fill="172033"/>
            <w:tcMar>
              <w:top w:w="120" w:type="dxa"/>
              <w:bottom w:w="120" w:type="dxa"/>
              <w:left w:w="150" w:type="dxa"/>
              <w:right w:w="150" w:type="dxa"/>
            </w:tcMar>
          </w:tcPr>
          <w:p>
            <w:r>
              <w:rPr>
                <w:b/>
                <w:color w:val="FFFFFF"/>
                <w:sz w:val="19"/>
              </w:rPr>
              <w:t>Acción Correctiva Sugerida</w:t>
            </w:r>
          </w:p>
        </w:tc>
      </w:tr>
      <w:tr>
        <w:trPr>
          <w:cantSplit/>
        </w:trPr>
        <w:tc>
          <w:tcPr>
            <w:tcW w:type="dxa" w:w="3456"/>
            <w:shd w:fill="FFFFFF"/>
            <w:tcMar>
              <w:top w:w="100" w:type="dxa"/>
              <w:bottom w:w="100" w:type="dxa"/>
              <w:left w:w="150" w:type="dxa"/>
              <w:right w:w="150" w:type="dxa"/>
            </w:tcMar>
          </w:tcPr>
          <w:p>
            <w:pPr>
              <w:spacing w:line="276" w:lineRule="auto" w:after="40"/>
              <w:jc w:val="center"/>
            </w:pPr>
            <w:r>
              <w:rPr>
                <w:sz w:val="19"/>
              </w:rPr>
              <w:t>El Identificador debe ser estrictamente numerico</w:t>
            </w:r>
          </w:p>
        </w:tc>
        <w:tc>
          <w:tcPr>
            <w:tcW w:type="dxa" w:w="3312"/>
            <w:shd w:fill="FFFFFF"/>
            <w:tcMar>
              <w:top w:w="100" w:type="dxa"/>
              <w:bottom w:w="100" w:type="dxa"/>
              <w:left w:w="150" w:type="dxa"/>
              <w:right w:w="150" w:type="dxa"/>
            </w:tcMar>
          </w:tcPr>
          <w:p>
            <w:pPr>
              <w:spacing w:line="276" w:lineRule="auto" w:after="40"/>
            </w:pPr>
            <w:r>
              <w:rPr>
                <w:sz w:val="19"/>
              </w:rPr>
              <w:t>Se introdujeron letras o caracteres especiales en el campo del ID de Clientes, Productos o Proveedores.</w:t>
            </w:r>
          </w:p>
        </w:tc>
        <w:tc>
          <w:tcPr>
            <w:tcW w:type="dxa" w:w="3600"/>
            <w:shd w:fill="FFFFFF"/>
            <w:tcMar>
              <w:top w:w="100" w:type="dxa"/>
              <w:bottom w:w="100" w:type="dxa"/>
              <w:left w:w="150" w:type="dxa"/>
              <w:right w:w="150" w:type="dxa"/>
            </w:tcMar>
          </w:tcPr>
          <w:p>
            <w:pPr>
              <w:spacing w:line="276" w:lineRule="auto" w:after="40"/>
            </w:pPr>
            <w:r>
              <w:rPr>
                <w:sz w:val="19"/>
              </w:rPr>
              <w:t>Vaciar el cuadro de texto e ingresar únicamente un número entero positivo continuado (ej: 104).</w:t>
            </w:r>
          </w:p>
        </w:tc>
      </w:tr>
      <w:tr>
        <w:trPr>
          <w:cantSplit/>
        </w:trPr>
        <w:tc>
          <w:tcPr>
            <w:tcW w:type="dxa" w:w="3456"/>
            <w:shd w:fill="F9FAFB"/>
            <w:tcMar>
              <w:top w:w="100" w:type="dxa"/>
              <w:bottom w:w="100" w:type="dxa"/>
              <w:left w:w="150" w:type="dxa"/>
              <w:right w:w="150" w:type="dxa"/>
            </w:tcMar>
          </w:tcPr>
          <w:p>
            <w:pPr>
              <w:spacing w:line="276" w:lineRule="auto" w:after="40"/>
              <w:jc w:val="center"/>
            </w:pPr>
            <w:r>
              <w:rPr>
                <w:sz w:val="19"/>
              </w:rPr>
              <w:t>El DNI debe ser estrictamente numerico</w:t>
              <w:br/>
              <w:t>-</w:t>
              <w:br/>
              <w:t>El CUIT debe ser estrictamente numerico (sin guiones)</w:t>
            </w:r>
          </w:p>
        </w:tc>
        <w:tc>
          <w:tcPr>
            <w:tcW w:type="dxa" w:w="3312"/>
            <w:shd w:fill="F9FAFB"/>
            <w:tcMar>
              <w:top w:w="100" w:type="dxa"/>
              <w:bottom w:w="100" w:type="dxa"/>
              <w:left w:w="150" w:type="dxa"/>
              <w:right w:w="150" w:type="dxa"/>
            </w:tcMar>
          </w:tcPr>
          <w:p>
            <w:pPr>
              <w:spacing w:line="276" w:lineRule="auto" w:after="40"/>
            </w:pPr>
            <w:r>
              <w:rPr>
                <w:sz w:val="19"/>
              </w:rPr>
              <w:t>El operador colocó puntos, espacios o guiones separadores en los campos de identificación fiscal o civil.</w:t>
            </w:r>
          </w:p>
        </w:tc>
        <w:tc>
          <w:tcPr>
            <w:tcW w:type="dxa" w:w="3600"/>
            <w:shd w:fill="F9FAFB"/>
            <w:tcMar>
              <w:top w:w="100" w:type="dxa"/>
              <w:bottom w:w="100" w:type="dxa"/>
              <w:left w:w="150" w:type="dxa"/>
              <w:right w:w="150" w:type="dxa"/>
            </w:tcMar>
          </w:tcPr>
          <w:p>
            <w:pPr>
              <w:spacing w:line="276" w:lineRule="auto" w:after="40"/>
            </w:pPr>
            <w:r>
              <w:rPr>
                <w:sz w:val="19"/>
              </w:rPr>
              <w:t>Digitar la cadena numérica de forma totalmente corrida (ej: 20456789012 para CUIT o 45678901 para DNI).</w:t>
            </w:r>
          </w:p>
        </w:tc>
      </w:tr>
      <w:tr>
        <w:trPr>
          <w:cantSplit/>
        </w:trPr>
        <w:tc>
          <w:tcPr>
            <w:tcW w:type="dxa" w:w="3456"/>
            <w:shd w:fill="FFFFFF"/>
            <w:tcMar>
              <w:top w:w="100" w:type="dxa"/>
              <w:bottom w:w="100" w:type="dxa"/>
              <w:left w:w="150" w:type="dxa"/>
              <w:right w:w="150" w:type="dxa"/>
            </w:tcMar>
          </w:tcPr>
          <w:p>
            <w:pPr>
              <w:spacing w:line="276" w:lineRule="auto" w:after="40"/>
              <w:jc w:val="center"/>
            </w:pPr>
            <w:r>
              <w:rPr>
                <w:sz w:val="19"/>
              </w:rPr>
              <w:t>Debe completar todos los campos, incluida la direccion.</w:t>
            </w:r>
          </w:p>
        </w:tc>
        <w:tc>
          <w:tcPr>
            <w:tcW w:type="dxa" w:w="3312"/>
            <w:shd w:fill="FFFFFF"/>
            <w:tcMar>
              <w:top w:w="100" w:type="dxa"/>
              <w:bottom w:w="100" w:type="dxa"/>
              <w:left w:w="150" w:type="dxa"/>
              <w:right w:w="150" w:type="dxa"/>
            </w:tcMar>
          </w:tcPr>
          <w:p>
            <w:pPr>
              <w:spacing w:line="276" w:lineRule="auto" w:after="40"/>
            </w:pPr>
            <w:r>
              <w:rPr>
                <w:sz w:val="19"/>
              </w:rPr>
              <w:t>Se presionó el botón de inserción dejando casilleros del formulario vacíos o sin seleccionar una opción de los combos.</w:t>
            </w:r>
          </w:p>
        </w:tc>
        <w:tc>
          <w:tcPr>
            <w:tcW w:type="dxa" w:w="3600"/>
            <w:shd w:fill="FFFFFF"/>
            <w:tcMar>
              <w:top w:w="100" w:type="dxa"/>
              <w:bottom w:w="100" w:type="dxa"/>
              <w:left w:w="150" w:type="dxa"/>
              <w:right w:w="150" w:type="dxa"/>
            </w:tcMar>
          </w:tcPr>
          <w:p>
            <w:pPr>
              <w:spacing w:line="276" w:lineRule="auto" w:after="40"/>
            </w:pPr>
            <w:r>
              <w:rPr>
                <w:sz w:val="19"/>
              </w:rPr>
              <w:t>Completar exhaustivamente cada celda obligatoria de la interfaz antes de reintentar el guardado.</w:t>
            </w:r>
          </w:p>
        </w:tc>
      </w:tr>
      <w:tr>
        <w:trPr>
          <w:cantSplit/>
        </w:trPr>
        <w:tc>
          <w:tcPr>
            <w:tcW w:type="dxa" w:w="3456"/>
            <w:shd w:fill="F9FAFB"/>
            <w:tcMar>
              <w:top w:w="100" w:type="dxa"/>
              <w:bottom w:w="100" w:type="dxa"/>
              <w:left w:w="150" w:type="dxa"/>
              <w:right w:w="150" w:type="dxa"/>
            </w:tcMar>
          </w:tcPr>
          <w:p>
            <w:pPr>
              <w:spacing w:line="276" w:lineRule="auto" w:after="40"/>
              <w:jc w:val="center"/>
            </w:pPr>
            <w:r>
              <w:rPr>
                <w:sz w:val="19"/>
              </w:rPr>
              <w:t>El Precio debe ser un numero entero (sin comas ni puntos).</w:t>
            </w:r>
          </w:p>
        </w:tc>
        <w:tc>
          <w:tcPr>
            <w:tcW w:type="dxa" w:w="3312"/>
            <w:shd w:fill="F9FAFB"/>
            <w:tcMar>
              <w:top w:w="100" w:type="dxa"/>
              <w:bottom w:w="100" w:type="dxa"/>
              <w:left w:w="150" w:type="dxa"/>
              <w:right w:w="150" w:type="dxa"/>
            </w:tcMar>
          </w:tcPr>
          <w:p>
            <w:pPr>
              <w:spacing w:line="276" w:lineRule="auto" w:after="40"/>
            </w:pPr>
            <w:r>
              <w:rPr>
                <w:sz w:val="19"/>
              </w:rPr>
              <w:t>Se intentó registrar un valor con centavos, comas o el símbolo de pesos ($) en el catálogo de indumentaria.</w:t>
            </w:r>
          </w:p>
        </w:tc>
        <w:tc>
          <w:tcPr>
            <w:tcW w:type="dxa" w:w="3600"/>
            <w:shd w:fill="F9FAFB"/>
            <w:tcMar>
              <w:top w:w="100" w:type="dxa"/>
              <w:bottom w:w="100" w:type="dxa"/>
              <w:left w:w="150" w:type="dxa"/>
              <w:right w:w="150" w:type="dxa"/>
            </w:tcMar>
          </w:tcPr>
          <w:p>
            <w:pPr>
              <w:spacing w:line="276" w:lineRule="auto" w:after="40"/>
            </w:pPr>
            <w:r>
              <w:rPr>
                <w:sz w:val="19"/>
              </w:rPr>
              <w:t>Ingresar el valor monetario neto redondeado a una expresión entera (ej: 3500).</w:t>
            </w:r>
          </w:p>
        </w:tc>
      </w:tr>
      <w:tr>
        <w:trPr>
          <w:cantSplit/>
        </w:trPr>
        <w:tc>
          <w:tcPr>
            <w:tcW w:type="dxa" w:w="3456"/>
            <w:shd w:fill="FFFFFF"/>
            <w:tcMar>
              <w:top w:w="100" w:type="dxa"/>
              <w:bottom w:w="100" w:type="dxa"/>
              <w:left w:w="150" w:type="dxa"/>
              <w:right w:w="150" w:type="dxa"/>
            </w:tcMar>
          </w:tcPr>
          <w:p>
            <w:pPr>
              <w:spacing w:line="276" w:lineRule="auto" w:after="40"/>
              <w:jc w:val="center"/>
            </w:pPr>
            <w:r>
              <w:rPr>
                <w:sz w:val="19"/>
              </w:rPr>
              <w:t>Debe seleccionar un cliente...</w:t>
            </w:r>
          </w:p>
        </w:tc>
        <w:tc>
          <w:tcPr>
            <w:tcW w:type="dxa" w:w="3312"/>
            <w:shd w:fill="FFFFFF"/>
            <w:tcMar>
              <w:top w:w="100" w:type="dxa"/>
              <w:bottom w:w="100" w:type="dxa"/>
              <w:left w:w="150" w:type="dxa"/>
              <w:right w:w="150" w:type="dxa"/>
            </w:tcMar>
          </w:tcPr>
          <w:p>
            <w:pPr>
              <w:spacing w:line="276" w:lineRule="auto" w:after="40"/>
            </w:pPr>
            <w:r>
              <w:rPr>
                <w:sz w:val="19"/>
              </w:rPr>
              <w:t>Se pulsó 'Emitir Factura' manteniendo el selector desplegable de clientes en blanco.</w:t>
            </w:r>
          </w:p>
        </w:tc>
        <w:tc>
          <w:tcPr>
            <w:tcW w:type="dxa" w:w="3600"/>
            <w:shd w:fill="FFFFFF"/>
            <w:tcMar>
              <w:top w:w="100" w:type="dxa"/>
              <w:bottom w:w="100" w:type="dxa"/>
              <w:left w:w="150" w:type="dxa"/>
              <w:right w:w="150" w:type="dxa"/>
            </w:tcMar>
          </w:tcPr>
          <w:p>
            <w:pPr>
              <w:spacing w:line="276" w:lineRule="auto" w:after="40"/>
            </w:pPr>
            <w:r>
              <w:rPr>
                <w:sz w:val="19"/>
              </w:rPr>
              <w:t>Desplegar el menú del Combobox, escoger un cliente en estado Activo y continuar con la facturación.</w:t>
            </w:r>
          </w:p>
        </w:tc>
      </w:tr>
      <w:tr>
        <w:trPr>
          <w:cantSplit/>
        </w:trPr>
        <w:tc>
          <w:tcPr>
            <w:tcW w:type="dxa" w:w="3456"/>
            <w:shd w:fill="F9FAFB"/>
            <w:tcMar>
              <w:top w:w="100" w:type="dxa"/>
              <w:bottom w:w="100" w:type="dxa"/>
              <w:left w:w="150" w:type="dxa"/>
              <w:right w:w="150" w:type="dxa"/>
            </w:tcMar>
          </w:tcPr>
          <w:p>
            <w:pPr>
              <w:spacing w:line="276" w:lineRule="auto" w:after="40"/>
              <w:jc w:val="center"/>
            </w:pPr>
            <w:r>
              <w:rPr>
                <w:sz w:val="19"/>
              </w:rPr>
              <w:t>La factura debe contener al menos un producto.</w:t>
            </w:r>
          </w:p>
        </w:tc>
        <w:tc>
          <w:tcPr>
            <w:tcW w:type="dxa" w:w="3312"/>
            <w:shd w:fill="F9FAFB"/>
            <w:tcMar>
              <w:top w:w="100" w:type="dxa"/>
              <w:bottom w:w="100" w:type="dxa"/>
              <w:left w:w="150" w:type="dxa"/>
              <w:right w:w="150" w:type="dxa"/>
            </w:tcMar>
          </w:tcPr>
          <w:p>
            <w:pPr>
              <w:spacing w:line="276" w:lineRule="auto" w:after="40"/>
            </w:pPr>
            <w:r>
              <w:rPr>
                <w:sz w:val="19"/>
              </w:rPr>
              <w:t>Se intentó procesar y cerrar la venta sin haber cargado ningún artículo en la tabla intermedia.</w:t>
            </w:r>
          </w:p>
        </w:tc>
        <w:tc>
          <w:tcPr>
            <w:tcW w:type="dxa" w:w="3600"/>
            <w:shd w:fill="F9FAFB"/>
            <w:tcMar>
              <w:top w:w="100" w:type="dxa"/>
              <w:bottom w:w="100" w:type="dxa"/>
              <w:left w:w="150" w:type="dxa"/>
              <w:right w:w="150" w:type="dxa"/>
            </w:tcMar>
          </w:tcPr>
          <w:p>
            <w:pPr>
              <w:spacing w:line="276" w:lineRule="auto" w:after="40"/>
            </w:pPr>
            <w:r>
              <w:rPr>
                <w:sz w:val="19"/>
              </w:rPr>
              <w:t>Seleccionar el producto textil deseado, definir su cantidad, presionar 'Agregar Item' y luego proceder a emitir.</w:t>
            </w:r>
          </w:p>
        </w:tc>
      </w:tr>
      <w:tr>
        <w:trPr>
          <w:cantSplit/>
        </w:trPr>
        <w:tc>
          <w:tcPr>
            <w:tcW w:type="dxa" w:w="3456"/>
            <w:shd w:fill="FFFFFF"/>
            <w:tcMar>
              <w:top w:w="100" w:type="dxa"/>
              <w:bottom w:w="100" w:type="dxa"/>
              <w:left w:w="150" w:type="dxa"/>
              <w:right w:w="150" w:type="dxa"/>
            </w:tcMar>
          </w:tcPr>
          <w:p>
            <w:pPr>
              <w:spacing w:line="276" w:lineRule="auto" w:after="40"/>
              <w:jc w:val="center"/>
            </w:pPr>
            <w:r>
              <w:rPr>
                <w:sz w:val="19"/>
              </w:rPr>
              <w:t>La cantidad debe ser un número entero mayor a 0.</w:t>
            </w:r>
          </w:p>
        </w:tc>
        <w:tc>
          <w:tcPr>
            <w:tcW w:type="dxa" w:w="3312"/>
            <w:shd w:fill="FFFFFF"/>
            <w:tcMar>
              <w:top w:w="100" w:type="dxa"/>
              <w:bottom w:w="100" w:type="dxa"/>
              <w:left w:w="150" w:type="dxa"/>
              <w:right w:w="150" w:type="dxa"/>
            </w:tcMar>
          </w:tcPr>
          <w:p>
            <w:pPr>
              <w:spacing w:line="276" w:lineRule="auto" w:after="40"/>
            </w:pPr>
            <w:r>
              <w:rPr>
                <w:sz w:val="19"/>
              </w:rPr>
              <w:t>Se tipeó el número cero, valores negativos o texto al definir las unidades a vender de un concepto.</w:t>
            </w:r>
          </w:p>
        </w:tc>
        <w:tc>
          <w:tcPr>
            <w:tcW w:type="dxa" w:w="3600"/>
            <w:shd w:fill="FFFFFF"/>
            <w:tcMar>
              <w:top w:w="100" w:type="dxa"/>
              <w:bottom w:w="100" w:type="dxa"/>
              <w:left w:w="150" w:type="dxa"/>
              <w:right w:w="150" w:type="dxa"/>
            </w:tcMar>
          </w:tcPr>
          <w:p>
            <w:pPr>
              <w:spacing w:line="276" w:lineRule="auto" w:after="40"/>
            </w:pPr>
            <w:r>
              <w:rPr>
                <w:sz w:val="19"/>
              </w:rPr>
              <w:t>Colocar obligatoriamente un número entero positivo coherente (mínimo 1) en el cuadro de texto.</w:t>
            </w:r>
          </w:p>
        </w:tc>
      </w:tr>
    </w:tbl>
    <w:p>
      <w:pPr>
        <w:spacing w:after="240"/>
      </w:pPr>
    </w:p>
    <w:p>
      <w:pPr>
        <w:keepNext/>
        <w:spacing w:before="320" w:after="120"/>
      </w:pPr>
      <w:r>
        <w:rPr>
          <w:rFonts w:ascii="Arial" w:hAnsi="Arial"/>
          <w:b/>
          <w:color w:val="111827"/>
          <w:sz w:val="28"/>
        </w:rPr>
        <w:t>10. Cierre del sistema</w:t>
      </w:r>
    </w:p>
    <w:p>
      <w:pPr>
        <w:spacing w:line="276" w:lineRule="auto" w:after="120"/>
      </w:pPr>
      <w:r>
        <w:t>Para finalizar la sesión de trabajo diaria y resguardar la integridad de las estructuras internas del entorno:</w:t>
        <w:br/>
        <w:t>1. Cerrar los módulos individuales (Clientes, Productos, Proveedores o Facturación) haciendo clic sobre el botón tradicional de salida (X) ubicado en el extremo superior derecho de cada ventana modular.</w:t>
        <w:br/>
        <w:t>2. En el panel principal del entorno, hacer clic sobre el botón Salir o presionar la cruz de cierre. El sistema operativo cerrará los subprocesos abiertos de manera controlada y segura.</w:t>
      </w:r>
    </w:p>
    <w:p>
      <w:pPr>
        <w:keepNext/>
        <w:spacing w:before="320" w:after="120"/>
      </w:pPr>
      <w:r>
        <w:rPr>
          <w:rFonts w:ascii="Arial" w:hAnsi="Arial"/>
          <w:b/>
          <w:color w:val="111827"/>
          <w:sz w:val="28"/>
        </w:rPr>
        <w:t>Conclusión</w:t>
      </w:r>
    </w:p>
    <w:p>
      <w:pPr>
        <w:spacing w:line="276" w:lineRule="auto" w:after="120"/>
      </w:pPr>
      <w:r>
        <w:t>Este Manual de Usuario describe con precisión la metodología operativa para la correcta manipulación del sistema de gestión comercial de Industrial del Sur. A diferencia del Documento de Casos de Prueba, el cual certifica la validez técnica de las sentencias del código de la alumna, este documento instruye al personal administrativo sobre cómo explotar de forma óptima y autónoma cada una de las soluciones informáticas desarrolladas para la entrega final del proyecto.</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