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江苏电力市场日前出清价格预测技术研究报告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85"/>
        <w:gridCol w:w="6795"/>
      </w:tblGrid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  <w:shd w:fill="dee0e3"/>
              </w:rPr>
              <w:t>报告日期</w:t>
            </w:r>
          </w:p>
        </w:tc>
        <w:tc>
          <w:tcPr>
            <w:tcW w:w="6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2026-03-16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  <w:shd w:fill="dee0e3"/>
              </w:rPr>
              <w:t>研究周期</w:t>
            </w:r>
          </w:p>
        </w:tc>
        <w:tc>
          <w:tcPr>
            <w:tcW w:w="6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2025-09 ～ 2025-12（约 122 个交易日，数据见《总表数据入库方案V0》）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  <w:shd w:fill="dee0e3"/>
              </w:rPr>
              <w:t>预测对象</w:t>
            </w:r>
          </w:p>
        </w:tc>
        <w:tc>
          <w:tcPr>
            <w:tcW w:w="6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 日 96 个 15 分钟时段的日前出清价格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  <w:shd w:fill="dee0e3"/>
              </w:rPr>
              <w:t>建模区域</w:t>
            </w:r>
          </w:p>
        </w:tc>
        <w:tc>
          <w:tcPr>
            <w:tcW w:w="6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江南（JN）、江北（JB）两个独立分区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color w:val="245bdb"/>
          <w:sz w:val="36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本研究围绕江苏电力市场日前出清价格预测任务，构建了一套面向生产应用的建模与评估框架。任务要求在 D-1 日 09:30 前，预测 D 日全天 96 个 15 分钟时段的日前出清价格，分别针对江南和江北两个分区独立建模。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样本期内价格呈现明显的“地板价—正常价”混合分布结构：一类大量聚集于约 30 元/MWh 的地板价，另一类位于 200–500 元/MWh 的正常价格区间，二者之间常表现为跳变而非平滑过渡；同时地板价频率在样本期内持续抬升，存在显著概念漂移。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在方法上，研究系统比较了 Two-Stage（地板价分类 + 连续价格回归）、多分位数回归，以及“分位数 + Two-Stage”混合架构，并进一步叠加时间衰减、自适应 naive 混合、动态地板价填充值和残差修正等稳健化手段。结果表明，两区域存在显著异质性，最优方案并不相同。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color w:val="245bdb"/>
          <w:sz w:val="36"/>
        </w:rPr>
        <w:t>1. 研究背景与问题定义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江苏日前电价预测的业务要求是：在前一日早间时点之前，给出次日 96 个 15 分钟时段的价格预测结果，用于支持市场判断、报价分析和运行决策。该任务并非普通短期序列外推，而是一个受市场机制约束、具有制度边界和分段行为特征的价格形成问题。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研究的关键难点在于价格分布具有显著的二元性：当地供给充裕时，价格往往直接落到地板价区间；当市场供需处于正常平衡状态时，价格则分布于数百元区间。因此，单一连续回归模型很容易在边界样本上出现系统性偏差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color w:val="245bdb"/>
          <w:sz w:val="36"/>
        </w:rPr>
        <w:t>2. 数据基础与特征工程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本研究使用的信息源主要包括四类：D 日边界曲线、D-1 及更早的日前价格序列、D-1 实时出清价格，以及 D-1 实际负荷与实际出力。围绕这些信息源，构建了覆盖供需结构、价格惯性、实时运行状态、预测偏差和中短期趋势的多维特征体系。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候选特征规模约 250 个，最终通过预训练特征筛选保留各区域最有效的 90–100 个输入变量。整体设计原则不是简单堆叠变量，而是围绕价格形成逻辑，提高特征对市场状态变化和地板价触发条件的解释能力。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表 1  特征工程框架概览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  <w:shd w:fill="dee0e3"/>
              </w:rPr>
              <w:t>特征模块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  <w:shd w:fill="dee0e3"/>
              </w:rPr>
              <w:t>主要内容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  <w:shd w:fill="dee0e3"/>
              </w:rPr>
              <w:t>建模作用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边界曲线与供需结构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负荷预测、新能源预测、备用计划、净负荷、新能源渗透率等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刻画次日供需平衡与地板价触发条件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历史价格与周期惯性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D-1/D-2/D-7 同时段价格、日均值、相对偏离等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捕捉价格延续性与周内模式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实时市场状态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实时价均值、波动、地板价频率、尖峰价频率等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反映实际运行松紧程度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预测误差与趋势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日前-实时价差、边界预测误差、3日/7日趋势与波动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识别系统性偏差与阶段性变化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地板价结构与日历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 hh_index 地板价频率、星期/月度/周末等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增强对特定时段地板价的识别能力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color w:val="245bdb"/>
          <w:sz w:val="36"/>
        </w:rPr>
        <w:t>3. 评估框架与建模策略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评估采用严格的 Expanding Window 交叉验证：起始以 60 天为训练集，之后按“7 天验证 + 7 天测试 + 每次窗口向前推进 7 天”的方式形成多个时间顺序 fold，从而保证训练、验证、测试之间不存在未来信息泄露。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主评估指标为 MAE，辅助指标为 RMSE，并以“昨日同一时段价格”作为 naive 基线。该基线在江北表现异常强，说明江北价格延续性很高，模型只有在其之上提供稳定增益，才具备实际价值。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在建模策略上，系统比较了三条主线：Two-Stage 架构、多分位数回归架构，以及“分位数 + Two-Stage”混合架构。前者更适合地板价与正常价边界清晰的区域，后者更适合价格分布边界相对模糊、需要柔性表达下压风险的区域。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color w:val="245bdb"/>
          <w:sz w:val="36"/>
        </w:rPr>
        <w:t>4. 结果汇总与最终推荐方案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表 2  各区域最终推荐方案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90"/>
        <w:gridCol w:w="1590"/>
        <w:gridCol w:w="1590"/>
        <w:gridCol w:w="1590"/>
        <w:gridCol w:w="1950"/>
      </w:tblGrid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  <w:shd w:fill="dee0e3"/>
              </w:rPr>
              <w:t>区域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  <w:shd w:fill="dee0e3"/>
              </w:rPr>
              <w:t>最终方案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  <w:shd w:fill="dee0e3"/>
              </w:rPr>
              <w:t>CV MAE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  <w:shd w:fill="dee0e3"/>
              </w:rPr>
              <w:t>CV RMSE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  <w:shd w:fill="dee0e3"/>
              </w:rPr>
              <w:t>相对 naive 改善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江南（JN）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分位数 + Two-Stage 混合架构</w:t>
              <w:br/>
              <w:t xml:space="preserve">   + 自适应 naive 混合</w:t>
              <w:br/>
            </w:r>
            <w:r>
              <w:rPr>
                <w:rFonts w:eastAsia="等线" w:ascii="Arial" w:cs="Arial" w:hAnsi="Arial"/>
                <w:sz w:val="22"/>
              </w:rPr>
              <w:t xml:space="preserve">   + 动态地板价填充值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78.20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117.85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约 22.1%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江北（JB）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Two-Stage</w:t>
              <w:br/>
              <w:t xml:space="preserve">   + 时间衰减（30d）</w:t>
              <w:br/>
              <w:t xml:space="preserve">   + 自适应 naive 混合</w:t>
              <w:br/>
            </w:r>
            <w:r>
              <w:rPr>
                <w:rFonts w:eastAsia="等线" w:ascii="Arial" w:cs="Arial" w:hAnsi="Arial"/>
                <w:sz w:val="22"/>
              </w:rPr>
              <w:t xml:space="preserve">   + 动态地板价填充值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69.61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110.36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约 22.6%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实验结果显示，江南与江北存在明确的区域异质性。江南最优方案依赖“分位数柔性表达 + 分类器硬覆盖”的混合思路，说明其价格边界相对模糊；江北则更适合直接、清晰的 Two-Stage 结构，说明其地板价行为更集中、可分性更强。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从收益来源看，性能提升首先来自特征工程，其次来自区域差异化的架构选择，最后才是后处理的微调。后处理更多承担稳健性增强角色，而不是主要的性能突破来源。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color w:val="245bdb"/>
          <w:sz w:val="36"/>
        </w:rPr>
        <w:t>5. 核心结论与后续建议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第一，江苏日前电价预测本质上是一个具有制度边界、地板价聚集和概念漂移特征的混合分布预测问题，而非单纯的连续回归问题。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第二，江南与江北必须采用差异化建模策略，不存在单一模型可同时在两个区域达到最优。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第三，特征工程仍是当前阶段最主要的性能杠杆，其贡献显著高于复杂后处理或更细碎的局部建模技巧。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第四，在约 122 天样本规模下，分组建模、复杂残差修正等方案难以获得稳定泛化收益，数据量仍是限制模型进一步提升的核心瓶颈。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后续建议优先推进三项工作：一是引入更强的天气与外部解释变量；二是开展轻量级模型集成而非继续增加单模型复杂度；三是在数据积累到更长时间跨度后，再重新评估分时段分组建模与残差类方法的潜力。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color w:val="245bdb"/>
          <w:sz w:val="36"/>
        </w:rPr>
        <w:t>最终结论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综合来看，本研究已经形成了一条较为完整、可解释且经严格评估验证的江苏日前电价预测技术路线。当前方案相对 naive 基线已实现约 22% 的平均误差改善，具有一定业务价值、工程可落地性与后续持续迭代空间。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2026-05-22T09:15:08Z</dcterms:created>
  <dc:creator>Apache POI</dc:creator>
</cp:coreProperties>
</file>