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DAE"/>
          <w:sz w:val="32"/>
        </w:rPr>
        <w:t>Preparing Manuscripts for Journals</w:t>
      </w:r>
    </w:p>
    <w:p>
      <w:pPr>
        <w:jc w:val="center"/>
      </w:pPr>
      <w:r>
        <w:rPr>
          <w:color w:val="666666"/>
          <w:sz w:val="22"/>
        </w:rPr>
        <w:t>Workshop Summary Memo</w:t>
      </w:r>
    </w:p>
    <w:p>
      <w:pPr>
        <w:spacing w:after="160"/>
        <w:jc w:val="center"/>
      </w:pPr>
      <w:r>
        <w:rPr>
          <w:color w:val="888888"/>
          <w:sz w:val="18"/>
        </w:rPr>
        <w:t>Megan Farrelly &amp; Charles Crabtree  |  Monash University  |  12 March 2026</w:t>
      </w:r>
    </w:p>
    <w:p>
      <w:pPr>
        <w:spacing w:after="120"/>
        <w:jc w:val="center"/>
      </w:pPr>
      <w:r>
        <w:rPr>
          <w:color w:val="DDDDDD"/>
          <w:sz w:val="12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b/>
          <w:color w:val="006DAE"/>
          <w:sz w:val="21"/>
        </w:rPr>
        <w:t>1. Choosing Your Journal</w:t>
      </w:r>
    </w:p>
    <w:p>
      <w:pPr>
        <w:pStyle w:val="ListBullet"/>
        <w:spacing w:after="20" w:before="0"/>
      </w:pPr>
      <w:r>
        <w:rPr>
          <w:rFonts w:ascii="Calibri" w:hAnsi="Calibri"/>
          <w:sz w:val="19"/>
        </w:rPr>
        <w:t>Build a ranked list of 3-5 target journals before you write.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19"/>
        </w:rPr>
        <w:t xml:space="preserve">Check your references </w:t>
      </w:r>
      <w:r>
        <w:rPr>
          <w:rFonts w:ascii="Calibri" w:hAnsi="Calibri"/>
          <w:sz w:val="19"/>
        </w:rPr>
      </w:r>
      <w:r>
        <w:rPr>
          <w:sz w:val="19"/>
        </w:rPr>
        <w:t>-- where cited papers publish is your natural home.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Key metrics: </w:t>
      </w:r>
      <w:r>
        <w:rPr>
          <w:rFonts w:ascii="Calibri" w:hAnsi="Calibri"/>
          <w:sz w:val="19"/>
        </w:rPr>
        <w:t>Impact Factor, SJR, h5-index, Quartile ranking, CiteScore, FWCI. Compare within your field only.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Beyond metrics: </w:t>
      </w:r>
      <w:r>
        <w:rPr>
          <w:rFonts w:ascii="Calibri" w:hAnsi="Calibri"/>
          <w:sz w:val="19"/>
        </w:rPr>
        <w:t>scope, turnaround time, acceptance rate, OA options, peer reputation, open calls for papers.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Submit to one journal at a time. Verify legitimacy via Scopus/WoS indexing and Think.Check.Submit.</w:t>
      </w:r>
    </w:p>
    <w:p>
      <w:pPr>
        <w:spacing w:before="160" w:after="60"/>
      </w:pPr>
      <w:r>
        <w:rPr>
          <w:b/>
          <w:color w:val="006DAE"/>
          <w:sz w:val="21"/>
        </w:rPr>
        <w:t>2. Writing for the Journal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Read 5-10 recent articles </w:t>
      </w:r>
      <w:r>
        <w:rPr>
          <w:rFonts w:ascii="Calibri" w:hAnsi="Calibri"/>
          <w:sz w:val="19"/>
        </w:rPr>
        <w:t>in the target journal. Note structure, methods, length, and citation patterns.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Name the gap explicitly </w:t>
      </w:r>
      <w:r>
        <w:rPr>
          <w:rFonts w:ascii="Calibri" w:hAnsi="Calibri"/>
          <w:sz w:val="19"/>
        </w:rPr>
        <w:t>(evidence, knowledge, practical, methodological, empirical, theoretical, or population).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State your novelty: </w:t>
      </w:r>
      <w:r>
        <w:rPr>
          <w:rFonts w:ascii="Calibri" w:hAnsi="Calibri"/>
          <w:sz w:val="19"/>
        </w:rPr>
        <w:t>theoretical, methodological, or empirical. Make it clear in the introduction.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Abstract = 5 elements: </w:t>
      </w:r>
      <w:r>
        <w:rPr>
          <w:rFonts w:ascii="Calibri" w:hAnsi="Calibri"/>
          <w:sz w:val="19"/>
        </w:rPr>
        <w:t>problem, purpose, method, finding, significance. Apply the 4Cs: Clear, Concise, Convincing, Cohesive.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Structure paragraphs as an "Uneven U" </w:t>
      </w:r>
      <w:r>
        <w:rPr>
          <w:rFonts w:ascii="Calibri" w:hAnsi="Calibri"/>
          <w:sz w:val="19"/>
        </w:rPr>
        <w:t>(Hayot 2014): open abstract, descend into evidence, rise to a conclusion.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Aim for analytical and critical prose, not just descriptive. Revise with fresh eyes before submitting.</w:t>
      </w:r>
    </w:p>
    <w:p>
      <w:pPr>
        <w:spacing w:before="160" w:after="60"/>
      </w:pPr>
      <w:r>
        <w:rPr>
          <w:b/>
          <w:color w:val="006DAE"/>
          <w:sz w:val="21"/>
        </w:rPr>
        <w:t>3. The Submission Process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Pre-submission checklist: </w:t>
      </w:r>
      <w:r>
        <w:rPr>
          <w:rFonts w:ascii="Calibri" w:hAnsi="Calibri"/>
          <w:sz w:val="19"/>
        </w:rPr>
        <w:t>co-author approval, author guidelines, anonymization, ethics statement, data availability, tailored cover letter.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Agree on authorship early </w:t>
      </w:r>
      <w:r>
        <w:rPr>
          <w:rFonts w:ascii="Calibri" w:hAnsi="Calibri"/>
          <w:sz w:val="19"/>
        </w:rPr>
        <w:t>using a written agreement. No automatic authorship for supervisors.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Pipeline: </w:t>
      </w:r>
      <w:r>
        <w:rPr>
          <w:rFonts w:ascii="Calibri" w:hAnsi="Calibri"/>
          <w:sz w:val="19"/>
        </w:rPr>
        <w:t>Submit &gt; Editor triage (25-60% desk reject) &gt; Reviewer assignment &gt; Peer review (4-12 weeks) &gt; Decision.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An R&amp;R is not a rejection </w:t>
      </w:r>
      <w:r>
        <w:rPr>
          <w:rFonts w:ascii="Calibri" w:hAnsi="Calibri"/>
          <w:sz w:val="19"/>
        </w:rPr>
        <w:t>-- it means the door is open. Strategically revised R&amp;R papers have high acceptance rates.</w:t>
      </w:r>
    </w:p>
    <w:p>
      <w:pPr>
        <w:spacing w:before="160" w:after="60"/>
      </w:pPr>
      <w:r>
        <w:rPr>
          <w:b/>
          <w:color w:val="006DAE"/>
          <w:sz w:val="21"/>
        </w:rPr>
        <w:t>4. Handling Rejections &amp; Revisions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Rejection is normal: </w:t>
      </w:r>
      <w:r>
        <w:rPr>
          <w:rFonts w:ascii="Calibri" w:hAnsi="Calibri"/>
          <w:sz w:val="19"/>
        </w:rPr>
        <w:t>85% of rejected papers eventually publish elsewhere. Top journals reject 90%+ of submissions.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After rejection: </w:t>
      </w:r>
      <w:r>
        <w:rPr>
          <w:rFonts w:ascii="Calibri" w:hAnsi="Calibri"/>
          <w:sz w:val="19"/>
        </w:rPr>
        <w:t>wait a few days, then reread strategically. Make selective revisions addressing genuine weaknesses.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Revision checklist: </w:t>
      </w:r>
      <w:r>
        <w:rPr>
          <w:rFonts w:ascii="Calibri" w:hAnsi="Calibri"/>
          <w:sz w:val="19"/>
        </w:rPr>
        <w:t>(1) Theme reviewer comments, (2) Prioritise structural issues first, (3) Set time-bound deadlines.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Respond respectfully: </w:t>
      </w:r>
      <w:r>
        <w:rPr>
          <w:rFonts w:ascii="Calibri" w:hAnsi="Calibri"/>
          <w:sz w:val="19"/>
        </w:rPr>
        <w:t>"We thank the reviewer..." not "The reviewers do not understand..." Tone matters.</w:t>
      </w:r>
    </w:p>
    <w:p>
      <w:pPr>
        <w:pStyle w:val="ListBullet"/>
        <w:spacing w:after="20"/>
      </w:pPr>
      <w:r>
        <w:rPr>
          <w:rFonts w:ascii="Calibri" w:hAnsi="Calibri"/>
          <w:b/>
          <w:sz w:val="19"/>
        </w:rPr>
        <w:t xml:space="preserve">Keep going </w:t>
      </w:r>
      <w:r>
        <w:rPr>
          <w:rFonts w:ascii="Calibri" w:hAnsi="Calibri"/>
          <w:sz w:val="19"/>
        </w:rPr>
        <w:t>unless 3+ rejections show converging methodological feedback. The difference is persistence, not brilliance.</w:t>
      </w:r>
    </w:p>
    <w:p>
      <w:pPr>
        <w:spacing w:before="160" w:after="60"/>
      </w:pPr>
      <w:r>
        <w:rPr>
          <w:b/>
          <w:color w:val="006DAE"/>
          <w:sz w:val="21"/>
        </w:rPr>
        <w:t>Five Principles</w:t>
      </w:r>
    </w:p>
    <w:p>
      <w:pPr>
        <w:spacing w:after="20"/>
      </w:pPr>
      <w:r>
        <w:rPr>
          <w:rFonts w:ascii="Calibri" w:hAnsi="Calibri"/>
          <w:b/>
          <w:color w:val="006DAE"/>
          <w:sz w:val="19"/>
        </w:rPr>
        <w:t xml:space="preserve">1. </w:t>
      </w:r>
      <w:r>
        <w:rPr>
          <w:rFonts w:ascii="Calibri" w:hAnsi="Calibri"/>
          <w:sz w:val="19"/>
        </w:rPr>
        <w:t>Choose the journal first. Write for the audience.</w:t>
      </w:r>
    </w:p>
    <w:p>
      <w:pPr>
        <w:spacing w:after="20"/>
      </w:pPr>
      <w:r>
        <w:rPr>
          <w:rFonts w:ascii="Calibri" w:hAnsi="Calibri"/>
          <w:b/>
          <w:color w:val="006DAE"/>
          <w:sz w:val="19"/>
        </w:rPr>
        <w:t xml:space="preserve">2. </w:t>
      </w:r>
      <w:r>
        <w:rPr>
          <w:rFonts w:ascii="Calibri" w:hAnsi="Calibri"/>
          <w:sz w:val="19"/>
        </w:rPr>
        <w:t>Read the journal. Understand its norms before you submit.</w:t>
      </w:r>
    </w:p>
    <w:p>
      <w:pPr>
        <w:spacing w:after="20"/>
      </w:pPr>
      <w:r>
        <w:rPr>
          <w:rFonts w:ascii="Calibri" w:hAnsi="Calibri"/>
          <w:b/>
          <w:color w:val="006DAE"/>
          <w:sz w:val="19"/>
        </w:rPr>
        <w:t xml:space="preserve">3. </w:t>
      </w:r>
      <w:r>
        <w:rPr>
          <w:rFonts w:ascii="Calibri" w:hAnsi="Calibri"/>
          <w:sz w:val="19"/>
        </w:rPr>
        <w:t>Invest in the cover letter. Show the editor why your paper belongs.</w:t>
      </w:r>
    </w:p>
    <w:p>
      <w:pPr>
        <w:spacing w:after="20"/>
      </w:pPr>
      <w:r>
        <w:rPr>
          <w:rFonts w:ascii="Calibri" w:hAnsi="Calibri"/>
          <w:b/>
          <w:color w:val="006DAE"/>
          <w:sz w:val="19"/>
        </w:rPr>
        <w:t xml:space="preserve">4. </w:t>
      </w:r>
      <w:r>
        <w:rPr>
          <w:rFonts w:ascii="Calibri" w:hAnsi="Calibri"/>
          <w:sz w:val="19"/>
        </w:rPr>
        <w:t>Use rejection strategically. Free expert feedback. Take what improves the paper.</w:t>
      </w:r>
    </w:p>
    <w:p>
      <w:pPr>
        <w:spacing w:after="20"/>
      </w:pPr>
      <w:r>
        <w:rPr>
          <w:rFonts w:ascii="Calibri" w:hAnsi="Calibri"/>
          <w:b/>
          <w:color w:val="006DAE"/>
          <w:sz w:val="19"/>
        </w:rPr>
        <w:t xml:space="preserve">5. </w:t>
      </w:r>
      <w:r>
        <w:rPr>
          <w:rFonts w:ascii="Calibri" w:hAnsi="Calibri"/>
          <w:sz w:val="19"/>
        </w:rPr>
        <w:t>Keep going. Persistence is what separates published from unpublished scholars.</w:t>
      </w:r>
    </w:p>
    <w:p>
      <w:pPr>
        <w:spacing w:before="120" w:after="60"/>
        <w:jc w:val="center"/>
      </w:pPr>
      <w:r>
        <w:rPr>
          <w:color w:val="DDDDDD"/>
          <w:sz w:val="12"/>
        </w:rPr>
        <w:t>__________________________________________________________________________________________</w:t>
      </w:r>
    </w:p>
    <w:p>
      <w:pPr>
        <w:jc w:val="center"/>
      </w:pPr>
      <w:r>
        <w:rPr>
          <w:rFonts w:ascii="Calibri" w:hAnsi="Calibri"/>
          <w:color w:val="888888"/>
          <w:sz w:val="16"/>
        </w:rPr>
        <w:t>Full slides: lobsterbush.github.io/manuscript-workshop  |  Contact: megan.farrelly@monash.edu  /  charles.crabtree@monash.edu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