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PHẢN BIỆN PHẦN 2</w:t>
      </w:r>
    </w:p>
    <w:p>
      <w:pPr>
        <w:spacing w:after="60"/>
        <w:jc w:val="center"/>
      </w:pPr>
      <w:r>
        <w:rPr>
          <w:b/>
          <w:bCs/>
          <w:sz w:val="26"/>
          <w:szCs w:val="26"/>
        </w:rPr>
        <w:t xml:space="preserve">Phân tích báo cáo tài chính và xác định giai đoạn phát triển – CTCP AgriPack</w:t>
      </w:r>
    </w:p>
    <w:p>
      <w:pPr>
        <w:pBdr>
          <w:bottom w:val="single" w:color="1F3864" w:sz="6" w:space="6"/>
        </w:pBdr>
        <w:spacing w:after="240"/>
        <w:jc w:val="center"/>
      </w:pPr>
      <w:r>
        <w:rPr>
          <w:i/>
          <w:iCs/>
          <w:color w:val="595959"/>
          <w:sz w:val="22"/>
          <w:szCs w:val="22"/>
        </w:rPr>
        <w:t xml:space="preserve">Tài liệu nội bộ nhóm · Ngày 27/09/2026</w:t>
      </w:r>
    </w:p>
    <w:p>
      <w:pPr>
        <w:pStyle w:val="Heading1"/>
        <w:spacing w:after="120" w:before="300"/>
      </w:pPr>
      <w:r>
        <w:rPr>
          <w:rFonts w:ascii="Times New Roman" w:cs="Times New Roman" w:eastAsia="Times New Roman" w:hAnsi="Times New Roman"/>
        </w:rPr>
        <w:t xml:space="preserve">Phạm vi và cách đọc</w:t>
      </w:r>
    </w:p>
    <w:p>
      <w:pPr>
        <w:spacing w:after="120" w:line="300"/>
        <w:jc w:val="both"/>
      </w:pPr>
      <w:r>
        <w:t xml:space="preserve">Tài liệu này phản biện Phần 2 (Quy mô doanh thu, Mức độ sinh lời, Cấu trúc tài sản – vốn, Dòng tiền, Thanh khoản, Kết luận giai đoạn và Hàm ý cho Bước 4, 5). Nội dung được đối chiếu với yêu cầu đề bài, đề cương nhóm, Phần 1 (tổng quan doanh nghiệp) và Phần 3 (vĩ mô, ngành). Toàn bộ tỷ số đã được tính lại từ số liệu trong các bảng; đơn vị tính giả định là </w:t>
      </w:r>
      <w:r>
        <w:rPr>
          <w:b/>
          <w:bCs/>
        </w:rPr>
        <w:t xml:space="preserve">nghìn đồng</w:t>
      </w:r>
      <w:r>
        <w:t xml:space="preserve">.</w:t>
      </w:r>
    </w:p>
    <w:p>
      <w:pPr>
        <w:spacing w:after="120" w:line="300"/>
        <w:jc w:val="both"/>
      </w:pPr>
      <w:r>
        <w:t xml:space="preserve">Các phép tính chính (tăng trưởng doanh thu, CAGR, biên gộp, biên EBITDA/EBIT/ròng, CAPEX/doanh thu, FCF, hệ số thanh toán) đều </w:t>
      </w:r>
      <w:r>
        <w:rPr>
          <w:b/>
          <w:bCs/>
        </w:rPr>
        <w:t xml:space="preserve">khớp</w:t>
      </w:r>
      <w:r>
        <w:t xml:space="preserve">. Vấn đề chủ yếu nằm ở cách diễn giải, ở mâu thuẫn với các phần khác và với đề bài, và một số chỗ sai dữ kiện.</w:t>
      </w:r>
    </w:p>
    <w:p>
      <w:pPr>
        <w:spacing w:after="120" w:line="300"/>
        <w:jc w:val="both"/>
      </w:pPr>
      <w:r>
        <w:t xml:space="preserve">Mức độ: </w:t>
      </w:r>
      <w:r>
        <w:rPr>
          <w:b/>
          <w:bCs/>
        </w:rPr>
        <w:t xml:space="preserve">[Nặng]</w:t>
      </w:r>
      <w:r>
        <w:t xml:space="preserve"> sai dữ kiện, trái đề bài hoặc ảnh hưởng trực tiếp đến kết luận; </w:t>
      </w:r>
      <w:r>
        <w:rPr>
          <w:b/>
          <w:bCs/>
        </w:rPr>
        <w:t xml:space="preserve">[Vừa]</w:t>
      </w:r>
      <w:r>
        <w:t xml:space="preserve"> lập luận yếu, thiếu nguồn hoặc thiếu mục theo đề cương; </w:t>
      </w:r>
      <w:r>
        <w:rPr>
          <w:b/>
          <w:bCs/>
        </w:rPr>
        <w:t xml:space="preserve">[Nhẹ]</w:t>
      </w:r>
      <w:r>
        <w:t xml:space="preserve"> hình thức, thuật ngữ, chính tả.</w:t>
      </w:r>
    </w:p>
    <w:p>
      <w:pPr>
        <w:pStyle w:val="Heading1"/>
        <w:spacing w:after="120" w:before="300"/>
      </w:pPr>
      <w:r>
        <w:rPr>
          <w:rFonts w:ascii="Times New Roman" w:cs="Times New Roman" w:eastAsia="Times New Roman" w:hAnsi="Times New Roman"/>
        </w:rPr>
        <w:t xml:space="preserve">Ba việc cần ưu tiên sửa</w:t>
      </w:r>
    </w:p>
    <w:p>
      <w:pPr>
        <w:pStyle w:val="ListParagraph"/>
        <w:numPr>
          <w:ilvl w:val="0"/>
          <w:numId w:val="2"/>
        </w:numPr>
        <w:spacing w:after="80" w:line="290"/>
        <w:jc w:val="both"/>
      </w:pPr>
      <w:r>
        <w:rPr>
          <w:b/>
          <w:bCs/>
        </w:rPr>
        <w:t xml:space="preserve">Thống nhất với Phần 1 và Phần 3:</w:t>
      </w:r>
      <w:r>
        <w:t xml:space="preserve"> năm thành lập, ngách kinh doanh chính và danh sách đối thủ.</w:t>
      </w:r>
    </w:p>
    <w:p>
      <w:pPr>
        <w:pStyle w:val="ListParagraph"/>
        <w:numPr>
          <w:ilvl w:val="0"/>
          <w:numId w:val="2"/>
        </w:numPr>
        <w:spacing w:after="80" w:line="290"/>
        <w:jc w:val="both"/>
      </w:pPr>
      <w:r>
        <w:rPr>
          <w:b/>
          <w:bCs/>
        </w:rPr>
        <w:t xml:space="preserve">Sửa các chỗ sai dữ kiện:</w:t>
      </w:r>
      <w:r>
        <w:t xml:space="preserve"> tiền không phải tài sản ngắn hạn chủ yếu; doanh nghiệp đã có vay ngân hàng; CAPEX/doanh thu 65% vào năm 2027 theo đề; ROE/ROA/vòng quay tài sản tính không nhất quán.</w:t>
      </w:r>
    </w:p>
    <w:p>
      <w:pPr>
        <w:pStyle w:val="ListParagraph"/>
        <w:numPr>
          <w:ilvl w:val="0"/>
          <w:numId w:val="2"/>
        </w:numPr>
        <w:spacing w:after="80" w:line="290"/>
        <w:jc w:val="both"/>
      </w:pPr>
      <w:r>
        <w:rPr>
          <w:b/>
          <w:bCs/>
        </w:rPr>
        <w:t xml:space="preserve">Viết lại kết luận giai đoạn</w:t>
      </w:r>
      <w:r>
        <w:t xml:space="preserve"> thành bảng tiêu chí, có lập luận loại trừ “Thử nghiệm” và “Cuối tăng trưởng”, gắn tỷ lệ thất bại 35–45%, đưa vào biên an toàn ≈ 13%, DOL ≈ 7,6 và nhu cầu vốn năm 2027 (gợi ý ở Mục D).</w:t>
      </w:r>
    </w:p>
    <w:p>
      <w:pPr>
        <w:pStyle w:val="Heading1"/>
        <w:spacing w:after="120" w:before="300"/>
      </w:pPr>
      <w:r>
        <w:rPr>
          <w:rFonts w:ascii="Times New Roman" w:cs="Times New Roman" w:eastAsia="Times New Roman" w:hAnsi="Times New Roman"/>
        </w:rPr>
        <w:t xml:space="preserve">A. Đối chiếu số liệu</w:t>
      </w:r>
    </w:p>
    <w:p>
      <w:pPr>
        <w:spacing w:after="120" w:line="300"/>
        <w:jc w:val="both"/>
      </w:pPr>
      <w:r>
        <w:t xml:space="preserve">Các ô tô đỏ ở cột Nhận xét là những chỗ cần sửa trong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0"/>
        <w:gridCol w:w="2350"/>
        <w:gridCol w:w="2900"/>
        <w:gridCol w:w="2138"/>
      </w:tblGrid>
      <w:tr>
        <w:trPr>
          <w:tblHeader/>
        </w:trPr>
        <w:tc>
          <w:tcPr>
            <w:tcW w:type="dxa" w:w="2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Chỉ tiêu</w:t>
            </w:r>
          </w:p>
        </w:tc>
        <w:tc>
          <w:tcPr>
            <w:tcW w:type="dxa" w:w="23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Trong bài</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Tính lại</w:t>
            </w:r>
          </w:p>
        </w:tc>
        <w:tc>
          <w:tcPr>
            <w:tcW w:type="dxa" w:w="21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Nhận xét</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Tăng trưởng DT 2024 / 2025</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59,1% / 53,7%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59,1% / 53,7%</w:t>
            </w:r>
          </w:p>
        </w:tc>
        <w:tc>
          <w:tcPr>
            <w:tcW w:type="dxa" w:w="2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Khớp</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CAGR DT 2023–2025</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56,4%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56,4%</w:t>
            </w:r>
          </w:p>
        </w:tc>
        <w:tc>
          <w:tcPr>
            <w:tcW w:type="dxa" w:w="2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Khớp</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Biên lợi nhuận gộp</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69,1% / 71,2% / 72,8%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69,1% / 71,2% / 72,8%</w:t>
            </w:r>
          </w:p>
        </w:tc>
        <w:tc>
          <w:tcPr>
            <w:tcW w:type="dxa" w:w="2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Khớp</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Tăng trưởng chi phí biến đổi 2024 / 2025</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56,0% / 50,7%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Giá vốn (DT − LNG): 47,9% / 45,4%</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Không khớp – cần định nghĩa</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ROE</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Bảng: −22,6 / −2,0 / 14,7%</w:t>
            </w:r>
          </w:p>
          <w:p>
            <w:pPr>
              <w:spacing w:after="0" w:line="260"/>
              <w:jc w:val="left"/>
            </w:pPr>
            <w:r>
              <w:rPr>
                <w:b w:val="false"/>
                <w:bCs w:val="false"/>
                <w:sz w:val="21"/>
                <w:szCs w:val="21"/>
              </w:rPr>
              <w:t xml:space="preserve">Đoạn văn: −25,1 / −2,3 / 15,9%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Cuối kỳ: −22,6 / −2,0 / 14,7%</w:t>
            </w:r>
          </w:p>
          <w:p>
            <w:pPr>
              <w:spacing w:after="0" w:line="260"/>
              <w:jc w:val="left"/>
            </w:pPr>
            <w:r>
              <w:rPr>
                <w:b w:val="false"/>
                <w:bCs w:val="false"/>
                <w:sz w:val="21"/>
                <w:szCs w:val="21"/>
              </w:rPr>
              <w:t xml:space="preserve">Bình quân: −25,1 / −2,3 / 15,9%</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Không nhất quán phương pháp</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ROA</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Bảng: −21,0 / −1,8 / 13,8%</w:t>
            </w:r>
          </w:p>
          <w:p>
            <w:pPr>
              <w:spacing w:after="0" w:line="260"/>
              <w:jc w:val="left"/>
            </w:pPr>
            <w:r>
              <w:rPr>
                <w:b w:val="false"/>
                <w:bCs w:val="false"/>
                <w:sz w:val="21"/>
                <w:szCs w:val="21"/>
              </w:rPr>
              <w:t xml:space="preserve">Đoạn văn: −23,1 / −2,1 / 14,9%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Cuối kỳ: −21,0 / −1,8 / 13,8%</w:t>
            </w:r>
          </w:p>
          <w:p>
            <w:pPr>
              <w:spacing w:after="0" w:line="260"/>
              <w:jc w:val="left"/>
            </w:pPr>
            <w:r>
              <w:rPr>
                <w:b w:val="false"/>
                <w:bCs w:val="false"/>
                <w:sz w:val="21"/>
                <w:szCs w:val="21"/>
              </w:rPr>
              <w:t xml:space="preserve">Bình quân: −23,1 / −2,1 / 14,9%</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Không nhất quán phương pháp</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Vòng quay tổng tài sản</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1,04 / 1,29 / 1,60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Bình quân: 1,04 / 1,29 / 1,60</w:t>
            </w:r>
          </w:p>
          <w:p>
            <w:pPr>
              <w:spacing w:after="0" w:line="260"/>
              <w:jc w:val="left"/>
            </w:pPr>
            <w:r>
              <w:rPr>
                <w:b w:val="false"/>
                <w:bCs w:val="false"/>
                <w:sz w:val="21"/>
                <w:szCs w:val="21"/>
              </w:rPr>
              <w:t xml:space="preserve">Cuối kỳ: 0,95 / 1,13 / 1,49</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Không nhất quán với ROA cùng bảng</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Thuế TNDN 2025</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Không đề cập</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0 (EBIT − LNST = 142 triệu ≈ lãi vay 9,5% × 1,5 tỷ)</w:t>
            </w:r>
          </w:p>
        </w:tc>
        <w:tc>
          <w:tcPr>
            <w:tcW w:type="dxa" w:w="2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LN ròng chưa chuẩn hóa thuế</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Vốn góp 2024</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7,3 tỷ</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7,0 tỷ vốn góp + 0,3 tỷ vay dài hạn tăng</w:t>
            </w:r>
          </w:p>
        </w:tc>
        <w:tc>
          <w:tcPr>
            <w:tcW w:type="dxa" w:w="2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Cần tách rõ</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Tỷ trọng tiền / TSNH</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“Chủ yếu là tiền mặt”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0,9% / 21,7% / 27,9%</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Sai dữ kiện</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Thị phần</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0,16% (so TAM)</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5,5% SAM; ≈ 7,5% SOM</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Sai tầng mẫu số</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Năm CAPEX đỉnh</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60% năm 2028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Đề bài: 65% năm 2027</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Trái đề bài</w:t>
            </w:r>
          </w:p>
        </w:tc>
      </w:tr>
      <w:tr>
        <w:tc>
          <w:tcPr>
            <w:tcW w:type="dxa" w:w="2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Nợ vay ngân hàng</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“Chưa tiếp cận”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1,2–1,5 tỷ, lãi ≈ 9,5%/năm</w:t>
            </w:r>
          </w:p>
        </w:tc>
        <w:tc>
          <w:tcPr>
            <w:tcW w:type="dxa" w:w="2138"/>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vAlign w:val="center"/>
          </w:tcPr>
          <w:p>
            <w:pPr>
              <w:spacing w:after="0" w:line="260"/>
              <w:jc w:val="left"/>
            </w:pPr>
            <w:r>
              <w:rPr>
                <w:b w:val="false"/>
                <w:bCs w:val="false"/>
                <w:sz w:val="21"/>
                <w:szCs w:val="21"/>
              </w:rPr>
              <w:t xml:space="preserve">Sai dữ kiện</w:t>
            </w:r>
          </w:p>
        </w:tc>
      </w:tr>
    </w:tbl>
    <w:p>
      <w:pPr>
        <w:spacing w:after="120"/>
      </w:pPr>
    </w:p>
    <w:p>
      <w:pPr>
        <w:pStyle w:val="Heading1"/>
        <w:spacing w:after="120" w:before="300"/>
      </w:pPr>
      <w:r>
        <w:rPr>
          <w:rFonts w:ascii="Times New Roman" w:cs="Times New Roman" w:eastAsia="Times New Roman" w:hAnsi="Times New Roman"/>
        </w:rPr>
        <w:t xml:space="preserve">B. Nhận xét chi tiết</w:t>
      </w:r>
    </w:p>
    <w:p>
      <w:pPr>
        <w:pStyle w:val="Heading2"/>
        <w:spacing w:after="120" w:before="220"/>
      </w:pPr>
      <w:r>
        <w:rPr>
          <w:rFonts w:ascii="Times New Roman" w:cs="Times New Roman" w:eastAsia="Times New Roman" w:hAnsi="Times New Roman"/>
        </w:rPr>
        <w:t xml:space="preserve">0. Mâu thuẫn với các phần khác (nên sửa trước)</w:t>
      </w:r>
    </w:p>
    <w:p>
      <w:pPr>
        <w:pStyle w:val="ListParagraph"/>
        <w:numPr>
          <w:ilvl w:val="0"/>
          <w:numId w:val="3"/>
        </w:numPr>
        <w:spacing w:after="80" w:line="290"/>
        <w:jc w:val="both"/>
      </w:pPr>
      <w:r>
        <w:rPr>
          <w:b/>
          <w:bCs/>
          <w:color w:val="C00000"/>
        </w:rPr>
        <w:t xml:space="preserve">[Nặng] </w:t>
      </w:r>
      <w:r>
        <w:rPr>
          <w:b/>
          <w:bCs/>
        </w:rPr>
        <w:t xml:space="preserve">Năm thành lập.</w:t>
      </w:r>
      <w:r>
        <w:t xml:space="preserve"> Phần 1 ghi thành lập năm 2016, nhưng Phần 2 mô tả 2023 là năm “đầu tư nhà máy ban đầu”, nói “hai năm đầu” và nhắc “deck mô tả giai đoạn pilot/pre-seed”.</w:t>
      </w:r>
    </w:p>
    <w:p>
      <w:pPr>
        <w:pStyle w:val="ListParagraph"/>
        <w:numPr>
          <w:ilvl w:val="1"/>
          <w:numId w:val="3"/>
        </w:numPr>
        <w:spacing w:after="60" w:line="290"/>
        <w:jc w:val="both"/>
      </w:pPr>
      <w:r>
        <w:t xml:space="preserve">Số liệu không khớp với chữ “ban đầu”: đầu năm 2023 tài sản dài hạn đã ≈ 11,9 tỷ (15,51 − 5,01 CAPEX + 1,43 khấu hao) và vốn chủ ≈ 15,3 tỷ, tức doanh nghiệp đã đầu tư trước 2023.</w:t>
      </w:r>
    </w:p>
    <w:p>
      <w:pPr>
        <w:pStyle w:val="ListParagraph"/>
        <w:numPr>
          <w:ilvl w:val="1"/>
          <w:numId w:val="3"/>
        </w:numPr>
        <w:spacing w:after="60" w:line="290"/>
        <w:jc w:val="both"/>
      </w:pPr>
      <w:r>
        <w:t xml:space="preserve">Nếu giữ năm 2016 thì phải giải thích vì sao sau 7 năm doanh thu mới 19,4 tỷ và vẫn lỗ. Gợi ý: thống nhất năm thành lập khoảng 2021–2022 và bỏ chữ “deck”.</w:t>
      </w:r>
    </w:p>
    <w:p>
      <w:pPr>
        <w:pStyle w:val="ListParagraph"/>
        <w:numPr>
          <w:ilvl w:val="0"/>
          <w:numId w:val="3"/>
        </w:numPr>
        <w:spacing w:after="80" w:line="290"/>
        <w:jc w:val="both"/>
      </w:pPr>
      <w:r>
        <w:rPr>
          <w:b/>
          <w:bCs/>
          <w:color w:val="C55A11"/>
        </w:rPr>
        <w:t xml:space="preserve">[Vừa] </w:t>
      </w:r>
      <w:r>
        <w:rPr>
          <w:b/>
          <w:bCs/>
        </w:rPr>
        <w:t xml:space="preserve">Ngách kinh doanh.</w:t>
      </w:r>
      <w:r>
        <w:t xml:space="preserve"> Phần 2 gọi ngách là “protective packaging tùy chỉnh cho B2B”, trong khi Phần 1 viết F&amp;B là nguồn doanh thu quan trọng nhất và SAM là bao bì F&amp;B.</w:t>
      </w:r>
    </w:p>
    <w:p>
      <w:pPr>
        <w:pStyle w:val="ListParagraph"/>
        <w:numPr>
          <w:ilvl w:val="0"/>
          <w:numId w:val="3"/>
        </w:numPr>
        <w:spacing w:after="80" w:line="290"/>
        <w:jc w:val="both"/>
      </w:pPr>
      <w:r>
        <w:rPr>
          <w:b/>
          <w:bCs/>
          <w:color w:val="C55A11"/>
        </w:rPr>
        <w:t xml:space="preserve">[Vừa] </w:t>
      </w:r>
      <w:r>
        <w:rPr>
          <w:b/>
          <w:bCs/>
        </w:rPr>
        <w:t xml:space="preserve">Đối thủ.</w:t>
      </w:r>
      <w:r>
        <w:t xml:space="preserve"> Phần 2 so với SCGP và Huhtamaki, nhưng hai công ty này không có trong bảng đối thủ 3.2.6 (An Phát, Duy Tân, Tetra Pak, HAPBIO, BioWraps).</w:t>
      </w:r>
    </w:p>
    <w:p>
      <w:pPr>
        <w:pStyle w:val="ListParagraph"/>
        <w:numPr>
          <w:ilvl w:val="0"/>
          <w:numId w:val="3"/>
        </w:numPr>
        <w:spacing w:after="80" w:line="290"/>
        <w:jc w:val="both"/>
      </w:pPr>
      <w:r>
        <w:rPr>
          <w:b/>
          <w:bCs/>
          <w:color w:val="7F7F7F"/>
        </w:rPr>
        <w:t xml:space="preserve">[Nhẹ] </w:t>
      </w:r>
      <w:r>
        <w:rPr>
          <w:b/>
          <w:bCs/>
        </w:rPr>
        <w:t xml:space="preserve">Đơn vị tính.</w:t>
      </w:r>
      <w:r>
        <w:t xml:space="preserve"> Các bảng chưa ghi đơn vị (nghìn đồng).</w:t>
      </w:r>
    </w:p>
    <w:p>
      <w:pPr>
        <w:pStyle w:val="Heading2"/>
        <w:spacing w:after="120" w:before="220"/>
      </w:pPr>
      <w:r>
        <w:rPr>
          <w:rFonts w:ascii="Times New Roman" w:cs="Times New Roman" w:eastAsia="Times New Roman" w:hAnsi="Times New Roman"/>
        </w:rPr>
        <w:t xml:space="preserve">1. Quy mô doanh thu</w:t>
      </w:r>
    </w:p>
    <w:p>
      <w:pPr>
        <w:pStyle w:val="ListParagraph"/>
        <w:numPr>
          <w:ilvl w:val="0"/>
          <w:numId w:val="3"/>
        </w:numPr>
        <w:spacing w:after="80" w:line="290"/>
        <w:jc w:val="both"/>
      </w:pPr>
      <w:r>
        <w:rPr>
          <w:b/>
          <w:bCs/>
          <w:color w:val="C00000"/>
        </w:rPr>
        <w:t xml:space="preserve">[Nặng] </w:t>
      </w:r>
      <w:r>
        <w:rPr>
          <w:b/>
          <w:bCs/>
        </w:rPr>
        <w:t xml:space="preserve">Thị phần tính sai tầng mẫu số.</w:t>
      </w:r>
      <w:r>
        <w:t xml:space="preserve"> 0,16% là so với TAM. So với SAM của chính nhóm (33,93 triệu USD), AgriPack chiếm ≈ </w:t>
      </w:r>
      <w:r>
        <w:rPr>
          <w:b/>
          <w:bCs/>
        </w:rPr>
        <w:t xml:space="preserve">5,5%</w:t>
      </w:r>
      <w:r>
        <w:t xml:space="preserve">; so với SOM (24,77 triệu USD) ≈ </w:t>
      </w:r>
      <w:r>
        <w:rPr>
          <w:b/>
          <w:bCs/>
        </w:rPr>
        <w:t xml:space="preserve">7,5%</w:t>
      </w:r>
      <w:r>
        <w:t xml:space="preserve">. Trong ngách F&amp;B, AgriPack không hề “rất nhỏ”.</w:t>
      </w:r>
    </w:p>
    <w:p>
      <w:pPr>
        <w:pStyle w:val="ListParagraph"/>
        <w:numPr>
          <w:ilvl w:val="0"/>
          <w:numId w:val="3"/>
        </w:numPr>
        <w:spacing w:after="80" w:line="290"/>
        <w:jc w:val="both"/>
      </w:pPr>
      <w:r>
        <w:rPr>
          <w:b/>
          <w:bCs/>
          <w:color w:val="C00000"/>
        </w:rPr>
        <w:t xml:space="preserve">[Nặng] </w:t>
      </w:r>
      <w:r>
        <w:rPr>
          <w:b/>
          <w:bCs/>
        </w:rPr>
        <w:t xml:space="preserve">Kiểm tra giả định tăng trưởng.</w:t>
      </w:r>
      <w:r>
        <w:t xml:space="preserve"> Tăng 40%/năm thì doanh thu 2030 ≈ 256 tỷ (≈ 9,8 triệu USD), trong khi SAM 2030 chỉ ≈ 42,7 triệu USD, tức AgriPack phải chiếm ≈ 23% SAM. Cần nêu tỷ trọng doanh thu ngoài F&amp;B để con số này hợp lý.</w:t>
      </w:r>
    </w:p>
    <w:p>
      <w:pPr>
        <w:pStyle w:val="ListParagraph"/>
        <w:numPr>
          <w:ilvl w:val="0"/>
          <w:numId w:val="3"/>
        </w:numPr>
        <w:spacing w:after="80" w:line="290"/>
        <w:jc w:val="both"/>
      </w:pPr>
      <w:r>
        <w:rPr>
          <w:b/>
          <w:bCs/>
          <w:color w:val="7F7F7F"/>
        </w:rPr>
        <w:t xml:space="preserve">[Nhẹ] </w:t>
      </w:r>
      <w:r>
        <w:rPr>
          <w:b/>
          <w:bCs/>
        </w:rPr>
        <w:t xml:space="preserve">Tỷ giá.</w:t>
      </w:r>
      <w:r>
        <w:t xml:space="preserve"> Chưa ghi tỷ giá dùng để quy đổi USD – VND.</w:t>
      </w:r>
    </w:p>
    <w:p>
      <w:pPr>
        <w:pStyle w:val="ListParagraph"/>
        <w:numPr>
          <w:ilvl w:val="0"/>
          <w:numId w:val="3"/>
        </w:numPr>
        <w:spacing w:after="80" w:line="290"/>
        <w:jc w:val="both"/>
      </w:pPr>
      <w:r>
        <w:rPr>
          <w:b/>
          <w:bCs/>
          <w:color w:val="C55A11"/>
        </w:rPr>
        <w:t xml:space="preserve">[Vừa] </w:t>
      </w:r>
      <w:r>
        <w:rPr>
          <w:b/>
          <w:bCs/>
        </w:rPr>
        <w:t xml:space="preserve">“Quy luật giảm tốc tự nhiên”.</w:t>
      </w:r>
      <w:r>
        <w:t xml:space="preserve"> Chỉ có 2 điểm dữ liệu (59,1% và 53,7%), chưa đủ để gọi là quy luật.</w:t>
      </w:r>
    </w:p>
    <w:p>
      <w:pPr>
        <w:pStyle w:val="ListParagraph"/>
        <w:numPr>
          <w:ilvl w:val="0"/>
          <w:numId w:val="3"/>
        </w:numPr>
        <w:spacing w:after="80" w:line="290"/>
        <w:jc w:val="both"/>
      </w:pPr>
      <w:r>
        <w:rPr>
          <w:b/>
          <w:bCs/>
          <w:color w:val="C55A11"/>
        </w:rPr>
        <w:t xml:space="preserve">[Vừa] </w:t>
      </w:r>
      <w:r>
        <w:rPr>
          <w:b/>
          <w:bCs/>
        </w:rPr>
        <w:t xml:space="preserve">Nguồn gốc tăng trưởng.</w:t>
      </w:r>
      <w:r>
        <w:t xml:space="preserve"> Ngành tăng ≈ 4%/năm, AgriPack tăng hơn 50%/năm, tức là tăng nhờ giành thị phần. Cần nói rõ tăng trưởng đến từ khách hàng mới, giá bán hay sản lượng.</w:t>
      </w:r>
    </w:p>
    <w:p>
      <w:pPr>
        <w:pStyle w:val="ListParagraph"/>
        <w:numPr>
          <w:ilvl w:val="0"/>
          <w:numId w:val="3"/>
        </w:numPr>
        <w:spacing w:after="80" w:line="290"/>
        <w:jc w:val="both"/>
      </w:pPr>
      <w:r>
        <w:rPr>
          <w:b/>
          <w:bCs/>
          <w:color w:val="C00000"/>
        </w:rPr>
        <w:t xml:space="preserve">[Nặng] </w:t>
      </w:r>
      <w:r>
        <w:rPr>
          <w:b/>
          <w:bCs/>
        </w:rPr>
        <w:t xml:space="preserve">Số “chi phí biến đổi tăng 56,0% và 50,7%” không khớp.</w:t>
      </w:r>
      <w:r>
        <w:t xml:space="preserve"> Giá vốn (DT − LNG) chỉ tăng 47,9% và 45,4%.</w:t>
      </w:r>
    </w:p>
    <w:p>
      <w:pPr>
        <w:pStyle w:val="ListParagraph"/>
        <w:numPr>
          <w:ilvl w:val="1"/>
          <w:numId w:val="3"/>
        </w:numPr>
        <w:spacing w:after="60" w:line="290"/>
        <w:jc w:val="both"/>
      </w:pPr>
      <w:r>
        <w:t xml:space="preserve">Nếu “chi phí biến đổi” là một dòng khác trong Excel thì phải định nghĩa rõ.</w:t>
      </w:r>
    </w:p>
    <w:p>
      <w:pPr>
        <w:pStyle w:val="ListParagraph"/>
        <w:numPr>
          <w:ilvl w:val="1"/>
          <w:numId w:val="3"/>
        </w:numPr>
        <w:spacing w:after="60" w:line="290"/>
        <w:jc w:val="both"/>
      </w:pPr>
      <w:r>
        <w:t xml:space="preserve">Chênh lệch 56% so với 59% chỉ 3 điểm %, gọi là “lợi thế quy mô” là hơi quá. Lập luận này còn lặp lại ở phần biên gộp.</w:t>
      </w:r>
    </w:p>
    <w:p>
      <w:pPr>
        <w:pStyle w:val="ListParagraph"/>
        <w:numPr>
          <w:ilvl w:val="0"/>
          <w:numId w:val="3"/>
        </w:numPr>
        <w:spacing w:after="80" w:line="290"/>
        <w:jc w:val="both"/>
      </w:pPr>
      <w:r>
        <w:rPr>
          <w:b/>
          <w:bCs/>
          <w:color w:val="7F7F7F"/>
        </w:rPr>
        <w:t xml:space="preserve">[Nhẹ] </w:t>
      </w:r>
      <w:r>
        <w:rPr>
          <w:b/>
          <w:bCs/>
        </w:rPr>
        <w:t xml:space="preserve">Hình thức.</w:t>
      </w:r>
      <w:r>
        <w:t xml:space="preserve"> Đoạn kết bị cụt (kết thúc bằng dấu phẩy), lặp “giai đoạn giai đoạn”; link IMARC đặt dưới bảng doanh thu nhưng không phải nguồn của bảng.</w:t>
      </w:r>
    </w:p>
    <w:p>
      <w:pPr>
        <w:pStyle w:val="Heading2"/>
        <w:spacing w:after="120" w:before="220"/>
      </w:pPr>
      <w:r>
        <w:rPr>
          <w:rFonts w:ascii="Times New Roman" w:cs="Times New Roman" w:eastAsia="Times New Roman" w:hAnsi="Times New Roman"/>
        </w:rPr>
        <w:t xml:space="preserve">2. Mức độ sinh lời</w:t>
      </w:r>
    </w:p>
    <w:p>
      <w:pPr>
        <w:pStyle w:val="ListParagraph"/>
        <w:numPr>
          <w:ilvl w:val="0"/>
          <w:numId w:val="3"/>
        </w:numPr>
        <w:spacing w:after="80" w:line="290"/>
        <w:jc w:val="both"/>
      </w:pPr>
      <w:r>
        <w:rPr>
          <w:b/>
          <w:bCs/>
          <w:color w:val="C00000"/>
        </w:rPr>
        <w:t xml:space="preserve">[Nặng] </w:t>
      </w:r>
      <w:r>
        <w:rPr>
          <w:b/>
          <w:bCs/>
        </w:rPr>
        <w:t xml:space="preserve">Lập luận biên gộp 69–73% là do “định vị cao cấp” mâu thuẫn với mục 1.2.2.</w:t>
      </w:r>
    </w:p>
    <w:p>
      <w:pPr>
        <w:pStyle w:val="ListParagraph"/>
        <w:numPr>
          <w:ilvl w:val="1"/>
          <w:numId w:val="3"/>
        </w:numPr>
        <w:spacing w:after="60" w:line="290"/>
        <w:jc w:val="both"/>
      </w:pPr>
      <w:r>
        <w:t xml:space="preserve">Giá hộp ≈ 2.500đ nằm giữa khung 1.700–3.700đ của thị trường; đệm bảo vệ định giá ngang EPE/PE foam; khách hàng gồm SME, hộ kinh doanh với “nỗi đau” là cần giá rẻ.</w:t>
      </w:r>
    </w:p>
    <w:p>
      <w:pPr>
        <w:pStyle w:val="ListParagraph"/>
        <w:numPr>
          <w:ilvl w:val="1"/>
          <w:numId w:val="3"/>
        </w:numPr>
        <w:spacing w:after="60" w:line="290"/>
        <w:jc w:val="both"/>
      </w:pPr>
      <w:r>
        <w:t xml:space="preserve">Không thể vừa bán giá ngang thị trường vừa có biên gộp gấp 2–3 lần ngành.</w:t>
      </w:r>
    </w:p>
    <w:p>
      <w:pPr>
        <w:pStyle w:val="ListParagraph"/>
        <w:numPr>
          <w:ilvl w:val="0"/>
          <w:numId w:val="3"/>
        </w:numPr>
        <w:spacing w:after="80" w:line="290"/>
        <w:jc w:val="both"/>
      </w:pPr>
      <w:r>
        <w:rPr>
          <w:b/>
          <w:bCs/>
          <w:color w:val="C00000"/>
        </w:rPr>
        <w:t xml:space="preserve">[Nặng] </w:t>
      </w:r>
      <w:r>
        <w:rPr>
          <w:b/>
          <w:bCs/>
        </w:rPr>
        <w:t xml:space="preserve">Giải thích hợp lý hơn là do cách phân loại chi phí.</w:t>
      </w:r>
    </w:p>
    <w:p>
      <w:pPr>
        <w:pStyle w:val="ListParagraph"/>
        <w:numPr>
          <w:ilvl w:val="1"/>
          <w:numId w:val="3"/>
        </w:numPr>
        <w:spacing w:after="60" w:line="290"/>
        <w:jc w:val="both"/>
      </w:pPr>
      <w:r>
        <w:t xml:space="preserve">Lương đang nằm trong “chi phí hoạt động”, khấu hao nhà máy (1,43 / 2,38 / 3,13 tỷ) nằm dưới lợi nhuận gộp. Theo VAS, khấu hao nhà xưởng và nhân công trực tiếp thuộc giá vốn.</w:t>
      </w:r>
    </w:p>
    <w:p>
      <w:pPr>
        <w:pStyle w:val="ListParagraph"/>
        <w:numPr>
          <w:ilvl w:val="1"/>
          <w:numId w:val="3"/>
        </w:numPr>
        <w:spacing w:after="60" w:line="290"/>
        <w:jc w:val="both"/>
      </w:pPr>
      <w:r>
        <w:t xml:space="preserve">Tính khấu hao vào giá vốn thì biên gộp còn </w:t>
      </w:r>
      <w:r>
        <w:rPr>
          <w:b/>
          <w:bCs/>
        </w:rPr>
        <w:t xml:space="preserve">61,7% / 63,6% / 66,2%</w:t>
      </w:r>
      <w:r>
        <w:t xml:space="preserve">, và thấp hơn nữa nếu tính cả lương công nhân sản xuất.</w:t>
      </w:r>
    </w:p>
    <w:p>
      <w:pPr>
        <w:pStyle w:val="ListParagraph"/>
        <w:numPr>
          <w:ilvl w:val="1"/>
          <w:numId w:val="3"/>
        </w:numPr>
        <w:spacing w:after="60" w:line="290"/>
        <w:jc w:val="both"/>
      </w:pPr>
      <w:r>
        <w:t xml:space="preserve">Chi phí hoạt động/doanh thu = 83,3% / 64,7% / 56,6%, bất thường với doanh nghiệp sản xuất – đây là mặt trái của biên gộp cao.</w:t>
      </w:r>
    </w:p>
    <w:p>
      <w:pPr>
        <w:pStyle w:val="ListParagraph"/>
        <w:numPr>
          <w:ilvl w:val="1"/>
          <w:numId w:val="3"/>
        </w:numPr>
        <w:spacing w:after="60" w:line="290"/>
        <w:jc w:val="both"/>
      </w:pPr>
      <w:r>
        <w:t xml:space="preserve">Doanh thu dịch vụ thiết kế khuôn (biên cao) có thể giải thích thêm một phần.</w:t>
      </w:r>
    </w:p>
    <w:p>
      <w:pPr>
        <w:pStyle w:val="ListParagraph"/>
        <w:numPr>
          <w:ilvl w:val="0"/>
          <w:numId w:val="3"/>
        </w:numPr>
        <w:spacing w:after="80" w:line="290"/>
        <w:jc w:val="both"/>
      </w:pPr>
      <w:r>
        <w:rPr>
          <w:b/>
          <w:bCs/>
          <w:color w:val="C55A11"/>
        </w:rPr>
        <w:t xml:space="preserve">[Vừa] </w:t>
      </w:r>
      <w:r>
        <w:rPr>
          <w:b/>
          <w:bCs/>
        </w:rPr>
        <w:t xml:space="preserve">Nguồn benchmark yếu.</w:t>
      </w:r>
      <w:r>
        <w:t xml:space="preserve"> Cleverence là blog và nói về “ngành sản xuất nói chung”. Nên dùng BCTC của doanh nghiệp bao bì niêm yết (ví dụ báo cáo thường niên 2025 của APH – nhóm đã có link trong comment). Trích dẫn APA 7 trong bài phải viết là (Taylor, 2026).</w:t>
      </w:r>
    </w:p>
    <w:p>
      <w:pPr>
        <w:pStyle w:val="ListParagraph"/>
        <w:numPr>
          <w:ilvl w:val="0"/>
          <w:numId w:val="3"/>
        </w:numPr>
        <w:spacing w:after="80" w:line="290"/>
        <w:jc w:val="both"/>
      </w:pPr>
      <w:r>
        <w:rPr>
          <w:b/>
          <w:bCs/>
          <w:color w:val="C00000"/>
        </w:rPr>
        <w:t xml:space="preserve">[Nặng] </w:t>
      </w:r>
      <w:r>
        <w:rPr>
          <w:b/>
          <w:bCs/>
        </w:rPr>
        <w:t xml:space="preserve">Lợi nhuận 2025 gần như chưa chịu thuế.</w:t>
      </w:r>
    </w:p>
    <w:p>
      <w:pPr>
        <w:pStyle w:val="ListParagraph"/>
        <w:numPr>
          <w:ilvl w:val="1"/>
          <w:numId w:val="3"/>
        </w:numPr>
        <w:spacing w:after="60" w:line="290"/>
        <w:jc w:val="both"/>
      </w:pPr>
      <w:r>
        <w:t xml:space="preserve">EBIT − LNST = 142 triệu, xấp xỉ đúng lãi vay 9,5% × 1,5 tỷ (năm 2023, 2024 cũng vậy) → thuế TNDN 2025 ≈ 0, nhiều khả năng do chuyển lỗ 2023–2024 (4,81 tỷ).</w:t>
      </w:r>
    </w:p>
    <w:p>
      <w:pPr>
        <w:pStyle w:val="ListParagraph"/>
        <w:numPr>
          <w:ilvl w:val="1"/>
          <w:numId w:val="3"/>
        </w:numPr>
        <w:spacing w:after="60" w:line="290"/>
        <w:jc w:val="both"/>
      </w:pPr>
      <w:r>
        <w:t xml:space="preserve">Chuẩn hóa thuế suất 17–20%: biên ròng chỉ ≈ </w:t>
      </w:r>
      <w:r>
        <w:rPr>
          <w:b/>
          <w:bCs/>
        </w:rPr>
        <w:t xml:space="preserve">7,4–7,7%</w:t>
      </w:r>
      <w:r>
        <w:t xml:space="preserve">, ROE ≈ </w:t>
      </w:r>
      <w:r>
        <w:rPr>
          <w:b/>
          <w:bCs/>
        </w:rPr>
        <w:t xml:space="preserve">12%</w:t>
      </w:r>
      <w:r>
        <w:t xml:space="preserve">.</w:t>
      </w:r>
    </w:p>
    <w:p>
      <w:pPr>
        <w:pStyle w:val="ListParagraph"/>
        <w:numPr>
          <w:ilvl w:val="0"/>
          <w:numId w:val="3"/>
        </w:numPr>
        <w:spacing w:after="80" w:line="290"/>
        <w:jc w:val="both"/>
      </w:pPr>
      <w:r>
        <w:rPr>
          <w:b/>
          <w:bCs/>
          <w:color w:val="C00000"/>
        </w:rPr>
        <w:t xml:space="preserve">[Nặng] </w:t>
      </w:r>
      <w:r>
        <w:rPr>
          <w:b/>
          <w:bCs/>
        </w:rPr>
        <w:t xml:space="preserve">ROE, ROA và vòng quay tài sản tính không nhất quán.</w:t>
      </w:r>
    </w:p>
    <w:p>
      <w:pPr>
        <w:pStyle w:val="ListParagraph"/>
        <w:numPr>
          <w:ilvl w:val="1"/>
          <w:numId w:val="3"/>
        </w:numPr>
        <w:spacing w:after="60" w:line="290"/>
        <w:jc w:val="both"/>
      </w:pPr>
      <w:r>
        <w:t xml:space="preserve">ROE/ROA trong bảng tính trên số cuối kỳ, trong đoạn văn tính trên số bình quân.</w:t>
      </w:r>
    </w:p>
    <w:p>
      <w:pPr>
        <w:pStyle w:val="ListParagraph"/>
        <w:numPr>
          <w:ilvl w:val="1"/>
          <w:numId w:val="3"/>
        </w:numPr>
        <w:spacing w:after="60" w:line="290"/>
        <w:jc w:val="both"/>
      </w:pPr>
      <w:r>
        <w:t xml:space="preserve">Vòng quay tài sản trong bảng lại tính trên số bình quân (nếu tính cuối kỳ là 0,95 / 1,13 / 1,49).</w:t>
      </w:r>
    </w:p>
    <w:p>
      <w:pPr>
        <w:pStyle w:val="ListParagraph"/>
        <w:numPr>
          <w:ilvl w:val="1"/>
          <w:numId w:val="3"/>
        </w:numPr>
        <w:spacing w:after="60" w:line="290"/>
        <w:jc w:val="both"/>
      </w:pPr>
      <w:r>
        <w:t xml:space="preserve">Vì vậy trong cùng một bảng, ROA ≠ biên ròng × vòng quay (9,3% × 1,60 = 14,9%, không phải 13,8%). Cần chọn một cách tính.</w:t>
      </w:r>
    </w:p>
    <w:p>
      <w:pPr>
        <w:pStyle w:val="ListParagraph"/>
        <w:numPr>
          <w:ilvl w:val="0"/>
          <w:numId w:val="3"/>
        </w:numPr>
        <w:spacing w:after="80" w:line="290"/>
        <w:jc w:val="both"/>
      </w:pPr>
      <w:r>
        <w:rPr>
          <w:b/>
          <w:bCs/>
          <w:color w:val="C55A11"/>
        </w:rPr>
        <w:t xml:space="preserve">[Vừa] </w:t>
      </w:r>
      <w:r>
        <w:rPr>
          <w:b/>
          <w:bCs/>
        </w:rPr>
        <w:t xml:space="preserve">“Khoảng cách ROE–ROA thu hẹp còn 1%” là sai.</w:t>
      </w:r>
      <w:r>
        <w:t xml:space="preserve"> Năm 2024 chỉ chênh 0,2 điểm, năm 2025 chênh ≈ 1 điểm (rộng ra). Ngoài ra ROE/ROA = tài sản/vốn chủ ≈ 1,07 gần như cố định, nên “không lạm dụng đòn bẩy” là điều hiển nhiên, không phải phát hiện.</w:t>
      </w:r>
    </w:p>
    <w:p>
      <w:pPr>
        <w:pStyle w:val="ListParagraph"/>
        <w:numPr>
          <w:ilvl w:val="0"/>
          <w:numId w:val="3"/>
        </w:numPr>
        <w:spacing w:after="80" w:line="290"/>
        <w:jc w:val="both"/>
      </w:pPr>
      <w:r>
        <w:rPr>
          <w:b/>
          <w:bCs/>
          <w:color w:val="C55A11"/>
        </w:rPr>
        <w:t xml:space="preserve">[Vừa] </w:t>
      </w:r>
      <w:r>
        <w:rPr>
          <w:b/>
          <w:bCs/>
        </w:rPr>
        <w:t xml:space="preserve">“ROE ~15% chứng minh mô hình sinh lời thành công” là quá đà.</w:t>
      </w:r>
      <w:r>
        <w:t xml:space="preserve"> Mới có 1 năm có lãi; ROE chuẩn hóa ≈ 12%, thấp hơn nhiều so với lợi suất nhà đầu tư giai đoạn này yêu cầu.</w:t>
      </w:r>
    </w:p>
    <w:p>
      <w:pPr>
        <w:pStyle w:val="ListParagraph"/>
        <w:numPr>
          <w:ilvl w:val="0"/>
          <w:numId w:val="3"/>
        </w:numPr>
        <w:spacing w:after="80" w:line="290"/>
        <w:jc w:val="both"/>
      </w:pPr>
      <w:r>
        <w:rPr>
          <w:b/>
          <w:bCs/>
          <w:color w:val="C00000"/>
        </w:rPr>
        <w:t xml:space="preserve">[Nặng] </w:t>
      </w:r>
      <w:r>
        <w:rPr>
          <w:b/>
          <w:bCs/>
        </w:rPr>
        <w:t xml:space="preserve">Chưa định lượng mặt trái của đòn bẩy hoạt động</w:t>
      </w:r>
      <w:r>
        <w:t xml:space="preserve"> – bằng chứng rủi ro mạnh nhất mà bài chưa dùng.</w:t>
      </w:r>
    </w:p>
    <w:p>
      <w:pPr>
        <w:pStyle w:val="ListParagraph"/>
        <w:numPr>
          <w:ilvl w:val="1"/>
          <w:numId w:val="3"/>
        </w:numPr>
        <w:spacing w:after="60" w:line="290"/>
        <w:jc w:val="both"/>
      </w:pPr>
      <w:r>
        <w:t xml:space="preserve">Chi phí cố định 2025 (chi phí hoạt động + khấu hao) ≈ 30,1 tỷ → doanh thu hòa vốn EBIT ≈ </w:t>
      </w:r>
      <w:r>
        <w:rPr>
          <w:b/>
          <w:bCs/>
        </w:rPr>
        <w:t xml:space="preserve">41,3 tỷ</w:t>
      </w:r>
      <w:r>
        <w:t xml:space="preserve">.</w:t>
      </w:r>
    </w:p>
    <w:p>
      <w:pPr>
        <w:pStyle w:val="ListParagraph"/>
        <w:numPr>
          <w:ilvl w:val="1"/>
          <w:numId w:val="3"/>
        </w:numPr>
        <w:spacing w:after="60" w:line="290"/>
        <w:jc w:val="both"/>
      </w:pPr>
      <w:r>
        <w:t xml:space="preserve">Biên an toàn chỉ ≈ </w:t>
      </w:r>
      <w:r>
        <w:rPr>
          <w:b/>
          <w:bCs/>
        </w:rPr>
        <w:t xml:space="preserve">13%</w:t>
      </w:r>
      <w:r>
        <w:t xml:space="preserve">; DOL ≈ </w:t>
      </w:r>
      <w:r>
        <w:rPr>
          <w:b/>
          <w:bCs/>
        </w:rPr>
        <w:t xml:space="preserve">7,6</w:t>
      </w:r>
      <w:r>
        <w:t xml:space="preserve"> (doanh thu giảm 1% thì EBIT giảm ≈ 7,6%).</w:t>
      </w:r>
    </w:p>
    <w:p>
      <w:pPr>
        <w:pStyle w:val="ListParagraph"/>
        <w:numPr>
          <w:ilvl w:val="0"/>
          <w:numId w:val="3"/>
        </w:numPr>
        <w:spacing w:after="80" w:line="290"/>
        <w:jc w:val="both"/>
      </w:pPr>
      <w:r>
        <w:rPr>
          <w:b/>
          <w:bCs/>
          <w:color w:val="7F7F7F"/>
        </w:rPr>
        <w:t xml:space="preserve">[Nhẹ] </w:t>
      </w:r>
      <w:r>
        <w:rPr>
          <w:b/>
          <w:bCs/>
        </w:rPr>
        <w:t xml:space="preserve">Lỗi logic câu chữ.</w:t>
      </w:r>
      <w:r>
        <w:t xml:space="preserve"> Câu “chi phí cố định được pha loãng nhanh hơn tốc độ tăng doanh thu” viết sai logic; chi phí bán hàng cũng không hoàn toàn cố định.</w:t>
      </w:r>
    </w:p>
    <w:p>
      <w:pPr>
        <w:pStyle w:val="ListParagraph"/>
        <w:numPr>
          <w:ilvl w:val="0"/>
          <w:numId w:val="3"/>
        </w:numPr>
        <w:spacing w:after="80" w:line="290"/>
        <w:jc w:val="both"/>
      </w:pPr>
      <w:r>
        <w:rPr>
          <w:b/>
          <w:bCs/>
          <w:color w:val="C55A11"/>
        </w:rPr>
        <w:t xml:space="preserve">[Vừa] </w:t>
      </w:r>
      <w:r>
        <w:rPr>
          <w:b/>
          <w:bCs/>
        </w:rPr>
        <w:t xml:space="preserve">Khẳng định chưa có nguồn.</w:t>
      </w:r>
      <w:r>
        <w:t xml:space="preserve"> “J-curve” và câu “Trong giới đầu tư mạo hiểm, cột mốc này…” chưa có nguồn; thuật ngữ J-curve thường dùng cho lợi nhuận của quỹ PE/VC.</w:t>
      </w:r>
    </w:p>
    <w:p>
      <w:pPr>
        <w:pStyle w:val="ListParagraph"/>
        <w:numPr>
          <w:ilvl w:val="0"/>
          <w:numId w:val="3"/>
        </w:numPr>
        <w:spacing w:after="80" w:line="290"/>
        <w:jc w:val="both"/>
      </w:pPr>
      <w:r>
        <w:rPr>
          <w:b/>
          <w:bCs/>
          <w:color w:val="7F7F7F"/>
        </w:rPr>
        <w:t xml:space="preserve">[Nhẹ] </w:t>
      </w:r>
      <w:r>
        <w:rPr>
          <w:b/>
          <w:bCs/>
        </w:rPr>
        <w:t xml:space="preserve">Chính tả.</w:t>
      </w:r>
      <w:r>
        <w:t xml:space="preserve"> “đi cũng quỹ đạo”, “khả năng chủ được”.</w:t>
      </w:r>
    </w:p>
    <w:p>
      <w:pPr>
        <w:pStyle w:val="Heading2"/>
        <w:spacing w:after="120" w:before="220"/>
      </w:pPr>
      <w:r>
        <w:rPr>
          <w:rFonts w:ascii="Times New Roman" w:cs="Times New Roman" w:eastAsia="Times New Roman" w:hAnsi="Times New Roman"/>
        </w:rPr>
        <w:t xml:space="preserve">3. Tài sản và CAPEX</w:t>
      </w:r>
    </w:p>
    <w:p>
      <w:pPr>
        <w:pStyle w:val="ListParagraph"/>
        <w:numPr>
          <w:ilvl w:val="0"/>
          <w:numId w:val="3"/>
        </w:numPr>
        <w:spacing w:after="80" w:line="290"/>
        <w:jc w:val="both"/>
      </w:pPr>
      <w:r>
        <w:rPr>
          <w:b/>
          <w:bCs/>
          <w:color w:val="C00000"/>
        </w:rPr>
        <w:t xml:space="preserve">[Nặng] </w:t>
      </w:r>
      <w:r>
        <w:rPr>
          <w:b/>
          <w:bCs/>
        </w:rPr>
        <w:t xml:space="preserve">“Đầu tư nhà máy ban đầu” năm 2023 mâu thuẫn số liệu</w:t>
      </w:r>
      <w:r>
        <w:t xml:space="preserve"> – tài sản dài hạn đầu 2023 đã ≈ 11,9 tỷ (xem Mục 0).</w:t>
      </w:r>
    </w:p>
    <w:p>
      <w:pPr>
        <w:pStyle w:val="ListParagraph"/>
        <w:numPr>
          <w:ilvl w:val="0"/>
          <w:numId w:val="3"/>
        </w:numPr>
        <w:spacing w:after="80" w:line="290"/>
        <w:jc w:val="both"/>
      </w:pPr>
      <w:r>
        <w:rPr>
          <w:b/>
          <w:bCs/>
          <w:color w:val="C55A11"/>
        </w:rPr>
        <w:t xml:space="preserve">[Vừa] </w:t>
      </w:r>
      <w:r>
        <w:rPr>
          <w:b/>
          <w:bCs/>
        </w:rPr>
        <w:t xml:space="preserve">“Sở hữu nhà máy là bằng chứng định lượng mạnh” chưa thuyết phục.</w:t>
      </w:r>
      <w:r>
        <w:t xml:space="preserve"> Doanh nghiệp sản xuất ở giai đoạn thử nghiệm cũng phải mua máy. Câu “thường chỉ có 1 khuôn thử nghiệm, thuê ngoài một phần” không có nguồn.</w:t>
      </w:r>
    </w:p>
    <w:p>
      <w:pPr>
        <w:pStyle w:val="ListParagraph"/>
        <w:numPr>
          <w:ilvl w:val="0"/>
          <w:numId w:val="3"/>
        </w:numPr>
        <w:spacing w:after="80" w:line="290"/>
        <w:jc w:val="both"/>
      </w:pPr>
      <w:r>
        <w:rPr>
          <w:b/>
          <w:bCs/>
          <w:color w:val="C55A11"/>
        </w:rPr>
        <w:t xml:space="preserve">[Vừa] </w:t>
      </w:r>
      <w:r>
        <w:rPr>
          <w:b/>
          <w:bCs/>
        </w:rPr>
        <w:t xml:space="preserve">CAPEX tuyệt đối gần như đi ngang</w:t>
      </w:r>
      <w:r>
        <w:t xml:space="preserve"> (5,0 → 6,3 → 5,1 tỷ); CAPEX/DT giảm chủ yếu do doanh thu tăng. Chỉ số có ý nghĩa hơn là CAPEX/khấu hao: 3,50x → 2,65x → 1,62x, cho thấy doanh nghiệp vẫn đang đầu tư mở rộng.</w:t>
      </w:r>
    </w:p>
    <w:p>
      <w:pPr>
        <w:pStyle w:val="ListParagraph"/>
        <w:numPr>
          <w:ilvl w:val="0"/>
          <w:numId w:val="3"/>
        </w:numPr>
        <w:spacing w:after="80" w:line="290"/>
        <w:jc w:val="both"/>
      </w:pPr>
      <w:r>
        <w:rPr>
          <w:b/>
          <w:bCs/>
          <w:color w:val="C55A11"/>
        </w:rPr>
        <w:t xml:space="preserve">[Vừa] </w:t>
      </w:r>
      <w:r>
        <w:rPr>
          <w:b/>
          <w:bCs/>
        </w:rPr>
        <w:t xml:space="preserve">“CAPEX/DT trên 20% là đặc trưng ngành bao bì”</w:t>
      </w:r>
      <w:r>
        <w:t xml:space="preserve"> chưa có benchmark hay nguồn.</w:t>
      </w:r>
    </w:p>
    <w:p>
      <w:pPr>
        <w:pStyle w:val="ListParagraph"/>
        <w:numPr>
          <w:ilvl w:val="0"/>
          <w:numId w:val="3"/>
        </w:numPr>
        <w:spacing w:after="80" w:line="290"/>
        <w:jc w:val="both"/>
      </w:pPr>
      <w:r>
        <w:rPr>
          <w:b/>
          <w:bCs/>
          <w:color w:val="C00000"/>
        </w:rPr>
        <w:t xml:space="preserve">[Nặng] </w:t>
      </w:r>
      <w:r>
        <w:rPr>
          <w:b/>
          <w:bCs/>
        </w:rPr>
        <w:t xml:space="preserve">Mâu thuẫn với đề bài.</w:t>
      </w:r>
    </w:p>
    <w:p>
      <w:pPr>
        <w:pStyle w:val="ListParagraph"/>
        <w:numPr>
          <w:ilvl w:val="1"/>
          <w:numId w:val="3"/>
        </w:numPr>
        <w:spacing w:after="60" w:line="290"/>
        <w:jc w:val="both"/>
      </w:pPr>
      <w:r>
        <w:t xml:space="preserve">Đề cho CAPEX/DT = </w:t>
      </w:r>
      <w:r>
        <w:rPr>
          <w:b/>
          <w:bCs/>
        </w:rPr>
        <w:t xml:space="preserve">65% vào năm 2027</w:t>
      </w:r>
      <w:r>
        <w:t xml:space="preserve">, còn bài viết “60% năm 2028” theo sheet Investment.</w:t>
      </w:r>
    </w:p>
    <w:p>
      <w:pPr>
        <w:pStyle w:val="ListParagraph"/>
        <w:numPr>
          <w:ilvl w:val="1"/>
          <w:numId w:val="3"/>
        </w:numPr>
        <w:spacing w:after="60" w:line="290"/>
        <w:jc w:val="both"/>
      </w:pPr>
      <w:r>
        <w:t xml:space="preserve">Đề yêu cầu tỷ lệ tái đầu tư từng năm bằng CAPEX/DT, nên câu “thay vì một tỷ lệ % doanh thu” đi ngược đề. Nên sửa thành “tỷ lệ CAPEX/DT thay đổi theo từng năm, đỉnh 65% năm 2027”.</w:t>
      </w:r>
    </w:p>
    <w:p>
      <w:pPr>
        <w:pStyle w:val="Heading2"/>
        <w:spacing w:after="120" w:before="220"/>
      </w:pPr>
      <w:r>
        <w:rPr>
          <w:rFonts w:ascii="Times New Roman" w:cs="Times New Roman" w:eastAsia="Times New Roman" w:hAnsi="Times New Roman"/>
        </w:rPr>
        <w:t xml:space="preserve">4. Cấu trúc vốn</w:t>
      </w:r>
    </w:p>
    <w:p>
      <w:pPr>
        <w:pStyle w:val="ListParagraph"/>
        <w:numPr>
          <w:ilvl w:val="0"/>
          <w:numId w:val="3"/>
        </w:numPr>
        <w:spacing w:after="80" w:line="290"/>
        <w:jc w:val="both"/>
      </w:pPr>
      <w:r>
        <w:rPr>
          <w:b/>
          <w:bCs/>
          <w:color w:val="7F7F7F"/>
        </w:rPr>
        <w:t xml:space="preserve">[Nhẹ] </w:t>
      </w:r>
      <w:r>
        <w:rPr>
          <w:b/>
          <w:bCs/>
        </w:rPr>
        <w:t xml:space="preserve">Tên chỉ số.</w:t>
      </w:r>
      <w:r>
        <w:t xml:space="preserve"> “D/E” thực chất là tổng nợ phải trả/vốn chủ. Nợ vay/vốn chủ chỉ 6,3% / 5,9% / 5,0%.</w:t>
      </w:r>
    </w:p>
    <w:p>
      <w:pPr>
        <w:pStyle w:val="ListParagraph"/>
        <w:numPr>
          <w:ilvl w:val="0"/>
          <w:numId w:val="3"/>
        </w:numPr>
        <w:spacing w:after="80" w:line="290"/>
        <w:jc w:val="both"/>
      </w:pPr>
      <w:r>
        <w:rPr>
          <w:b/>
          <w:bCs/>
          <w:color w:val="7F7F7F"/>
        </w:rPr>
        <w:t xml:space="preserve">[Nhẹ] </w:t>
      </w:r>
      <w:r>
        <w:rPr>
          <w:b/>
          <w:bCs/>
        </w:rPr>
        <w:t xml:space="preserve">Vốn góp 2024 là 7,0 tỷ, không phải 7,3 tỷ.</w:t>
      </w:r>
      <w:r>
        <w:t xml:space="preserve"> Vốn chủ tăng 6,50 tỷ + lỗ 0,50 tỷ = 7,0 tỷ vốn góp; dòng tiền tài chính 7,3 tỷ gồm 7,0 tỷ vốn góp và 0,3 tỷ vay dài hạn tăng thêm.</w:t>
      </w:r>
    </w:p>
    <w:p>
      <w:pPr>
        <w:pStyle w:val="ListParagraph"/>
        <w:numPr>
          <w:ilvl w:val="0"/>
          <w:numId w:val="3"/>
        </w:numPr>
        <w:spacing w:after="80" w:line="290"/>
        <w:jc w:val="both"/>
      </w:pPr>
      <w:r>
        <w:rPr>
          <w:b/>
          <w:bCs/>
          <w:color w:val="C00000"/>
        </w:rPr>
        <w:t xml:space="preserve">[Nặng] </w:t>
      </w:r>
      <w:r>
        <w:rPr>
          <w:b/>
          <w:bCs/>
        </w:rPr>
        <w:t xml:space="preserve">“Tự chủ nguồn vốn, không còn phụ thuộc gọi vốn” mâu thuẫn với giả định của đề.</w:t>
      </w:r>
    </w:p>
    <w:p>
      <w:pPr>
        <w:pStyle w:val="ListParagraph"/>
        <w:numPr>
          <w:ilvl w:val="1"/>
          <w:numId w:val="3"/>
        </w:numPr>
        <w:spacing w:after="60" w:line="290"/>
        <w:jc w:val="both"/>
      </w:pPr>
      <w:r>
        <w:t xml:space="preserve">Với tăng trưởng 40%/năm, doanh thu 2027 ≈ 93 tỷ → CAPEX 65% ≈ </w:t>
      </w:r>
      <w:r>
        <w:rPr>
          <w:b/>
          <w:bCs/>
        </w:rPr>
        <w:t xml:space="preserve">60,6 tỷ</w:t>
      </w:r>
      <w:r>
        <w:t xml:space="preserve">, gấp ≈ 10 lần CFO 2025 và ≈ 2 lần vốn chủ hiện tại.</w:t>
      </w:r>
    </w:p>
    <w:p>
      <w:pPr>
        <w:pStyle w:val="ListParagraph"/>
        <w:numPr>
          <w:ilvl w:val="1"/>
          <w:numId w:val="3"/>
        </w:numPr>
        <w:spacing w:after="60" w:line="290"/>
        <w:jc w:val="both"/>
      </w:pPr>
      <w:r>
        <w:t xml:space="preserve">Nên sửa thành “tự chủ cho mức CAPEX hiện tại, nhưng cần vốn ngoài cho đợt mở rộng 2027”. Cách viết này còn củng cố kết luận Đầu tăng trưởng và ăn khớp với Phần 6.</w:t>
      </w:r>
    </w:p>
    <w:p>
      <w:pPr>
        <w:pStyle w:val="Heading2"/>
        <w:spacing w:after="120" w:before="220"/>
      </w:pPr>
      <w:r>
        <w:rPr>
          <w:rFonts w:ascii="Times New Roman" w:cs="Times New Roman" w:eastAsia="Times New Roman" w:hAnsi="Times New Roman"/>
        </w:rPr>
        <w:t xml:space="preserve">5. Dòng tiền</w:t>
      </w:r>
    </w:p>
    <w:p>
      <w:pPr>
        <w:pStyle w:val="ListParagraph"/>
        <w:numPr>
          <w:ilvl w:val="0"/>
          <w:numId w:val="3"/>
        </w:numPr>
        <w:spacing w:after="80" w:line="290"/>
        <w:jc w:val="both"/>
      </w:pPr>
      <w:r>
        <w:rPr>
          <w:b/>
          <w:bCs/>
          <w:color w:val="C55A11"/>
        </w:rPr>
        <w:t xml:space="preserve">[Vừa] </w:t>
      </w:r>
      <w:r>
        <w:rPr>
          <w:b/>
          <w:bCs/>
        </w:rPr>
        <w:t xml:space="preserve">Định nghĩa FCF khác phần DCF.</w:t>
      </w:r>
      <w:r>
        <w:t xml:space="preserve"> FCF = CFO − CAPEX là dòng tiền sau lãi vay, khác FCFF trong đề cương 4.5 (EBIT(1−T) + D&amp;A − CAPEX − ΔNWC). Cần ghi rõ hoặc thống nhất.</w:t>
      </w:r>
    </w:p>
    <w:p>
      <w:pPr>
        <w:pStyle w:val="ListParagraph"/>
        <w:numPr>
          <w:ilvl w:val="0"/>
          <w:numId w:val="3"/>
        </w:numPr>
        <w:spacing w:after="80" w:line="290"/>
        <w:jc w:val="both"/>
      </w:pPr>
      <w:r>
        <w:rPr>
          <w:b/>
          <w:bCs/>
          <w:color w:val="C55A11"/>
        </w:rPr>
        <w:t xml:space="preserve">[Vừa] </w:t>
      </w:r>
      <w:r>
        <w:rPr>
          <w:b/>
          <w:bCs/>
        </w:rPr>
        <w:t xml:space="preserve">FCF dương năm 2025 còn mỏng.</w:t>
      </w:r>
      <w:r>
        <w:t xml:space="preserve"> Chỉ 1,2 tỷ (2,5% doanh thu), nhờ CAPEX giảm và thuế bằng 0. Câu “ranh giới mà nhà đầu tư/ngân hàng dùng” chưa có nguồn.</w:t>
      </w:r>
    </w:p>
    <w:p>
      <w:pPr>
        <w:pStyle w:val="ListParagraph"/>
        <w:numPr>
          <w:ilvl w:val="0"/>
          <w:numId w:val="3"/>
        </w:numPr>
        <w:spacing w:after="80" w:line="290"/>
        <w:jc w:val="both"/>
      </w:pPr>
      <w:r>
        <w:rPr>
          <w:b/>
          <w:bCs/>
          <w:color w:val="C00000"/>
        </w:rPr>
        <w:t xml:space="preserve">[Nặng] </w:t>
      </w:r>
      <w:r>
        <w:rPr>
          <w:b/>
          <w:bCs/>
        </w:rPr>
        <w:t xml:space="preserve">Bỏ sót tín hiệu quan trọng.</w:t>
      </w:r>
      <w:r>
        <w:t xml:space="preserve"> Tiền cuối năm 2023 chỉ </w:t>
      </w:r>
      <w:r>
        <w:rPr>
          <w:b/>
          <w:bCs/>
        </w:rPr>
        <w:t xml:space="preserve">44 triệu đồng</w:t>
      </w:r>
      <w:r>
        <w:t xml:space="preserve"> – doanh nghiệp gần cạn tiền.</w:t>
      </w:r>
    </w:p>
    <w:p>
      <w:pPr>
        <w:pStyle w:val="ListParagraph"/>
        <w:numPr>
          <w:ilvl w:val="0"/>
          <w:numId w:val="3"/>
        </w:numPr>
        <w:spacing w:after="80" w:line="290"/>
        <w:jc w:val="both"/>
      </w:pPr>
      <w:r>
        <w:rPr>
          <w:b/>
          <w:bCs/>
          <w:color w:val="7F7F7F"/>
        </w:rPr>
        <w:t xml:space="preserve">[Nhẹ] </w:t>
      </w:r>
      <w:r>
        <w:rPr>
          <w:b/>
          <w:bCs/>
        </w:rPr>
        <w:t xml:space="preserve">Vốn lưu động.</w:t>
      </w:r>
      <w:r>
        <w:t xml:space="preserve"> Vốn lưu động hút ≈ 1,1–1,3 tỷ mỗi năm (LNST + khấu hao − CFO); con số này cần cho giả định ΔNWC ở phần dự phóng.</w:t>
      </w:r>
    </w:p>
    <w:p>
      <w:pPr>
        <w:pStyle w:val="Heading2"/>
        <w:spacing w:after="120" w:before="220"/>
      </w:pPr>
      <w:r>
        <w:rPr>
          <w:rFonts w:ascii="Times New Roman" w:cs="Times New Roman" w:eastAsia="Times New Roman" w:hAnsi="Times New Roman"/>
        </w:rPr>
        <w:t xml:space="preserve">6. Thanh khoản</w:t>
      </w:r>
    </w:p>
    <w:p>
      <w:pPr>
        <w:pStyle w:val="ListParagraph"/>
        <w:numPr>
          <w:ilvl w:val="0"/>
          <w:numId w:val="3"/>
        </w:numPr>
        <w:spacing w:after="80" w:line="290"/>
        <w:jc w:val="both"/>
      </w:pPr>
      <w:r>
        <w:rPr>
          <w:b/>
          <w:bCs/>
          <w:color w:val="C00000"/>
        </w:rPr>
        <w:t xml:space="preserve">[Nặng] </w:t>
      </w:r>
      <w:r>
        <w:rPr>
          <w:b/>
          <w:bCs/>
        </w:rPr>
        <w:t xml:space="preserve">Sai dữ kiện.</w:t>
      </w:r>
      <w:r>
        <w:t xml:space="preserve"> Bài viết “tài sản ngắn hạn chủ yếu là tiền mặt tích lũy từ các vòng gọi vốn”, nhưng tiền chỉ chiếm </w:t>
      </w:r>
      <w:r>
        <w:rPr>
          <w:b/>
          <w:bCs/>
        </w:rPr>
        <w:t xml:space="preserve">0,9% / 21,7% / 27,9%</w:t>
      </w:r>
      <w:r>
        <w:t xml:space="preserve"> tài sản ngắn hạn. Phần lớn là phải thu và tồn kho (tồn kho suy từ hệ số thanh toán nhanh ≈ 2,5 / 3,0 / 3,75 tỷ). Lập luận “đệm tiền mặt dày” không đứng được.</w:t>
      </w:r>
    </w:p>
    <w:p>
      <w:pPr>
        <w:pStyle w:val="ListParagraph"/>
        <w:numPr>
          <w:ilvl w:val="0"/>
          <w:numId w:val="3"/>
        </w:numPr>
        <w:spacing w:after="80" w:line="290"/>
        <w:jc w:val="both"/>
      </w:pPr>
      <w:r>
        <w:rPr>
          <w:b/>
          <w:bCs/>
          <w:color w:val="C55A11"/>
        </w:rPr>
        <w:t xml:space="preserve">[Vừa] </w:t>
      </w:r>
      <w:r>
        <w:rPr>
          <w:b/>
          <w:bCs/>
        </w:rPr>
        <w:t xml:space="preserve">Cách đọc hệ số thanh toán cao nên sửa lại.</w:t>
      </w:r>
    </w:p>
    <w:p>
      <w:pPr>
        <w:pStyle w:val="ListParagraph"/>
        <w:numPr>
          <w:ilvl w:val="1"/>
          <w:numId w:val="3"/>
        </w:numPr>
        <w:spacing w:after="60" w:line="290"/>
        <w:jc w:val="both"/>
      </w:pPr>
      <w:r>
        <w:t xml:space="preserve">Hệ số cao là do nợ ngắn hạn quá nhỏ: phải trả tối đa ≈ 13 ngày giá vốn.</w:t>
      </w:r>
    </w:p>
    <w:p>
      <w:pPr>
        <w:pStyle w:val="ListParagraph"/>
        <w:numPr>
          <w:ilvl w:val="1"/>
          <w:numId w:val="3"/>
        </w:numPr>
        <w:spacing w:after="60" w:line="290"/>
        <w:jc w:val="both"/>
      </w:pPr>
      <w:r>
        <w:t xml:space="preserve">Tồn kho lại ≈ 106 ngày giá vốn (2025).</w:t>
      </w:r>
    </w:p>
    <w:p>
      <w:pPr>
        <w:pStyle w:val="ListParagraph"/>
        <w:numPr>
          <w:ilvl w:val="1"/>
          <w:numId w:val="3"/>
        </w:numPr>
        <w:spacing w:after="60" w:line="290"/>
        <w:jc w:val="both"/>
      </w:pPr>
      <w:r>
        <w:t xml:space="preserve">Nên đọc là doanh nghiệp chưa tận dụng tín dụng nhà cung cấp và tồn kho cao.</w:t>
      </w:r>
    </w:p>
    <w:p>
      <w:pPr>
        <w:pStyle w:val="ListParagraph"/>
        <w:numPr>
          <w:ilvl w:val="0"/>
          <w:numId w:val="3"/>
        </w:numPr>
        <w:spacing w:after="80" w:line="290"/>
        <w:jc w:val="both"/>
      </w:pPr>
      <w:r>
        <w:rPr>
          <w:b/>
          <w:bCs/>
          <w:color w:val="7F7F7F"/>
        </w:rPr>
        <w:t xml:space="preserve">[Nhẹ] </w:t>
      </w:r>
      <w:r>
        <w:rPr>
          <w:b/>
          <w:bCs/>
        </w:rPr>
        <w:t xml:space="preserve">Nguồn.</w:t>
      </w:r>
      <w:r>
        <w:t xml:space="preserve"> Bài ghi “Protectus” nhưng link là Profectus; đây là nguồn Mỹ chung chung.</w:t>
      </w:r>
    </w:p>
    <w:p>
      <w:pPr>
        <w:pStyle w:val="ListParagraph"/>
        <w:numPr>
          <w:ilvl w:val="0"/>
          <w:numId w:val="3"/>
        </w:numPr>
        <w:spacing w:after="80" w:line="290"/>
        <w:jc w:val="both"/>
      </w:pPr>
      <w:r>
        <w:rPr>
          <w:b/>
          <w:bCs/>
          <w:color w:val="C55A11"/>
        </w:rPr>
        <w:t xml:space="preserve">[Vừa] </w:t>
      </w:r>
      <w:r>
        <w:rPr>
          <w:b/>
          <w:bCs/>
        </w:rPr>
        <w:t xml:space="preserve">Thiếu mục theo đề cương.</w:t>
      </w:r>
      <w:r>
        <w:t xml:space="preserve"> Chưa có mục 2.1.3 (cơ cấu chi phí) và khả năng trả lãi (EBIT/lãi vay năm 2025 ≈ 32 lần).</w:t>
      </w:r>
    </w:p>
    <w:p>
      <w:pPr>
        <w:pStyle w:val="Heading2"/>
        <w:spacing w:after="120" w:before="220"/>
      </w:pPr>
      <w:r>
        <w:rPr>
          <w:rFonts w:ascii="Times New Roman" w:cs="Times New Roman" w:eastAsia="Times New Roman" w:hAnsi="Times New Roman"/>
        </w:rPr>
        <w:t xml:space="preserve">7. Kết luận giai đoạn</w:t>
      </w:r>
    </w:p>
    <w:p>
      <w:pPr>
        <w:pStyle w:val="ListParagraph"/>
        <w:numPr>
          <w:ilvl w:val="0"/>
          <w:numId w:val="3"/>
        </w:numPr>
        <w:spacing w:after="80" w:line="290"/>
        <w:jc w:val="both"/>
      </w:pPr>
      <w:r>
        <w:rPr>
          <w:b/>
          <w:bCs/>
          <w:color w:val="C00000"/>
        </w:rPr>
        <w:t xml:space="preserve">[Nặng] </w:t>
      </w:r>
      <w:r>
        <w:rPr>
          <w:b/>
          <w:bCs/>
        </w:rPr>
        <w:t xml:space="preserve">Chưa dùng đúng thang của đề.</w:t>
      </w:r>
      <w:r>
        <w:t xml:space="preserve"> Nên gọi là “Đầu tăng trưởng” và gắn tỷ lệ thất bại </w:t>
      </w:r>
      <w:r>
        <w:rPr>
          <w:b/>
          <w:bCs/>
        </w:rPr>
        <w:t xml:space="preserve">35–45%</w:t>
      </w:r>
      <w:r>
        <w:t xml:space="preserve"> – Hồng Anh cần con số này làm z cho VC Method.</w:t>
      </w:r>
    </w:p>
    <w:p>
      <w:pPr>
        <w:pStyle w:val="ListParagraph"/>
        <w:numPr>
          <w:ilvl w:val="0"/>
          <w:numId w:val="3"/>
        </w:numPr>
        <w:spacing w:after="80" w:line="290"/>
        <w:jc w:val="both"/>
      </w:pPr>
      <w:r>
        <w:rPr>
          <w:b/>
          <w:bCs/>
          <w:color w:val="C55A11"/>
        </w:rPr>
        <w:t xml:space="preserve">[Vừa] </w:t>
      </w:r>
      <w:r>
        <w:rPr>
          <w:b/>
          <w:bCs/>
        </w:rPr>
        <w:t xml:space="preserve">Thiếu bảng tiêu chí</w:t>
      </w:r>
      <w:r>
        <w:t xml:space="preserve"> theo đề cương 2.2 (gợi ý ở Mục D).</w:t>
      </w:r>
    </w:p>
    <w:p>
      <w:pPr>
        <w:pStyle w:val="ListParagraph"/>
        <w:numPr>
          <w:ilvl w:val="0"/>
          <w:numId w:val="3"/>
        </w:numPr>
        <w:spacing w:after="80" w:line="290"/>
        <w:jc w:val="both"/>
      </w:pPr>
      <w:r>
        <w:rPr>
          <w:b/>
          <w:bCs/>
          <w:color w:val="C00000"/>
        </w:rPr>
        <w:t xml:space="preserve">[Nặng] </w:t>
      </w:r>
      <w:r>
        <w:rPr>
          <w:b/>
          <w:bCs/>
        </w:rPr>
        <w:t xml:space="preserve">Thiếu lập luận loại trừ các giai đoạn liền kề</w:t>
      </w:r>
      <w:r>
        <w:t xml:space="preserve">, đặc biệt vì sao </w:t>
      </w:r>
      <w:r>
        <w:rPr>
          <w:b/>
          <w:bCs/>
        </w:rPr>
        <w:t xml:space="preserve">không phải Cuối tăng trưởng</w:t>
      </w:r>
      <w:r>
        <w:t xml:space="preserve"> (đã có lãi, FCF dương, biên EBITDA 16%, theo Phần 1 thành lập từ 2016). Đây là câu hội đồng rất dễ hỏi.</w:t>
      </w:r>
    </w:p>
    <w:p>
      <w:pPr>
        <w:pStyle w:val="ListParagraph"/>
        <w:numPr>
          <w:ilvl w:val="0"/>
          <w:numId w:val="3"/>
        </w:numPr>
        <w:spacing w:after="80" w:line="290"/>
        <w:jc w:val="both"/>
      </w:pPr>
      <w:r>
        <w:rPr>
          <w:b/>
          <w:bCs/>
          <w:color w:val="C55A11"/>
        </w:rPr>
        <w:t xml:space="preserve">[Vừa] </w:t>
      </w:r>
      <w:r>
        <w:rPr>
          <w:b/>
          <w:bCs/>
        </w:rPr>
        <w:t xml:space="preserve">Lý do (a) yếu vì dựa trên 0,16% TAM.</w:t>
      </w:r>
      <w:r>
        <w:t xml:space="preserve"> Nên thay bằng so sánh quy mô tuyệt đối với đối thủ trong bảng của Thảo:</w:t>
      </w:r>
    </w:p>
    <w:p>
      <w:pPr>
        <w:pStyle w:val="ListParagraph"/>
        <w:numPr>
          <w:ilvl w:val="1"/>
          <w:numId w:val="3"/>
        </w:numPr>
        <w:spacing w:after="60" w:line="290"/>
        <w:jc w:val="both"/>
      </w:pPr>
      <w:r>
        <w:t xml:space="preserve">An Phát có doanh thu 10.741 tỷ, ≈ 226 lần AgriPack.</w:t>
      </w:r>
    </w:p>
    <w:p>
      <w:pPr>
        <w:pStyle w:val="ListParagraph"/>
        <w:numPr>
          <w:ilvl w:val="1"/>
          <w:numId w:val="3"/>
        </w:numPr>
        <w:spacing w:after="60" w:line="290"/>
        <w:jc w:val="both"/>
      </w:pPr>
      <w:r>
        <w:t xml:space="preserve">HAPBIO có ≈ 2 triệu USD doanh thu xuất khẩu, tương đương AgriPack (≈ 1,8 triệu USD).</w:t>
      </w:r>
    </w:p>
    <w:p>
      <w:pPr>
        <w:pStyle w:val="ListParagraph"/>
        <w:numPr>
          <w:ilvl w:val="0"/>
          <w:numId w:val="3"/>
        </w:numPr>
        <w:spacing w:after="80" w:line="290"/>
        <w:jc w:val="both"/>
      </w:pPr>
      <w:r>
        <w:rPr>
          <w:b/>
          <w:bCs/>
          <w:color w:val="C00000"/>
        </w:rPr>
        <w:t xml:space="preserve">[Nặng] </w:t>
      </w:r>
      <w:r>
        <w:rPr>
          <w:b/>
          <w:bCs/>
        </w:rPr>
        <w:t xml:space="preserve">Lý do (b) sai.</w:t>
      </w:r>
      <w:r>
        <w:t xml:space="preserve"> Doanh nghiệp đang có 1,2–1,5 tỷ nợ vay (lãi ≈ 9,5%). Lý do này còn mâu thuẫn với chính hàm ý Bước 4 (“tài sản cố định đủ làm tài sản đảm bảo để vay”).</w:t>
      </w:r>
    </w:p>
    <w:p>
      <w:pPr>
        <w:pStyle w:val="ListParagraph"/>
        <w:numPr>
          <w:ilvl w:val="0"/>
          <w:numId w:val="3"/>
        </w:numPr>
        <w:spacing w:after="80" w:line="290"/>
        <w:jc w:val="both"/>
      </w:pPr>
      <w:r>
        <w:rPr>
          <w:b/>
          <w:bCs/>
          <w:color w:val="C55A11"/>
        </w:rPr>
        <w:t xml:space="preserve">[Vừa] </w:t>
      </w:r>
      <w:r>
        <w:rPr>
          <w:b/>
          <w:bCs/>
        </w:rPr>
        <w:t xml:space="preserve">“Series A/đầu Series B” cần giải thích hoặc bỏ.</w:t>
      </w:r>
      <w:r>
        <w:t xml:space="preserve"> Tổng vốn góp ≈ 15 tỷ (≈ 0,6 triệu USD) giống quy mô một vòng seed hơn.</w:t>
      </w:r>
    </w:p>
    <w:p>
      <w:pPr>
        <w:pStyle w:val="Heading2"/>
        <w:spacing w:after="120" w:before="220"/>
      </w:pPr>
      <w:r>
        <w:rPr>
          <w:rFonts w:ascii="Times New Roman" w:cs="Times New Roman" w:eastAsia="Times New Roman" w:hAnsi="Times New Roman"/>
        </w:rPr>
        <w:t xml:space="preserve">8. Hàm ý cho Bước 4 – Dự phóng</w:t>
      </w:r>
    </w:p>
    <w:p>
      <w:pPr>
        <w:pStyle w:val="ListParagraph"/>
        <w:numPr>
          <w:ilvl w:val="0"/>
          <w:numId w:val="3"/>
        </w:numPr>
        <w:spacing w:after="80" w:line="290"/>
        <w:jc w:val="both"/>
      </w:pPr>
      <w:r>
        <w:rPr>
          <w:b/>
          <w:bCs/>
          <w:color w:val="C55A11"/>
        </w:rPr>
        <w:t xml:space="preserve">[Vừa] </w:t>
      </w:r>
      <w:r>
        <w:rPr>
          <w:b/>
          <w:bCs/>
        </w:rPr>
        <w:t xml:space="preserve">Tự mâu thuẫn về tăng trưởng.</w:t>
      </w:r>
      <w:r>
        <w:t xml:space="preserve"> Bài đề xuất “fading growth” nhưng lại dẫn giả định 40% phẳng cho 2026–2030. Cần làm phép kiểm tra thị phần so với SAM như Mục 1.</w:t>
      </w:r>
    </w:p>
    <w:p>
      <w:pPr>
        <w:pStyle w:val="ListParagraph"/>
        <w:numPr>
          <w:ilvl w:val="0"/>
          <w:numId w:val="3"/>
        </w:numPr>
        <w:spacing w:after="80" w:line="290"/>
        <w:jc w:val="both"/>
      </w:pPr>
      <w:r>
        <w:rPr>
          <w:b/>
          <w:bCs/>
          <w:color w:val="7F7F7F"/>
        </w:rPr>
        <w:t xml:space="preserve">[Nhẹ] </w:t>
      </w:r>
      <w:r>
        <w:rPr>
          <w:b/>
          <w:bCs/>
        </w:rPr>
        <w:t xml:space="preserve">Biên gộp 98%.</w:t>
      </w:r>
      <w:r>
        <w:t xml:space="preserve"> Bài đã chỉ ra đúng vấn đề, nên đề xuất thêm mức neo cụ thể cho giá vốn/doanh thu.</w:t>
      </w:r>
    </w:p>
    <w:p>
      <w:pPr>
        <w:pStyle w:val="ListParagraph"/>
        <w:numPr>
          <w:ilvl w:val="0"/>
          <w:numId w:val="3"/>
        </w:numPr>
        <w:spacing w:after="80" w:line="290"/>
        <w:jc w:val="both"/>
      </w:pPr>
      <w:r>
        <w:rPr>
          <w:b/>
          <w:bCs/>
          <w:color w:val="C55A11"/>
        </w:rPr>
        <w:t xml:space="preserve">[Vừa] </w:t>
      </w:r>
      <w:r>
        <w:rPr>
          <w:b/>
          <w:bCs/>
        </w:rPr>
        <w:t xml:space="preserve">Thuế.</w:t>
      </w:r>
      <w:r>
        <w:t xml:space="preserve"> Từ 2026 thuế suất 20% vì doanh thu vượt 50 tỷ (Luật 67/2025 mà Thủy đã trích), trong khi lỗ lũy kế chỉ còn ≈ 0,39 tỷ để chuyển.</w:t>
      </w:r>
    </w:p>
    <w:p>
      <w:pPr>
        <w:pStyle w:val="ListParagraph"/>
        <w:numPr>
          <w:ilvl w:val="0"/>
          <w:numId w:val="3"/>
        </w:numPr>
        <w:spacing w:after="80" w:line="290"/>
        <w:jc w:val="both"/>
      </w:pPr>
      <w:r>
        <w:rPr>
          <w:b/>
          <w:bCs/>
          <w:color w:val="C55A11"/>
        </w:rPr>
        <w:t xml:space="preserve">[Vừa] </w:t>
      </w:r>
      <w:r>
        <w:rPr>
          <w:b/>
          <w:bCs/>
        </w:rPr>
        <w:t xml:space="preserve">Vay nợ.</w:t>
      </w:r>
      <w:r>
        <w:t xml:space="preserve"> Nên gắn với lãi suất cho vay 8,1–10,5% và chương trình hỗ trợ lãi suất NATIF ở mục 3.1 – đề bài đánh giá cao đúng kiểu liên kết vĩ mô → giả định này.</w:t>
      </w:r>
    </w:p>
    <w:p>
      <w:pPr>
        <w:pStyle w:val="Heading2"/>
        <w:spacing w:after="120" w:before="220"/>
      </w:pPr>
      <w:r>
        <w:rPr>
          <w:rFonts w:ascii="Times New Roman" w:cs="Times New Roman" w:eastAsia="Times New Roman" w:hAnsi="Times New Roman"/>
        </w:rPr>
        <w:t xml:space="preserve">9. Hàm ý cho Bước 5 – Định giá</w:t>
      </w:r>
    </w:p>
    <w:p>
      <w:pPr>
        <w:pStyle w:val="ListParagraph"/>
        <w:numPr>
          <w:ilvl w:val="0"/>
          <w:numId w:val="3"/>
        </w:numPr>
        <w:spacing w:after="80" w:line="290"/>
        <w:jc w:val="both"/>
      </w:pPr>
      <w:r>
        <w:rPr>
          <w:b/>
          <w:bCs/>
          <w:color w:val="C55A11"/>
        </w:rPr>
        <w:t xml:space="preserve">[Vừa] </w:t>
      </w:r>
      <w:r>
        <w:rPr>
          <w:b/>
          <w:bCs/>
        </w:rPr>
        <w:t xml:space="preserve">Berkus, Scorecard, RFS không nằm trong danh sách phương pháp của đề</w:t>
      </w:r>
      <w:r>
        <w:t xml:space="preserve"> (VC Method, DCF, Multiples). Nên chuyển đoạn này xuống câu hỏi Bonus (định giá pre-revenue).</w:t>
      </w:r>
    </w:p>
    <w:p>
      <w:pPr>
        <w:pStyle w:val="ListParagraph"/>
        <w:numPr>
          <w:ilvl w:val="0"/>
          <w:numId w:val="3"/>
        </w:numPr>
        <w:spacing w:after="80" w:line="290"/>
        <w:jc w:val="both"/>
      </w:pPr>
      <w:r>
        <w:rPr>
          <w:b/>
          <w:bCs/>
          <w:color w:val="C00000"/>
        </w:rPr>
        <w:t xml:space="preserve">[Nặng] </w:t>
      </w:r>
      <w:r>
        <w:rPr>
          <w:b/>
          <w:bCs/>
        </w:rPr>
        <w:t xml:space="preserve">Thiếu VC Method.</w:t>
      </w:r>
      <w:r>
        <w:t xml:space="preserve"> Đề cương 5.3 và phần của Hồng Anh dự kiến dùng phương pháp này, nên phần giai đoạn cần giải thích vì sao nó phù hợp.</w:t>
      </w:r>
    </w:p>
    <w:p>
      <w:pPr>
        <w:pStyle w:val="ListParagraph"/>
        <w:numPr>
          <w:ilvl w:val="0"/>
          <w:numId w:val="3"/>
        </w:numPr>
        <w:spacing w:after="80" w:line="290"/>
        <w:jc w:val="both"/>
      </w:pPr>
      <w:r>
        <w:rPr>
          <w:b/>
          <w:bCs/>
          <w:color w:val="C55A11"/>
        </w:rPr>
        <w:t xml:space="preserve">[Vừa] </w:t>
      </w:r>
      <w:r>
        <w:rPr>
          <w:b/>
          <w:bCs/>
        </w:rPr>
        <w:t xml:space="preserve">DCF:</w:t>
      </w:r>
    </w:p>
    <w:p>
      <w:pPr>
        <w:pStyle w:val="ListParagraph"/>
        <w:numPr>
          <w:ilvl w:val="1"/>
          <w:numId w:val="3"/>
        </w:numPr>
        <w:spacing w:after="60" w:line="290"/>
        <w:jc w:val="both"/>
      </w:pPr>
      <w:r>
        <w:t xml:space="preserve">Đề yêu cầu dự phóng 5 năm, không phải 5–10 năm.</w:t>
      </w:r>
    </w:p>
    <w:p>
      <w:pPr>
        <w:pStyle w:val="ListParagraph"/>
        <w:numPr>
          <w:ilvl w:val="1"/>
          <w:numId w:val="3"/>
        </w:numPr>
        <w:spacing w:after="60" w:line="290"/>
        <w:jc w:val="both"/>
      </w:pPr>
      <w:r>
        <w:t xml:space="preserve">Nếu năm thứ 5 vẫn tăng ≈ 40% rồi nhảy thẳng về g = 2–4% thì giá trị cuối kỳ bị méo; cần giảm tốc dần trong 5 năm hoặc dùng exit multiple.</w:t>
      </w:r>
    </w:p>
    <w:p>
      <w:pPr>
        <w:pStyle w:val="ListParagraph"/>
        <w:numPr>
          <w:ilvl w:val="1"/>
          <w:numId w:val="3"/>
        </w:numPr>
        <w:spacing w:after="60" w:line="290"/>
        <w:jc w:val="both"/>
      </w:pPr>
      <w:r>
        <w:t xml:space="preserve">CAGR 4,15% của IMARC tính theo USD, còn DCF tính bằng VND – cần nêu rõ g là danh nghĩa theo VND.</w:t>
      </w:r>
    </w:p>
    <w:p>
      <w:pPr>
        <w:pStyle w:val="ListParagraph"/>
        <w:numPr>
          <w:ilvl w:val="1"/>
          <w:numId w:val="3"/>
        </w:numPr>
        <w:spacing w:after="60" w:line="290"/>
        <w:jc w:val="both"/>
      </w:pPr>
      <w:r>
        <w:t xml:space="preserve">3 năm lịch sử với chỉ 1 năm FCF dương thì chưa phải là “đáng tin cậy”.</w:t>
      </w:r>
    </w:p>
    <w:p>
      <w:pPr>
        <w:pStyle w:val="ListParagraph"/>
        <w:numPr>
          <w:ilvl w:val="0"/>
          <w:numId w:val="3"/>
        </w:numPr>
        <w:spacing w:after="80" w:line="290"/>
        <w:jc w:val="both"/>
      </w:pPr>
      <w:r>
        <w:rPr>
          <w:b/>
          <w:bCs/>
          <w:color w:val="C00000"/>
        </w:rPr>
        <w:t xml:space="preserve">[Nặng] </w:t>
      </w:r>
      <w:r>
        <w:rPr>
          <w:b/>
          <w:bCs/>
        </w:rPr>
        <w:t xml:space="preserve">WACC: câu “Ke cao do gần như không có nợ” sai lý thuyết.</w:t>
      </w:r>
      <w:r>
        <w:t xml:space="preserve"> Ít nợ làm beta có đòn bẩy thấp hơn. Nên viết: “WACC ≈ Ke vì gần như không có nợ, và Ke cao do rủi ro kinh doanh, quy mô nhỏ, thanh khoản kém và lịch sử ngắn”.</w:t>
      </w:r>
    </w:p>
    <w:p>
      <w:pPr>
        <w:pStyle w:val="ListParagraph"/>
        <w:numPr>
          <w:ilvl w:val="0"/>
          <w:numId w:val="3"/>
        </w:numPr>
        <w:spacing w:after="80" w:line="290"/>
        <w:jc w:val="both"/>
      </w:pPr>
      <w:r>
        <w:rPr>
          <w:b/>
          <w:bCs/>
          <w:color w:val="7F7F7F"/>
        </w:rPr>
        <w:t xml:space="preserve">[Nhẹ] </w:t>
      </w:r>
      <w:r>
        <w:rPr>
          <w:b/>
          <w:bCs/>
        </w:rPr>
        <w:t xml:space="preserve">Comparables.</w:t>
      </w:r>
      <w:r>
        <w:t xml:space="preserve"> Gần như không có doanh nghiệp molded fiber niêm yết cùng quy mô; nên nêu cách xử lý (dùng doanh nghiệp niêm yết rồi chiết khấu quy mô, thanh khoản).</w:t>
      </w:r>
    </w:p>
    <w:p>
      <w:pPr>
        <w:pStyle w:val="Heading2"/>
        <w:spacing w:after="120" w:before="220"/>
      </w:pPr>
      <w:r>
        <w:rPr>
          <w:rFonts w:ascii="Times New Roman" w:cs="Times New Roman" w:eastAsia="Times New Roman" w:hAnsi="Times New Roman"/>
        </w:rPr>
        <w:t xml:space="preserve">10. Hình thức chung</w:t>
      </w:r>
    </w:p>
    <w:p>
      <w:pPr>
        <w:pStyle w:val="ListParagraph"/>
        <w:numPr>
          <w:ilvl w:val="0"/>
          <w:numId w:val="3"/>
        </w:numPr>
        <w:spacing w:after="80" w:line="290"/>
        <w:jc w:val="both"/>
      </w:pPr>
      <w:r>
        <w:rPr>
          <w:b/>
          <w:bCs/>
          <w:color w:val="7F7F7F"/>
        </w:rPr>
        <w:t xml:space="preserve">[Nhẹ] </w:t>
      </w:r>
      <w:r>
        <w:t xml:space="preserve">Báo cáo giới hạn 15 trang, phần này đang dài; nên cắt các ý lặp (lợi thế quy mô nói 2 lần, vòng quay tài sản nói 2 lần).</w:t>
      </w:r>
    </w:p>
    <w:p>
      <w:pPr>
        <w:pStyle w:val="ListParagraph"/>
        <w:numPr>
          <w:ilvl w:val="0"/>
          <w:numId w:val="3"/>
        </w:numPr>
        <w:spacing w:after="80" w:line="290"/>
        <w:jc w:val="both"/>
      </w:pPr>
      <w:r>
        <w:rPr>
          <w:b/>
          <w:bCs/>
          <w:color w:val="7F7F7F"/>
        </w:rPr>
        <w:t xml:space="preserve">[Nhẹ] </w:t>
      </w:r>
      <w:r>
        <w:t xml:space="preserve">Tất cả nguồn cần trích APA 7 đầy đủ trong mục Tài liệu tham khảo.</w:t>
      </w:r>
    </w:p>
    <w:p>
      <w:pPr>
        <w:pStyle w:val="Heading1"/>
        <w:spacing w:after="120" w:before="300"/>
      </w:pPr>
      <w:r>
        <w:rPr>
          <w:rFonts w:ascii="Times New Roman" w:cs="Times New Roman" w:eastAsia="Times New Roman" w:hAnsi="Times New Roman"/>
        </w:rPr>
        <w:t xml:space="preserve">C. Chỉ số đề xuất bổ sung vào bài</w:t>
      </w:r>
    </w:p>
    <w:p>
      <w:pPr>
        <w:spacing w:after="120" w:line="300"/>
        <w:jc w:val="both"/>
      </w:pPr>
      <w:r>
        <w:t xml:space="preserve">Các chỉ số dưới đây được tính từ chính số liệu trong bài. Dòng có ghi “ước tính” giả định tài sản ngắn hạn chỉ gồm tiền, phải thu và tồn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150"/>
        <w:gridCol w:w="1150"/>
        <w:gridCol w:w="1150"/>
        <w:gridCol w:w="3350"/>
      </w:tblGrid>
      <w:tr>
        <w:trPr>
          <w:tblHeader/>
        </w:trPr>
        <w:tc>
          <w:tcPr>
            <w:tcW w:type="dxa" w:w="2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Chỉ số</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2023</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2024</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2025</w:t>
            </w:r>
          </w:p>
        </w:tc>
        <w:tc>
          <w:tcPr>
            <w:tcW w:type="dxa" w:w="33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Ý nghĩa</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Biên gộp sau khấu hao</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61,7%</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63,6%</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66,2%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Gần với cách hạch toán giá vốn theo VAS hơn</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Chi phí hoạt động / DT</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83,3%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64,7%</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56,6%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Mặt trái của biên gộp cao</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CAPEX / khấu hao</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3,50x</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2,65x</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1,62x</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Vẫn đầu tư mở rộng</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Nợ vay / vốn chủ</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6,3%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5,9%</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5,0%</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Đòn bẩy tài chính rất thấp</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EBIT / lãi vay</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âm</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âm</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32x</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Khả năng trả lãi (đề cương 2.1.4)</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Tiền / TSNH</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0,9%</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21,7%</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27,9%</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TSNH không chủ yếu là tiền</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Tồn kho (ước tính, tỷ)</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2,49</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3,00</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3,75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Suy từ hệ số thanh toán nhanh</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Số ngày tồn kho (giá vốn)</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151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123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106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Tồn kho cao</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Số ngày phải trả (tối đa)</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18</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15</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Chưa dùng tín dụng nhà cung cấp</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DT hòa vốn EBIT (tỷ)</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41,3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Biên an toàn ≈ 13%</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DOL (LNG / EBIT)</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7,6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DT −1% → EBIT −7,6%</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Biên ròng chuẩn hóa thuế 17–20%</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7,4–7,7%</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LN 2025 chưa chịu thuế</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ROE chuẩn hóa</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Thấp hơn lợi suất yêu cầu của VC</w:t>
            </w:r>
          </w:p>
        </w:tc>
      </w:tr>
      <w:tr>
        <w:tc>
          <w:tcPr>
            <w:tcW w:type="dxa" w:w="2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CAPEX 2027 (65% DT, g = 40%)</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60,6 tỷ</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10 lần CFO 2025 → cần vốn ngoài</w:t>
            </w:r>
          </w:p>
        </w:tc>
      </w:tr>
    </w:tbl>
    <w:p>
      <w:pPr>
        <w:spacing w:after="120"/>
      </w:pPr>
    </w:p>
    <w:p>
      <w:pPr>
        <w:pStyle w:val="Heading1"/>
        <w:spacing w:after="120" w:before="300"/>
      </w:pPr>
      <w:r>
        <w:rPr>
          <w:rFonts w:ascii="Times New Roman" w:cs="Times New Roman" w:eastAsia="Times New Roman" w:hAnsi="Times New Roman"/>
        </w:rPr>
        <w:t xml:space="preserve">D. Gợi ý khung bảng xác định giai đoạn</w:t>
      </w:r>
    </w:p>
    <w:p>
      <w:pPr>
        <w:spacing w:after="120" w:line="300"/>
        <w:jc w:val="both"/>
      </w:pPr>
      <w:r>
        <w:t xml:space="preserve">Bảng theo đúng đề cương 2.2, dùng thang 4 giai đoạn của đề bài và có hàng loại trừ các giai đoạn liền kề.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38"/>
        <w:gridCol w:w="34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Tiêu chí</w:t>
            </w:r>
          </w:p>
        </w:tc>
        <w:tc>
          <w:tcPr>
            <w:tcW w:type="dxa" w:w="4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Quan sát từ BCTC</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line="260"/>
              <w:jc w:val="center"/>
            </w:pPr>
            <w:r>
              <w:rPr>
                <w:b/>
                <w:bCs/>
                <w:sz w:val="21"/>
                <w:szCs w:val="21"/>
              </w:rPr>
              <w:t xml:space="preserve">Hàm ý giai đoạn</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Quy mô doanh thu</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47,5 tỷ năm 2025 (≈ 1,8 triệu USD); An Phát 10.741 tỷ; HAPBIO ≈ 2 triệu USD xuất khẩu</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Còn nhỏ với DN sản xuất cần nhiều vốn → Đầu tăng trưởng</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Tăng trưởng</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59,1% → 53,7%, gấp hơn 10 lần ngành (4,15%)</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Đang giành thị phần, chưa bão hòa → chưa phải Cuối tăng trưởng</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Sinh lời</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Mới 1 năm có lãi; biên ròng chuẩn hóa ≈ 7,5%; biên an toàn ≈ 13%; DOL ≈ 7,6</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Vừa qua điểm hòa vốn, còn mong manh → Đầu tăng trưởng</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Dòng tiền</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FCF −8,97 → −5,61 → +1,20 tỷ; tiền cuối 2023 chỉ 44 triệu</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Mới tự chủ ở mức CAPEX duy trì</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Nhu cầu vốn</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CAPEX 2027 ≈ 60,6 tỷ ≈ 10 lần CFO 2025</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Cần vốn ngoài lớn → không phải Cuối tăng trưởng</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Cấu trúc vốn</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Nợ vay/vốn chủ ≈ 5%; nguồn vốn chủ yếu là vốn góp</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Phù hợp DN tăng trưởng tài trợ bằng vốn chủ</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So với ngành</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 5,5% SAM bao bì F&amp;B phân hủy sinh học; chưa có quy mô công nghiệp như đối thủ lớn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Có chỗ đứng trong ngách, chưa dẫn đầu</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Loại trừ “Thử nghiệm”</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Doanh thu 3 năm tăng đều, đã có lãi, TSCĐ vận hành, vòng quay tài sản tăng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Mô hình đã được xác thực thương mại</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Loại trừ “Cuối tăng trưởng”</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Lãi mới 1 năm, biên an toàn mỏng, cần vốn ngoài lớn cho 2027, quy mô nhỏ so với ngành</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Chưa đủ ổn định và quy mô</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bCs/>
                <w:sz w:val="21"/>
                <w:szCs w:val="21"/>
              </w:rPr>
              <w:t xml:space="preserve">Kết luận</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bCs/>
                <w:sz w:val="21"/>
                <w:szCs w:val="21"/>
              </w:rPr>
              <w:t xml:space="preserve">Đầu tăng trưởng</w:t>
            </w:r>
            <w:r>
              <w:rPr>
                <w:b w:val="false"/>
                <w:bCs w:val="false"/>
                <w:sz w:val="21"/>
                <w:szCs w:val="21"/>
              </w:rPr>
              <w:t xml:space="preserve"> – tỷ lệ thất bại 35–45%</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0"/>
              <w:jc w:val="left"/>
            </w:pPr>
            <w:r>
              <w:rPr>
                <w:b w:val="false"/>
                <w:bCs w:val="false"/>
                <w:sz w:val="21"/>
                <w:szCs w:val="21"/>
              </w:rPr>
              <w:t xml:space="preserve">Dùng cho VC Method (z), WACC, giả định vốn</w:t>
            </w:r>
          </w:p>
        </w:tc>
      </w:tr>
    </w:tbl>
    <w:p>
      <w:pPr>
        <w:spacing w:after="120"/>
      </w:pPr>
    </w:p>
    <w:p>
      <w:pPr>
        <w:spacing w:after="120" w:line="300"/>
        <w:jc w:val="both"/>
      </w:pPr>
      <w:r>
        <w:rPr>
          <w:b/>
          <w:bCs/>
        </w:rPr>
        <w:t xml:space="preserve">Đoạn kết luận gợi ý:</w:t>
      </w:r>
      <w:r>
        <w:t xml:space="preserve"> Dựa trên quy mô doanh thu còn nhỏ so với các doanh nghiệp dẫn đầu ngành, tốc độ tăng trưởng vượt xa thị trường, khả năng sinh lời mới đạt trong một năm với biên an toàn mỏng, dòng tiền tự do vừa chuyển dương nhưng chưa đủ tài trợ đợt đầu tư mở rộng năm 2027, nhóm xác định AgriPack đang ở giai đoạn </w:t>
      </w:r>
      <w:r>
        <w:rPr>
          <w:b/>
          <w:bCs/>
        </w:rPr>
        <w:t xml:space="preserve">Đầu tăng trưởng</w:t>
      </w:r>
      <w:r>
        <w:t xml:space="preserve">, tương ứng tỷ lệ thất bại 35–45%. Kết luận này là cơ sở cho giả định tăng trưởng giảm dần ở Bước 4, cho mức lợi suất yêu cầu trong VC Method và mức WACC trong DCF ở Bước 5, và cho nhu cầu huy động vốn bên ngoài ở Phần 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Phản biện Phần 2 – AgriPack</dc:title>
  <dc:creator>Nhóm BTL</dc:creator>
  <cp:lastModifiedBy>Un-named</cp:lastModifiedBy>
  <cp:revision>1</cp:revision>
  <dcterms:created xsi:type="dcterms:W3CDTF">2026-09-27T15:19:51.200Z</dcterms:created>
  <dcterms:modified xsi:type="dcterms:W3CDTF">2026-09-27T15:19:51.202Z</dcterms:modified>
</cp:coreProperties>
</file>

<file path=docProps/custom.xml><?xml version="1.0" encoding="utf-8"?>
<Properties xmlns="http://schemas.openxmlformats.org/officeDocument/2006/custom-properties" xmlns:vt="http://schemas.openxmlformats.org/officeDocument/2006/docPropsVTypes"/>
</file>