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DUMMY/ND-005/IX/2026/Pertahanan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Keuangan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Keamanan Informasi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Lisensi Antivirus</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74 tahun 2025 tanggal 17 Februari 2025 tentang Perlindungan Endpoint;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Kep/704/IV/2024 tentang Perpanjangan Perlindungan Perangkat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anggaran perpanjangan 75 (tujuh puluh lima) lisensi antivirus endpoint. Dukungan tersebut diperlukan untuk mempertahankan perlindungan dasar dan pembaruan definisi ancaman pada perangkat kerja, sedangkan kondisi saat ini masa berlaku lisensi akan berakhir pada triwulan berjalan.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Proteksi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Dewi Lestari.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Dewi Lestari.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005</dc:title>
  <dc:subject>Permohonan Lisensi Antivirus</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