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DUMMY/ND-013/VI/2026/Pertahanan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Fasilitas</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Infrastruktur Siber</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Perawatan AC Ruang Server</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82 tahun 2025 tanggal 17 Juni 2025 tentang Pengendalian Suhu Ruang Server;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Kep/712/XII/2024 tentang Pemeliharaan Fasilitas Kritis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pelaksanaan perawatan menyeluruh terhadap 2 (dua) unit AC ruang server. Dukungan tersebut diperlukan untuk menjaga suhu operasional perangkat tetap stabil dan mencegah penghentian layanan, sedangkan kondisi saat ini salah satu unit menunjukkan penurunan kemampuan pendinginan dalam dua pekan terakhir.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Server</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Rina Oktaviani.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Rina Oktaviani.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013</dc:title>
  <dc:subject>Permohonan Perawatan AC Ruang Server</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