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DUMMY/ND-015/IX/2026/Pertahanan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Pengadaan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Jaringan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Jalur Internet Cadangan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84 tahun 2025 tanggal 20 Januari 2025 tentang Ketersediaan Koneksi Internet;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Kep/714/II/2024 tentang Penerapan Redundansi Koneksi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penyediaan 1 (satu) jalur internet cadangan dari penyedia berbeda. Dukungan tersebut diperlukan untuk menjaga akses layanan eksternal ketika jalur utama mengalami gangguan, sedangkan kondisi saat ini seluruh kegiatan saat ini masih bergantung pada satu koneksi utama.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Jaringan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Putri Maharani.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Putri Maharani.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015</dc:title>
  <dc:subject>Permohonan Jalur Internet Cadangan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