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DUMMY/ND-016/XI/2026/Pertahanan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Keuangan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Layanan Digital</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Perpanjangan Domain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85 tahun 2025 tanggal 3 Februari 2025 tentang Pengelolaan Aset Digital;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Kep/715/III/2024 tentang Pemeliharaan Identitas Layanan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pembayaran perpanjangan domain layanan internal untuk 2 (dua) tahun. Dukungan tersebut diperlukan untuk menjaga kesinambungan alamat layanan dan mencegah penghentian akses pengguna, sedangkan kondisi saat ini masa aktif domain akan berakhir pada bulan berikutnya.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Layanan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Agus Firmansyah.</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Agus Firmansyah.</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016</dc:title>
  <dc:subject>Permohonan Perpanjangan Domain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